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 xml:space="preserve">June 3, 2026 </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OPAL Fuels Inc.</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789" w:type="dxa"/>
        <w:jc w:val="left"/>
        <w:tblInd w:w="0" w:type="dxa"/>
        <w:tblLayout w:type="fixed"/>
        <w:tblCellMar>
          <w:top w:w="28" w:type="dxa"/>
          <w:left w:w="28" w:type="dxa"/>
          <w:bottom w:w="28" w:type="dxa"/>
          <w:right w:w="28" w:type="dxa"/>
        </w:tblCellMar>
      </w:tblPr>
      <w:tblGrid>
        <w:gridCol w:w="1303"/>
        <w:gridCol w:w="1147"/>
        <w:gridCol w:w="1150"/>
        <w:gridCol w:w="764"/>
        <w:gridCol w:w="764"/>
        <w:gridCol w:w="766"/>
        <w:gridCol w:w="847"/>
        <w:gridCol w:w="847"/>
        <w:gridCol w:w="1201"/>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incorporation) </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001-40272</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80-0990453</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One North Lexington Avenue</w:t>
            </w:r>
            <w:r>
              <w:rPr>
                <w:rFonts w:ascii="Helvetica;sans-serif" w:hAnsi="Helvetica;sans-serif"/>
                <w:b/>
                <w:color w:val="000000"/>
                <w:sz w:val="20"/>
              </w:rPr>
              <w:t>,</w:t>
            </w:r>
            <w:r>
              <w:rPr>
                <w:color w:val="3051F2"/>
              </w:rPr>
              <w:t xml:space="preserve"> </w:t>
            </w:r>
            <w:r>
              <w:rPr>
                <w:rFonts w:ascii="Times New Roman;serif" w:hAnsi="Times New Roman;serif"/>
                <w:b/>
                <w:color w:val="000000"/>
                <w:sz w:val="20"/>
              </w:rPr>
              <w:t>Suite 1450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 xml:space="preserve">White Plains, New York </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10601</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288" w:before="0" w:after="2"/>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(914) 705-4000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9808" w:type="dxa"/>
        <w:jc w:val="left"/>
        <w:tblInd w:w="0" w:type="dxa"/>
        <w:tblLayout w:type="fixed"/>
        <w:tblCellMar>
          <w:top w:w="28" w:type="dxa"/>
          <w:left w:w="28" w:type="dxa"/>
          <w:bottom w:w="28" w:type="dxa"/>
          <w:right w:w="28" w:type="dxa"/>
        </w:tblCellMar>
      </w:tblPr>
      <w:tblGrid>
        <w:gridCol w:w="1555"/>
        <w:gridCol w:w="1367"/>
        <w:gridCol w:w="1367"/>
        <w:gridCol w:w="565"/>
        <w:gridCol w:w="565"/>
        <w:gridCol w:w="565"/>
        <w:gridCol w:w="1120"/>
        <w:gridCol w:w="1120"/>
        <w:gridCol w:w="1584"/>
      </w:tblGrid>
      <w:tr>
        <w:trPr/>
        <w:tc>
          <w:tcPr>
            <w:tcW w:w="155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80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2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OPAL</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color w:val="000000"/>
        </w:rPr>
        <w:t xml:space="preserve"> </w:t>
      </w:r>
    </w:p>
    <w:p>
      <w:pPr>
        <w:pStyle w:val="TextBody"/>
        <w:bidi w:val="0"/>
        <w:spacing w:lineRule="auto" w:line="288" w:before="108" w:after="283"/>
        <w:jc w:val="both"/>
        <w:rPr/>
      </w:pPr>
      <w:r>
        <w:rPr>
          <w:rFonts w:ascii="Times New Roman;serif" w:hAnsi="Times New Roman;serif"/>
          <w:b w:val="false"/>
          <w:color w:val="000000"/>
          <w:sz w:val="20"/>
        </w:rPr>
        <w:t>Emerging growth company</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08"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erif" w:hAnsi="Times New Roman;serif"/>
          <w:b/>
          <w:color w:val="000000"/>
          <w:sz w:val="20"/>
        </w:rPr>
        <w: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June 3, 2026, OPAL Fuels Inc. (the “Company”) issued a press release announcing the commencement of construction on renewable natural gas (“RNG”) facilities located in Polk County, Georgia and Tallapoosa County, Alabama, which facilities are owned jointly, 50 percent each by GFL Environmental and the Company. The facilities are expected to produce approximately 15 million gasoline gallon equivalents of RNG annually, sufficient to power approximately 800 Class 8 heavy-duty tractors per year. The Company intends to distribute the RNG through its RNG/CNG fueling station network. A copy of the press release is attached hereto as Exhibit 99.1.</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including the exhibit, contains forward-looking statements within the meaning of the federal securities laws including, but not limited to, statements relating to anticipated RNG production volumes, the number of trucks able to be operated annually based on such RNG production volumes, and the scale of reduction of carbon emissions. These forward-looking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268" w:before="0" w:after="12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120"/>
        <w:jc w:val="left"/>
        <w:rPr/>
      </w:pPr>
      <w:r>
        <w:rPr/>
      </w:r>
    </w:p>
    <w:tbl>
      <w:tblPr>
        <w:tblW w:w="4615" w:type="dxa"/>
        <w:jc w:val="left"/>
        <w:tblInd w:w="0" w:type="dxa"/>
        <w:tblLayout w:type="fixed"/>
        <w:tblCellMar>
          <w:top w:w="28" w:type="dxa"/>
          <w:left w:w="28" w:type="dxa"/>
          <w:bottom w:w="28" w:type="dxa"/>
          <w:right w:w="28" w:type="dxa"/>
        </w:tblCellMar>
      </w:tblPr>
      <w:tblGrid>
        <w:gridCol w:w="531"/>
        <w:gridCol w:w="468"/>
        <w:gridCol w:w="470"/>
        <w:gridCol w:w="109"/>
        <w:gridCol w:w="109"/>
        <w:gridCol w:w="109"/>
        <w:gridCol w:w="825"/>
        <w:gridCol w:w="825"/>
        <w:gridCol w:w="1169"/>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Exhibit Number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both"/>
              <w:rPr/>
            </w:pPr>
            <w:hyperlink w:anchor="gradyroadandstonesthrowcon.htm">
              <w:r>
                <w:rPr>
                  <w:rStyle w:val="InternetLink"/>
                  <w:rFonts w:ascii="Times New Roman;serif" w:hAnsi="Times New Roman;serif"/>
                  <w:b w:val="false"/>
                  <w:color w:val="0000FF"/>
                  <w:sz w:val="20"/>
                  <w:u w:val="single"/>
                </w:rPr>
                <w:t>Press release dated June 3, 2026</w:t>
              </w:r>
            </w:hyperlink>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w:t>
            </w:r>
          </w:p>
        </w:tc>
      </w:tr>
    </w:tbl>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120"/>
        <w:jc w:val="both"/>
        <w:rPr/>
      </w:pPr>
      <w:r>
        <w:rPr/>
      </w:r>
    </w:p>
    <w:p>
      <w:pPr>
        <w:pStyle w:val="TextBody"/>
        <w:bidi w:val="0"/>
        <w:spacing w:before="0" w:after="120"/>
        <w:jc w:val="left"/>
        <w:rPr/>
      </w:pPr>
      <w:r>
        <w:rPr/>
      </w:r>
    </w:p>
    <w:p>
      <w:pPr>
        <w:pStyle w:val="TextBody"/>
        <w:bidi w:val="0"/>
        <w:spacing w:lineRule="auto" w:line="300" w:before="0" w:after="1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r>
    </w:p>
    <w:p>
      <w:pPr>
        <w:pStyle w:val="TextBody"/>
        <w:bidi w:val="0"/>
        <w:spacing w:before="0" w:after="2"/>
        <w:jc w:val="left"/>
        <w:rPr/>
      </w:pPr>
      <w:r>
        <w:rPr/>
      </w:r>
    </w:p>
    <w:p>
      <w:pPr>
        <w:pStyle w:val="TextBody"/>
        <w:bidi w:val="0"/>
        <w:spacing w:lineRule="auto" w:line="300" w:before="0" w:after="2"/>
        <w:jc w:val="left"/>
        <w:rPr/>
      </w:pPr>
      <w:r>
        <w:rPr>
          <w:rFonts w:ascii="Times New Roman;serif" w:hAnsi="Times New Roman;serif"/>
          <w:b w:val="false"/>
          <w:color w:val="000000"/>
          <w:sz w:val="22"/>
        </w:rPr>
        <w:t xml:space="preserve">Date: </w:t>
      </w:r>
      <w:r>
        <w:rPr>
          <w:rFonts w:ascii="Times New Roman;serif" w:hAnsi="Times New Roman;serif"/>
          <w:b w:val="false"/>
          <w:color w:val="000000"/>
          <w:sz w:val="20"/>
        </w:rPr>
        <w:t>June 3, 2026</w:t>
      </w:r>
    </w:p>
    <w:tbl>
      <w:tblPr>
        <w:tblW w:w="2868" w:type="dxa"/>
        <w:jc w:val="right"/>
        <w:tblInd w:w="0" w:type="dxa"/>
        <w:tblLayout w:type="fixed"/>
        <w:tblCellMar>
          <w:top w:w="28" w:type="dxa"/>
          <w:left w:w="28" w:type="dxa"/>
          <w:bottom w:w="28" w:type="dxa"/>
          <w:right w:w="28" w:type="dxa"/>
        </w:tblCellMar>
      </w:tblPr>
      <w:tblGrid>
        <w:gridCol w:w="312"/>
        <w:gridCol w:w="273"/>
        <w:gridCol w:w="273"/>
        <w:gridCol w:w="584"/>
        <w:gridCol w:w="584"/>
        <w:gridCol w:w="842"/>
      </w:tblGrid>
      <w:tr>
        <w:trPr/>
        <w:tc>
          <w:tcPr>
            <w:tcW w:w="3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2868"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OPAL Fuels Inc.</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Kazi Hasan</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Kazi Hasan</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OPAL Fuels and GFL Environmental Advance Growth Strategy with New RNG Projects in Alabama and Georgia</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2"/>
        </w:rPr>
        <w:t>N</w:t>
      </w:r>
      <w:r>
        <w:rPr>
          <w:rFonts w:ascii="Times New Roman;serif" w:hAnsi="Times New Roman;serif"/>
          <w:b w:val="false"/>
          <w:i/>
          <w:color w:val="000000"/>
          <w:sz w:val="22"/>
        </w:rPr>
        <w:t>ew Projects Expected to Add Approximately 15 Million GGEs of RNG Supply Capacity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WHITE PLAINS, N.Y. and MIAMI BEACH, FL, June 3, 2026 – OPAL Fuels (Nasdaq: OPAL), a leading vertically integrated producer and distributor of renewable natural gas and compressed natural gas (RNG/CNG) and GFL Environmental Inc. (NYSE: GFL) (TSX: GFL) (“GFL”) announced today the advancement of construction for two new RNG facilities at the Stones Throw Landfill in Tallapoosa County, Alabama and the Grady Road Landfill in Polk County, Georgia. The projects together represent nearly 2 million MMBTU of plant design capacity and are owned jointly, 50 percent each, by GFL and OPAL Fuels.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OPAL Fuels has agreed to market and distribute the full output from the new RNG facilities through its expanding CNG/RNG dispensing network further advancing OPAL Fuels’ strategy to drive profitable growth across both upstream production and downstream distribution.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new RNG facilities are designed to supply fuel for approximately 800 Class 8 heavy-duty tractors, with such fuel providing better economics than diesel and the added benefits of zero Scope 1 and Scope 2 emissions. The projects are well positioned to supply accelerating fleet conversion activity in the heavy-duty trucking sector which is being driven by higher and volatile diesel pricing, increased regulatory clarity regarding combustion engines, and the availability of next-generation natural gas engine platforms.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2"/>
        </w:rPr>
        <w:t>The construction of these two facilities underscore OPAL Fuels’ momentum in advancing our growth objectives with value accretive projects,” said Jonathan Maurer, Co-Chief Executive Officer of OPAL Fuels. “Bringing new RNG production online amid accelerating fleet demand reinforces the strength of our vertically integrated model, connecting landfill partners to high-value end markets through our growing fuel station network. This work supports our focus on sustainable revenue growth, margin expansion, and creating long-term shareholder value.”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2"/>
        </w:rPr>
        <w:t>We are excited to continue building on our investments in RNG facilities at our landfills,” said Patrick Dovigi, GFL’s Founder and CEO. “These projects support the achievement of GFL’s GHG reduction goals including fueling our own CNG fleet from landfill gas produced at our landfills, in addition to generating strong, stable, risk-adjusted returns for many years into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Using proven technology, the projects will capture methane generated from the natural decomposition of organic material at the Grady Road Landfill and the Stones Throw Landfill and convert it into RNG, a low-carbon, cost-effective transportation fuel.</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About OPAL Fuels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OPAL Fuels (Nasdaq: OPAL) is a leader in the capture and conversion of biogas into low carbon intensity RNG and renewable electricity. OPAL Fuels is also a leader in the marketing and distribution of RNG to heavy duty trucking and other hard to decarbonize industrial sectors. For additional information, and to learn more about OPAL Fuels and how it is leading the effort to capture North America’s harmful methane emissions and decarbonize the economy, please visit </w:t>
      </w:r>
      <w:r>
        <w:rPr>
          <w:rFonts w:ascii="Times New Roman;serif" w:hAnsi="Times New Roman;serif"/>
          <w:b w:val="false"/>
          <w:color w:val="3051F2"/>
          <w:sz w:val="22"/>
          <w:u w:val="single"/>
        </w:rPr>
        <w:t>www.opalfuels.com</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About GFL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GFL is the fourth largest diversified environmental services company in North America, providing comprehensive solid waste management services from its platform of facilities throughout Canada and 18 U.S. states. GFL has a workforce of more than 15,000 employees across its organization.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release includes certain “forward-looking statements” and “forward-looking information” (collectively, “forward-looking statements”), within the meaning of applicable U.S. and Canadian securities laws, respectively. Forward-looking statements are statements that are not historical facts and generally relate to future events or OPAL Fuels’ or GFL’s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OPAL Fuels and GFL and their respective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OPAL Fuels’ annual report on Form 10-K and quarterly reports on Form 10-Q, and other filings it makes with the Securities and Exchange Commission and in the “Risk Factors” section of GFL’s annual information form for the year ended December 31, 2025, GFL’s other periodic filings with the U.S. Securities and Exchange Commission and the securities commission or similar regulatory authorities in Canada.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Except as required by law, OPAL Fuels and GFL expressly disclaim any obligations or undertaking to release publicly any updates or revisions to any forward-looking statements contained herein to reflect any change in OPAL Fuels or GFL’s expectations with respect thereto or any change in events, conditions, or circumstances on which any statement is based.</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Disclaimer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Contact information for OPAL Fuels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Investors</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Todd Firestone</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Vice President, Investor Relations and Corporate Development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(914) 705-4001</w:t>
      </w:r>
    </w:p>
    <w:p>
      <w:pPr>
        <w:pStyle w:val="TextBody"/>
        <w:bidi w:val="0"/>
        <w:spacing w:lineRule="auto" w:line="288" w:before="0" w:after="0"/>
        <w:jc w:val="both"/>
        <w:rPr>
          <w:rFonts w:ascii="Times New Roman;serif" w:hAnsi="Times New Roman;serif"/>
          <w:b w:val="false"/>
          <w:color w:val="3051F2"/>
          <w:sz w:val="22"/>
          <w:u w:val="single"/>
        </w:rPr>
      </w:pPr>
      <w:r>
        <w:rPr>
          <w:rFonts w:ascii="Times New Roman;serif" w:hAnsi="Times New Roman;serif"/>
          <w:b w:val="false"/>
          <w:color w:val="3051F2"/>
          <w:sz w:val="22"/>
          <w:u w:val="single"/>
        </w:rPr>
        <w:t>investors@opalfuels.com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Media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Harrison Feuer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Senior Director, Communications and Public Policy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(914) 721-3723</w:t>
      </w:r>
    </w:p>
    <w:p>
      <w:pPr>
        <w:pStyle w:val="TextBody"/>
        <w:bidi w:val="0"/>
        <w:spacing w:lineRule="auto" w:line="288" w:before="0" w:after="0"/>
        <w:jc w:val="both"/>
        <w:rPr>
          <w:rFonts w:ascii="Times New Roman;serif" w:hAnsi="Times New Roman;serif"/>
          <w:b w:val="false"/>
          <w:color w:val="3051F2"/>
          <w:sz w:val="22"/>
          <w:u w:val="single"/>
        </w:rPr>
      </w:pPr>
      <w:r>
        <w:rPr>
          <w:rFonts w:ascii="Times New Roman;serif" w:hAnsi="Times New Roman;serif"/>
          <w:b w:val="false"/>
          <w:color w:val="3051F2"/>
          <w:sz w:val="22"/>
          <w:u w:val="single"/>
        </w:rPr>
        <w:t>hfeuer@opalfuels.com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Contact information for GFL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Patrick Dovigi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+1 905-326-0101</w:t>
      </w:r>
    </w:p>
    <w:p>
      <w:pPr>
        <w:pStyle w:val="TextBody"/>
        <w:bidi w:val="0"/>
        <w:spacing w:lineRule="auto" w:line="288" w:before="0" w:after="0"/>
        <w:jc w:val="both"/>
        <w:rPr>
          <w:rFonts w:ascii="Times New Roman;serif" w:hAnsi="Times New Roman;serif"/>
          <w:b w:val="false"/>
          <w:color w:val="3051F2"/>
          <w:sz w:val="22"/>
          <w:u w:val="single"/>
        </w:rPr>
      </w:pPr>
      <w:r>
        <w:rPr>
          <w:rFonts w:ascii="Times New Roman;serif" w:hAnsi="Times New Roman;serif"/>
          <w:b w:val="false"/>
          <w:color w:val="3051F2"/>
          <w:sz w:val="22"/>
          <w:u w:val="single"/>
        </w:rPr>
        <w:t>pdovigi@gflenv.com</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1651</Words>
  <Characters>9662</Characters>
  <CharactersWithSpaces>11224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