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August 11, 2023</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shd w:fill="FFFFFF" w:val="clear"/>
        </w:rPr>
        <w:t>27,694,332</w:t>
      </w:r>
      <w:r>
        <w:rPr>
          <w:color w:val="000000"/>
        </w:rPr>
        <w:t xml:space="preserve"> </w:t>
      </w:r>
      <w:r>
        <w:rPr>
          <w:rFonts w:ascii="Times New Roman;sans-serif" w:hAnsi="Times New Roman;sans-serif"/>
          <w:b w:val="false"/>
          <w:color w:val="000000"/>
          <w:sz w:val="20"/>
        </w:rPr>
        <w:t>shares of Class A common stock, par value $0.0001 per share, and 144,399,037 shares of Class D common stock, par value $0.0001 per share were issued and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This Quarterly Report on Form 10-Q contains forward-looking statements within the meaning of </w:t>
      </w:r>
      <w:r>
        <w:rPr>
          <w:rFonts w:ascii="Times New Roman;sans-serif" w:hAnsi="Times New Roman;sans-serif"/>
          <w:b w:val="false"/>
          <w:color w:val="000000"/>
          <w:sz w:val="20"/>
          <w:shd w:fill="FFFFFF" w:val="clear"/>
        </w:rPr>
        <w:t>Section 27A of the Securities Act of 1933, as amended (the “Securities Act”) and Section 21E of the Securities Exchange Act of 1934, as amended.</w:t>
      </w:r>
      <w:r>
        <w:rPr>
          <w:color w:val="000000"/>
        </w:rPr>
        <w:t xml:space="preserve"> </w:t>
      </w:r>
      <w:r>
        <w:rPr>
          <w:rFonts w:ascii="Times New Roman;sans-serif" w:hAnsi="Times New Roman;sans-serif"/>
          <w:b w:val="false"/>
          <w:color w:val="000000"/>
          <w:sz w:val="20"/>
        </w:rPr>
        <w:t>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our ability to grow and manage growth profitably, maintain relationships with customers and suppliers and retain              key employees;</w:t>
      </w:r>
    </w:p>
    <w:p>
      <w:pPr>
        <w:pStyle w:val="TextBody"/>
        <w:bidi w:val="0"/>
        <w:spacing w:lineRule="auto" w:line="276" w:before="0" w:after="0"/>
        <w:jc w:val="left"/>
        <w:rPr/>
      </w:pPr>
      <w:r>
        <w:rPr>
          <w:color w:val="000000"/>
        </w:rPr>
        <w:t xml:space="preserve">• </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LFG and livestock waste projects that generate electricity and renewable natural gas (“RNG”),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macroeconomic conditions related to the global COVID-19 pandemic;</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LFG and livestock waste projects that generate electricity and (iii) RNG prices for Environmental Attributes (as defined below),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filed on March 29, 2023.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3"/>
        <w:gridCol w:w="362"/>
        <w:gridCol w:w="362"/>
        <w:gridCol w:w="2949"/>
        <w:gridCol w:w="2779"/>
        <w:gridCol w:w="2647"/>
        <w:gridCol w:w="202"/>
        <w:gridCol w:w="202"/>
        <w:gridCol w:w="289"/>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3">
              <w:r>
                <w:rPr>
                  <w:rStyle w:val="InternetLink"/>
                  <w:rFonts w:ascii="Times New Roman;sans-serif" w:hAnsi="Times New Roman;sans-serif"/>
                  <w:b/>
                  <w:color w:val="000000"/>
                  <w:sz w:val="20"/>
                  <w:u w:val="single"/>
                </w:rPr>
                <w:t>PART I. FINANCIAL INFORMATION</w:t>
              </w:r>
            </w:hyperlink>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6">
              <w:r>
                <w:rPr>
                  <w:rStyle w:val="InternetLink"/>
                  <w:rFonts w:ascii="Times New Roman;sans-serif" w:hAnsi="Times New Roman;sans-serif"/>
                  <w:b w:val="false"/>
                  <w:color w:val="000000"/>
                  <w:sz w:val="20"/>
                  <w:u w:val="single"/>
                </w:rPr>
                <w:t>ITEM 1.</w:t>
              </w:r>
            </w:hyperlink>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
              <w:r>
                <w:rPr>
                  <w:rStyle w:val="InternetLink"/>
                  <w:rFonts w:ascii="Times New Roman;sans-serif" w:hAnsi="Times New Roman;sans-serif"/>
                  <w:b w:val="false"/>
                  <w:color w:val="000000"/>
                  <w:sz w:val="20"/>
                  <w:u w:val="single"/>
                </w:rPr>
                <w:t>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6">
              <w:r>
                <w:rPr>
                  <w:rStyle w:val="InternetLink"/>
                  <w:rFonts w:ascii="Times New Roman;sans-serif" w:hAnsi="Times New Roman;sans-serif"/>
                  <w:b w:val="false"/>
                  <w:color w:val="000000"/>
                  <w:sz w:val="20"/>
                  <w:u w:val="single"/>
                </w:rPr>
                <w:t>1</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9">
              <w:r>
                <w:rPr>
                  <w:rStyle w:val="InternetLink"/>
                  <w:rFonts w:ascii="Times New Roman;sans-serif" w:hAnsi="Times New Roman;sans-serif"/>
                  <w:b w:val="false"/>
                  <w:color w:val="000000"/>
                  <w:sz w:val="20"/>
                  <w:u w:val="single"/>
                </w:rPr>
                <w:t>Condensed Consolidated Balance sheets as of June 30, 2023 (Unaudited) And December 31,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9">
              <w:r>
                <w:rPr>
                  <w:rStyle w:val="InternetLink"/>
                  <w:rFonts w:ascii="Times New Roman;sans-serif" w:hAnsi="Times New Roman;sans-serif"/>
                  <w:b w:val="false"/>
                  <w:color w:val="000000"/>
                  <w:sz w:val="20"/>
                  <w:u w:val="single"/>
                </w:rPr>
                <w:t>1</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25">
              <w:r>
                <w:rPr>
                  <w:rStyle w:val="InternetLink"/>
                  <w:rFonts w:ascii="Times New Roman;sans-serif" w:hAnsi="Times New Roman;sans-serif"/>
                  <w:b w:val="false"/>
                  <w:color w:val="000000"/>
                  <w:sz w:val="20"/>
                  <w:u w:val="single"/>
                </w:rPr>
                <w:t>Unaudited Condensed Consolidated Statements of Operations for the three and six months ended June 30, 2023 and 2022</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25">
              <w:r>
                <w:rPr>
                  <w:rStyle w:val="InternetLink"/>
                  <w:rFonts w:ascii="Times New Roman;sans-serif" w:hAnsi="Times New Roman;sans-serif"/>
                  <w:b w:val="false"/>
                  <w:color w:val="000000"/>
                  <w:sz w:val="20"/>
                  <w:u w:val="single"/>
                </w:rPr>
                <w:t>3</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28">
              <w:r>
                <w:rPr>
                  <w:rStyle w:val="InternetLink"/>
                  <w:rFonts w:ascii="Times New Roman;sans-serif" w:hAnsi="Times New Roman;sans-serif"/>
                  <w:b w:val="false"/>
                  <w:color w:val="000080"/>
                  <w:sz w:val="20"/>
                  <w:u w:val="single"/>
                </w:rPr>
                <w:t>Unaudited Condensed Consolidated Statements of Comprehensive Income /</w:t>
              </w:r>
            </w:hyperlink>
            <w:hyperlink w:anchor="ifbb82eea68d54270a5f7d612a9062bbf_28">
              <w:r>
                <w:rPr>
                  <w:rStyle w:val="InternetLink"/>
                  <w:rFonts w:ascii="Times New Roman;sans-serif" w:hAnsi="Times New Roman;sans-serif"/>
                  <w:b w:val="false"/>
                  <w:color w:val="000080"/>
                  <w:sz w:val="20"/>
                  <w:u w:val="single"/>
                </w:rPr>
                <w:t xml:space="preserve"> </w:t>
              </w:r>
            </w:hyperlink>
            <w:hyperlink w:anchor="ifbb82eea68d54270a5f7d612a9062bbf_28">
              <w:r>
                <w:rPr>
                  <w:rStyle w:val="InternetLink"/>
                  <w:rFonts w:ascii="Times New Roman;sans-serif" w:hAnsi="Times New Roman;sans-serif"/>
                  <w:b w:val="false"/>
                  <w:color w:val="000080"/>
                  <w:sz w:val="20"/>
                  <w:u w:val="single"/>
                </w:rPr>
                <w:t>(loss) for the three and six months ended June 30,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28">
              <w:r>
                <w:rPr>
                  <w:rStyle w:val="InternetLink"/>
                  <w:rFonts w:ascii="Times New Roman;sans-serif" w:hAnsi="Times New Roman;sans-serif"/>
                  <w:b w:val="false"/>
                  <w:color w:val="000000"/>
                  <w:sz w:val="20"/>
                  <w:u w:val="single"/>
                </w:rPr>
                <w:t>5</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31">
              <w:r>
                <w:rPr>
                  <w:rStyle w:val="InternetLink"/>
                  <w:rFonts w:ascii="Times New Roman;sans-serif" w:hAnsi="Times New Roman;sans-serif"/>
                  <w:b w:val="false"/>
                  <w:color w:val="000000"/>
                  <w:sz w:val="20"/>
                  <w:u w:val="single"/>
                </w:rPr>
                <w:t>Unaudited Condensed Consolidated Statements of Changes In Redeemable Non-Controlling Interest, Redeemable Preferred Non-Controlling Interest And Stockholders' (Deficit) Equity for the three and six months ended June 30, 2023 and 2022</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31">
              <w:r>
                <w:rPr>
                  <w:rStyle w:val="InternetLink"/>
                  <w:rFonts w:ascii="Times New Roman;sans-serif" w:hAnsi="Times New Roman;sans-serif"/>
                  <w:b w:val="false"/>
                  <w:color w:val="000000"/>
                  <w:sz w:val="20"/>
                  <w:u w:val="single"/>
                </w:rPr>
                <w:t>6</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34">
              <w:r>
                <w:rPr>
                  <w:rStyle w:val="InternetLink"/>
                  <w:rFonts w:ascii="Times New Roman;sans-serif" w:hAnsi="Times New Roman;sans-serif"/>
                  <w:b w:val="false"/>
                  <w:color w:val="000000"/>
                  <w:sz w:val="20"/>
                  <w:u w:val="single"/>
                </w:rPr>
                <w:t>Unaudited Condensed Consolidated Statements of Cash Flows for the six months ended June 30, 2023 and 2022</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34">
              <w:r>
                <w:rPr>
                  <w:rStyle w:val="InternetLink"/>
                  <w:rFonts w:ascii="Times New Roman;sans-serif" w:hAnsi="Times New Roman;sans-serif"/>
                  <w:b w:val="false"/>
                  <w:color w:val="000000"/>
                  <w:sz w:val="20"/>
                  <w:u w:val="single"/>
                </w:rPr>
                <w:t>9</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37">
              <w:r>
                <w:rPr>
                  <w:rStyle w:val="InternetLink"/>
                  <w:rFonts w:ascii="Times New Roman;sans-serif" w:hAnsi="Times New Roman;sans-serif"/>
                  <w:b w:val="false"/>
                  <w:color w:val="000000"/>
                  <w:sz w:val="20"/>
                  <w:u w:val="single"/>
                </w:rPr>
                <w:t>Notes To Unaudited Condensed Consolidated 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37">
              <w:r>
                <w:rPr>
                  <w:rStyle w:val="InternetLink"/>
                  <w:rFonts w:ascii="Times New Roman;sans-serif" w:hAnsi="Times New Roman;sans-serif"/>
                  <w:b w:val="false"/>
                  <w:color w:val="000000"/>
                  <w:sz w:val="20"/>
                  <w:u w:val="single"/>
                </w:rPr>
                <w:t>11</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00">
              <w:r>
                <w:rPr>
                  <w:rStyle w:val="InternetLink"/>
                  <w:rFonts w:ascii="Times New Roman;sans-serif" w:hAnsi="Times New Roman;sans-serif"/>
                  <w:b w:val="false"/>
                  <w:color w:val="000000"/>
                  <w:sz w:val="20"/>
                  <w:u w:val="single"/>
                </w:rPr>
                <w:t>ITEM 2.</w:t>
              </w:r>
            </w:hyperlink>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00">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00">
              <w:r>
                <w:rPr>
                  <w:rStyle w:val="InternetLink"/>
                  <w:rFonts w:ascii="Times New Roman;sans-serif" w:hAnsi="Times New Roman;sans-serif"/>
                  <w:b w:val="false"/>
                  <w:color w:val="000000"/>
                  <w:sz w:val="20"/>
                  <w:u w:val="single"/>
                </w:rPr>
                <w:t>48</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15">
              <w:r>
                <w:rPr>
                  <w:rStyle w:val="InternetLink"/>
                  <w:rFonts w:ascii="Times New Roman;sans-serif" w:hAnsi="Times New Roman;sans-serif"/>
                  <w:b w:val="false"/>
                  <w:color w:val="000000"/>
                  <w:sz w:val="20"/>
                  <w:u w:val="single"/>
                </w:rPr>
                <w:t>QUANTITATIVE AND QUALITATIVE DISCLOSURES ABOUT MARKET RISK</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15">
              <w:r>
                <w:rPr>
                  <w:rStyle w:val="InternetLink"/>
                  <w:rFonts w:ascii="Times New Roman;sans-serif" w:hAnsi="Times New Roman;sans-serif"/>
                  <w:b w:val="false"/>
                  <w:color w:val="000000"/>
                  <w:sz w:val="20"/>
                  <w:u w:val="single"/>
                </w:rPr>
                <w:t>59</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18">
              <w:r>
                <w:rPr>
                  <w:rStyle w:val="InternetLink"/>
                  <w:rFonts w:ascii="Times New Roman;sans-serif" w:hAnsi="Times New Roman;sans-serif"/>
                  <w:b w:val="false"/>
                  <w:color w:val="000000"/>
                  <w:sz w:val="20"/>
                  <w:u w:val="single"/>
                </w:rPr>
                <w:t>ITEM 4.</w:t>
              </w:r>
            </w:hyperlink>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18">
              <w:r>
                <w:rPr>
                  <w:rStyle w:val="InternetLink"/>
                  <w:rFonts w:ascii="Times New Roman;sans-serif" w:hAnsi="Times New Roman;sans-serif"/>
                  <w:b w:val="false"/>
                  <w:color w:val="000000"/>
                  <w:sz w:val="20"/>
                  <w:u w:val="single"/>
                </w:rPr>
                <w:t>CONTROLS AND PROCEDURES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18">
              <w:r>
                <w:rPr>
                  <w:rStyle w:val="InternetLink"/>
                  <w:rFonts w:ascii="Times New Roman;sans-serif" w:hAnsi="Times New Roman;sans-serif"/>
                  <w:b w:val="false"/>
                  <w:color w:val="000000"/>
                  <w:sz w:val="20"/>
                  <w:u w:val="single"/>
                </w:rPr>
                <w:t>59</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21">
              <w:r>
                <w:rPr>
                  <w:rStyle w:val="InternetLink"/>
                  <w:rFonts w:ascii="Times New Roman;sans-serif" w:hAnsi="Times New Roman;sans-serif"/>
                  <w:b/>
                  <w:color w:val="000000"/>
                  <w:sz w:val="20"/>
                  <w:u w:val="single"/>
                </w:rPr>
                <w:t>PART II. 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24">
              <w:r>
                <w:rPr>
                  <w:rStyle w:val="InternetLink"/>
                  <w:rFonts w:ascii="Times New Roman;sans-serif" w:hAnsi="Times New Roman;sans-serif"/>
                  <w:b w:val="false"/>
                  <w:color w:val="000000"/>
                  <w:sz w:val="20"/>
                  <w:u w:val="single"/>
                </w:rPr>
                <w:t>ITEM 1.</w:t>
              </w:r>
            </w:hyperlink>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24">
              <w:r>
                <w:rPr>
                  <w:rStyle w:val="InternetLink"/>
                  <w:rFonts w:ascii="Times New Roman;sans-serif" w:hAnsi="Times New Roman;sans-serif"/>
                  <w:b w:val="false"/>
                  <w:color w:val="000000"/>
                  <w:sz w:val="20"/>
                  <w:u w:val="single"/>
                </w:rPr>
                <w:t>LEGAL PROCEEDINGS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24">
              <w:r>
                <w:rPr>
                  <w:rStyle w:val="InternetLink"/>
                  <w:rFonts w:ascii="Times New Roman;sans-serif" w:hAnsi="Times New Roman;sans-serif"/>
                  <w:b w:val="false"/>
                  <w:color w:val="000000"/>
                  <w:sz w:val="20"/>
                  <w:u w:val="single"/>
                </w:rPr>
                <w:t>62</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27">
              <w:r>
                <w:rPr>
                  <w:rStyle w:val="InternetLink"/>
                  <w:rFonts w:ascii="Times New Roman;sans-serif" w:hAnsi="Times New Roman;sans-serif"/>
                  <w:b w:val="false"/>
                  <w:color w:val="000000"/>
                  <w:sz w:val="20"/>
                  <w:u w:val="single"/>
                </w:rPr>
                <w:t>ITEM 1A.</w:t>
              </w:r>
            </w:hyperlink>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27">
              <w:r>
                <w:rPr>
                  <w:rStyle w:val="InternetLink"/>
                  <w:rFonts w:ascii="Times New Roman;sans-serif" w:hAnsi="Times New Roman;sans-serif"/>
                  <w:b w:val="false"/>
                  <w:color w:val="000000"/>
                  <w:sz w:val="20"/>
                  <w:u w:val="single"/>
                </w:rPr>
                <w:t>RISK FACTORS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27">
              <w:r>
                <w:rPr>
                  <w:rStyle w:val="InternetLink"/>
                  <w:rFonts w:ascii="Times New Roman;sans-serif" w:hAnsi="Times New Roman;sans-serif"/>
                  <w:b w:val="false"/>
                  <w:color w:val="000000"/>
                  <w:sz w:val="20"/>
                  <w:u w:val="single"/>
                </w:rPr>
                <w:t>62</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0">
              <w:r>
                <w:rPr>
                  <w:rStyle w:val="InternetLink"/>
                  <w:rFonts w:ascii="Times New Roman;sans-serif" w:hAnsi="Times New Roman;sans-serif"/>
                  <w:b w:val="false"/>
                  <w:color w:val="000000"/>
                  <w:sz w:val="20"/>
                  <w:u w:val="single"/>
                </w:rPr>
                <w:t>ITEM 2.</w:t>
              </w:r>
            </w:hyperlink>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0">
              <w:r>
                <w:rPr>
                  <w:rStyle w:val="InternetLink"/>
                  <w:rFonts w:ascii="Times New Roman;sans-serif" w:hAnsi="Times New Roman;sans-serif"/>
                  <w:b w:val="false"/>
                  <w:color w:val="000000"/>
                  <w:sz w:val="20"/>
                  <w:u w:val="single"/>
                </w:rPr>
                <w:t>UNREGISTERED SALES OF EQUITY SECURITIES AND USE OF PROCEEDS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30">
              <w:r>
                <w:rPr>
                  <w:rStyle w:val="InternetLink"/>
                  <w:rFonts w:ascii="Times New Roman;sans-serif" w:hAnsi="Times New Roman;sans-serif"/>
                  <w:b w:val="false"/>
                  <w:color w:val="000000"/>
                  <w:sz w:val="20"/>
                  <w:u w:val="single"/>
                </w:rPr>
                <w:t>62</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3">
              <w:r>
                <w:rPr>
                  <w:rStyle w:val="InternetLink"/>
                  <w:rFonts w:ascii="Times New Roman;sans-serif" w:hAnsi="Times New Roman;sans-serif"/>
                  <w:b w:val="false"/>
                  <w:color w:val="000000"/>
                  <w:sz w:val="20"/>
                  <w:u w:val="single"/>
                </w:rPr>
                <w:t>ITEM 3.</w:t>
              </w:r>
            </w:hyperlink>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3">
              <w:r>
                <w:rPr>
                  <w:rStyle w:val="InternetLink"/>
                  <w:rFonts w:ascii="Times New Roman;sans-serif" w:hAnsi="Times New Roman;sans-serif"/>
                  <w:b w:val="false"/>
                  <w:color w:val="000000"/>
                  <w:sz w:val="20"/>
                  <w:u w:val="single"/>
                </w:rPr>
                <w:t>DEFAULTS UPON SENIOR SECURITIES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33">
              <w:r>
                <w:rPr>
                  <w:rStyle w:val="InternetLink"/>
                  <w:rFonts w:ascii="Times New Roman;sans-serif" w:hAnsi="Times New Roman;sans-serif"/>
                  <w:b w:val="false"/>
                  <w:color w:val="000000"/>
                  <w:sz w:val="20"/>
                  <w:u w:val="single"/>
                </w:rPr>
                <w:t>62</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6">
              <w:r>
                <w:rPr>
                  <w:rStyle w:val="InternetLink"/>
                  <w:rFonts w:ascii="Times New Roman;sans-serif" w:hAnsi="Times New Roman;sans-serif"/>
                  <w:b w:val="false"/>
                  <w:color w:val="000000"/>
                  <w:sz w:val="20"/>
                  <w:u w:val="single"/>
                </w:rPr>
                <w:t>ITEM 4.</w:t>
              </w:r>
            </w:hyperlink>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6">
              <w:r>
                <w:rPr>
                  <w:rStyle w:val="InternetLink"/>
                  <w:rFonts w:ascii="Times New Roman;sans-serif" w:hAnsi="Times New Roman;sans-serif"/>
                  <w:b w:val="false"/>
                  <w:color w:val="000000"/>
                  <w:sz w:val="20"/>
                  <w:u w:val="single"/>
                </w:rPr>
                <w:t>MINE SAFETY DISCLOSURES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36">
              <w:r>
                <w:rPr>
                  <w:rStyle w:val="InternetLink"/>
                  <w:rFonts w:ascii="Times New Roman;sans-serif" w:hAnsi="Times New Roman;sans-serif"/>
                  <w:b w:val="false"/>
                  <w:color w:val="000000"/>
                  <w:sz w:val="20"/>
                  <w:u w:val="single"/>
                </w:rPr>
                <w:t>62</w:t>
              </w:r>
            </w:hyperlink>
          </w:p>
        </w:tc>
      </w:tr>
      <w:tr>
        <w:trPr/>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9">
              <w:r>
                <w:rPr>
                  <w:rStyle w:val="InternetLink"/>
                  <w:rFonts w:ascii="Times New Roman;sans-serif" w:hAnsi="Times New Roman;sans-serif"/>
                  <w:b w:val="false"/>
                  <w:color w:val="000000"/>
                  <w:sz w:val="20"/>
                  <w:u w:val="single"/>
                </w:rPr>
                <w:t>ITEM 5.</w:t>
              </w:r>
            </w:hyperlink>
          </w:p>
        </w:tc>
        <w:tc>
          <w:tcPr>
            <w:tcW w:w="8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39">
              <w:r>
                <w:rPr>
                  <w:rStyle w:val="InternetLink"/>
                  <w:rFonts w:ascii="Times New Roman;sans-serif" w:hAnsi="Times New Roman;sans-serif"/>
                  <w:b w:val="false"/>
                  <w:color w:val="000000"/>
                  <w:sz w:val="20"/>
                  <w:u w:val="single"/>
                </w:rPr>
                <w:t>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39">
              <w:r>
                <w:rPr>
                  <w:rStyle w:val="InternetLink"/>
                  <w:rFonts w:ascii="Times New Roman;sans-serif" w:hAnsi="Times New Roman;sans-serif"/>
                  <w:b w:val="false"/>
                  <w:color w:val="000000"/>
                  <w:sz w:val="20"/>
                  <w:u w:val="single"/>
                </w:rPr>
                <w:t>63</w:t>
              </w:r>
            </w:hyperlink>
          </w:p>
        </w:tc>
      </w:tr>
      <w:tr>
        <w:trPr/>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42">
              <w:r>
                <w:rPr>
                  <w:rStyle w:val="InternetLink"/>
                  <w:rFonts w:ascii="Times New Roman;sans-serif" w:hAnsi="Times New Roman;sans-serif"/>
                  <w:b w:val="false"/>
                  <w:color w:val="000000"/>
                  <w:sz w:val="20"/>
                  <w:u w:val="single"/>
                </w:rPr>
                <w:t>ITEM 6.</w:t>
              </w:r>
            </w:hyperlink>
          </w:p>
        </w:tc>
        <w:tc>
          <w:tcPr>
            <w:tcW w:w="8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42">
              <w:r>
                <w:rPr>
                  <w:rStyle w:val="InternetLink"/>
                  <w:rFonts w:ascii="Times New Roman;sans-serif" w:hAnsi="Times New Roman;sans-serif"/>
                  <w:b w:val="false"/>
                  <w:color w:val="000000"/>
                  <w:sz w:val="20"/>
                  <w:u w:val="single"/>
                </w:rPr>
                <w:t>EXHIBITS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42">
              <w:r>
                <w:rPr>
                  <w:rStyle w:val="InternetLink"/>
                  <w:rFonts w:ascii="Times New Roman;sans-serif" w:hAnsi="Times New Roman;sans-serif"/>
                  <w:b w:val="false"/>
                  <w:color w:val="000000"/>
                  <w:sz w:val="20"/>
                  <w:u w:val="single"/>
                </w:rPr>
                <w:t>63</w:t>
              </w:r>
            </w:hyperlink>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bb82eea68d54270a5f7d612a9062bbf_145">
              <w:r>
                <w:rPr>
                  <w:rStyle w:val="InternetLink"/>
                  <w:rFonts w:ascii="Times New Roman;sans-serif" w:hAnsi="Times New Roman;sans-serif"/>
                  <w:b w:val="false"/>
                  <w:color w:val="000000"/>
                  <w:sz w:val="20"/>
                  <w:u w:val="single"/>
                </w:rPr>
                <w:t>SIGNATURES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bb82eea68d54270a5f7d612a9062bbf_145">
              <w:r>
                <w:rPr>
                  <w:rStyle w:val="InternetLink"/>
                  <w:rFonts w:ascii="Times New Roman;sans-serif" w:hAnsi="Times New Roman;sans-serif"/>
                  <w:b w:val="false"/>
                  <w:color w:val="000000"/>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19"/>
        <w:gridCol w:w="2431"/>
        <w:gridCol w:w="2428"/>
        <w:gridCol w:w="196"/>
        <w:gridCol w:w="740"/>
        <w:gridCol w:w="109"/>
        <w:gridCol w:w="109"/>
        <w:gridCol w:w="109"/>
        <w:gridCol w:w="109"/>
        <w:gridCol w:w="207"/>
        <w:gridCol w:w="780"/>
        <w:gridCol w:w="168"/>
      </w:tblGrid>
      <w:tr>
        <w:trPr/>
        <w:tc>
          <w:tcPr>
            <w:tcW w:w="281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$906 and $12,506 at June 30, 2023 and December 31, 2022, respectively, related to consolidated VIEs)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$846 and $966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$228 and $6,971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 (includes $29 and $0 at June 30,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$186 and $415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$27,043 and $73,140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$2,790 and $2,923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$384 and $4,896 at June 30,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$1,108 and $433 at June 30, 2023 and December 31, 2022, respectively, related to consolidated VIEs)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$0 and $7,821 at June 30, 2023 and December 31, 2022,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$272 and $646 at June 30, 2023 and December 31, 2022,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7"/>
        <w:gridCol w:w="2375"/>
        <w:gridCol w:w="2387"/>
        <w:gridCol w:w="196"/>
        <w:gridCol w:w="736"/>
        <w:gridCol w:w="109"/>
        <w:gridCol w:w="109"/>
        <w:gridCol w:w="109"/>
        <w:gridCol w:w="109"/>
        <w:gridCol w:w="196"/>
        <w:gridCol w:w="736"/>
        <w:gridCol w:w="156"/>
      </w:tblGrid>
      <w:tr>
        <w:trPr/>
        <w:tc>
          <w:tcPr>
            <w:tcW w:w="298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$1,169 and $380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$20,948 and $21,712 at June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June 30, 2023; 29,330,115 and 29,477,766 shares, issued and outstanding at June 30,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June 30, 2023; None issued and outstanding as of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June 30, 2023; None issued and outstanding as of June 30,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June 30, 2023; 144,399,037 and 144,399,037 shares issued and outstanding at June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0 shares at June 30,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20"/>
        <w:gridCol w:w="1424"/>
        <w:gridCol w:w="1434"/>
        <w:gridCol w:w="109"/>
        <w:gridCol w:w="109"/>
        <w:gridCol w:w="109"/>
        <w:gridCol w:w="223"/>
        <w:gridCol w:w="738"/>
        <w:gridCol w:w="111"/>
        <w:gridCol w:w="111"/>
        <w:gridCol w:w="111"/>
        <w:gridCol w:w="111"/>
        <w:gridCol w:w="200"/>
        <w:gridCol w:w="660"/>
        <w:gridCol w:w="111"/>
        <w:gridCol w:w="109"/>
        <w:gridCol w:w="109"/>
        <w:gridCol w:w="109"/>
        <w:gridCol w:w="223"/>
        <w:gridCol w:w="738"/>
        <w:gridCol w:w="109"/>
        <w:gridCol w:w="109"/>
        <w:gridCol w:w="109"/>
        <w:gridCol w:w="109"/>
        <w:gridCol w:w="196"/>
        <w:gridCol w:w="646"/>
        <w:gridCol w:w="158"/>
      </w:tblGrid>
      <w:tr>
        <w:trPr/>
        <w:tc>
          <w:tcPr>
            <w:tcW w:w="19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477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$9,412 and $12,765 for the three months ended June 30, 2023 and 2022, respectively; $14,127 and $20,845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$2,440 and $4,027 for the three months ended June 30, 2023 and 2022, respectively; $3,933 and $8,843 for the six months ended June 30,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$1,747 and $1,243 for the three months ended June 30, 2023 and 2022, respectively; $3,274 and $2,269,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26,977,682 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27,248,639 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based on their weighted average percentage of ownership. Please see Note.13</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lineRule="auto" w:line="288" w:before="200" w:after="20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Income per share information has not been presented for the three and six months ended June 30, 2022 as it would not be meaningful to the users of these condensed consolidated financial statements, </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01"/>
        <w:gridCol w:w="1465"/>
        <w:gridCol w:w="1403"/>
        <w:gridCol w:w="109"/>
        <w:gridCol w:w="109"/>
        <w:gridCol w:w="109"/>
        <w:gridCol w:w="226"/>
        <w:gridCol w:w="886"/>
        <w:gridCol w:w="116"/>
        <w:gridCol w:w="116"/>
        <w:gridCol w:w="116"/>
        <w:gridCol w:w="116"/>
        <w:gridCol w:w="226"/>
        <w:gridCol w:w="555"/>
        <w:gridCol w:w="116"/>
        <w:gridCol w:w="109"/>
        <w:gridCol w:w="109"/>
        <w:gridCol w:w="109"/>
        <w:gridCol w:w="211"/>
        <w:gridCol w:w="826"/>
        <w:gridCol w:w="109"/>
        <w:gridCol w:w="109"/>
        <w:gridCol w:w="109"/>
        <w:gridCol w:w="109"/>
        <w:gridCol w:w="211"/>
        <w:gridCol w:w="666"/>
        <w:gridCol w:w="159"/>
      </w:tblGrid>
      <w:tr>
        <w:trPr/>
        <w:tc>
          <w:tcPr>
            <w:tcW w:w="170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adjustments included in earnings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 xml:space="preserve">Represents the reclassification of the gain on termination of interest rate swaps on May 30, 2023. See Note 9 </w:t>
      </w:r>
      <w:r>
        <w:rPr>
          <w:rFonts w:ascii="Times New Roman;sans-serif" w:hAnsi="Times New Roman;sans-serif"/>
          <w:b w:val="false"/>
          <w:i/>
          <w:color w:val="000000"/>
          <w:sz w:val="20"/>
        </w:rPr>
        <w:t>Derivative Financial Instruments</w:t>
      </w:r>
      <w:r>
        <w:rPr>
          <w:color w:val="000000"/>
        </w:rPr>
        <w:t xml:space="preserve"> </w:t>
      </w:r>
      <w:r>
        <w:rPr>
          <w:rFonts w:ascii="Times New Roman;sans-serif" w:hAnsi="Times New Roman;sans-serif"/>
          <w:b w:val="false"/>
          <w:color w:val="000000"/>
          <w:sz w:val="20"/>
        </w:rPr>
        <w:t>for additional information. Additionally, there is $334 reclassification into earnings from our equity method investments.</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(DEFICIT)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9233" w:type="dxa"/>
        <w:jc w:val="center"/>
        <w:tblInd w:w="0" w:type="dxa"/>
        <w:tblLayout w:type="fixed"/>
        <w:tblCellMar>
          <w:top w:w="28" w:type="dxa"/>
          <w:left w:w="28" w:type="dxa"/>
          <w:bottom w:w="28" w:type="dxa"/>
          <w:right w:w="28" w:type="dxa"/>
        </w:tblCellMar>
      </w:tblPr>
      <w:tblGrid>
        <w:gridCol w:w="655"/>
        <w:gridCol w:w="338"/>
        <w:gridCol w:w="283"/>
        <w:gridCol w:w="109"/>
        <w:gridCol w:w="109"/>
        <w:gridCol w:w="109"/>
        <w:gridCol w:w="480"/>
        <w:gridCol w:w="481"/>
        <w:gridCol w:w="196"/>
        <w:gridCol w:w="109"/>
        <w:gridCol w:w="109"/>
        <w:gridCol w:w="109"/>
        <w:gridCol w:w="286"/>
        <w:gridCol w:w="296"/>
        <w:gridCol w:w="109"/>
        <w:gridCol w:w="109"/>
        <w:gridCol w:w="109"/>
        <w:gridCol w:w="109"/>
        <w:gridCol w:w="525"/>
        <w:gridCol w:w="526"/>
        <w:gridCol w:w="196"/>
        <w:gridCol w:w="109"/>
        <w:gridCol w:w="109"/>
        <w:gridCol w:w="109"/>
        <w:gridCol w:w="251"/>
        <w:gridCol w:w="331"/>
        <w:gridCol w:w="109"/>
        <w:gridCol w:w="109"/>
        <w:gridCol w:w="109"/>
        <w:gridCol w:w="109"/>
        <w:gridCol w:w="235"/>
        <w:gridCol w:w="488"/>
        <w:gridCol w:w="133"/>
        <w:gridCol w:w="109"/>
        <w:gridCol w:w="109"/>
        <w:gridCol w:w="109"/>
        <w:gridCol w:w="196"/>
        <w:gridCol w:w="751"/>
        <w:gridCol w:w="109"/>
        <w:gridCol w:w="109"/>
        <w:gridCol w:w="109"/>
        <w:gridCol w:w="109"/>
        <w:gridCol w:w="316"/>
        <w:gridCol w:w="679"/>
        <w:gridCol w:w="176"/>
        <w:gridCol w:w="109"/>
        <w:gridCol w:w="109"/>
        <w:gridCol w:w="109"/>
        <w:gridCol w:w="262"/>
        <w:gridCol w:w="866"/>
        <w:gridCol w:w="148"/>
        <w:gridCol w:w="109"/>
        <w:gridCol w:w="109"/>
        <w:gridCol w:w="109"/>
        <w:gridCol w:w="456"/>
        <w:gridCol w:w="430"/>
        <w:gridCol w:w="196"/>
        <w:gridCol w:w="109"/>
        <w:gridCol w:w="109"/>
        <w:gridCol w:w="109"/>
        <w:gridCol w:w="196"/>
        <w:gridCol w:w="661"/>
        <w:gridCol w:w="109"/>
        <w:gridCol w:w="327"/>
        <w:gridCol w:w="196"/>
        <w:gridCol w:w="761"/>
        <w:gridCol w:w="109"/>
        <w:gridCol w:w="327"/>
        <w:gridCol w:w="226"/>
        <w:gridCol w:w="849"/>
        <w:gridCol w:w="126"/>
        <w:gridCol w:w="327"/>
        <w:gridCol w:w="200"/>
        <w:gridCol w:w="888"/>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29,477,766 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on warrant exchange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Cancellation of fractional shares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put option forward purchase contract -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Forfeiture of Class A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Deconsolidation of entities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1,068,274 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As of May 30, 2023, two of our RNG facilities, Emerald and Sapphire (defined below) were deconsolidated and accounted for under equity method as per ASC 323. Please see Note 4 Investment in Other entities and Note 12 Variable Interest Entities for additional information. </w:t>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tbl>
      <w:tblPr>
        <w:tblW w:w="15567" w:type="dxa"/>
        <w:jc w:val="center"/>
        <w:tblInd w:w="0" w:type="dxa"/>
        <w:tblLayout w:type="fixed"/>
        <w:tblCellMar>
          <w:top w:w="28" w:type="dxa"/>
          <w:left w:w="28" w:type="dxa"/>
          <w:bottom w:w="28" w:type="dxa"/>
          <w:right w:w="28" w:type="dxa"/>
        </w:tblCellMar>
      </w:tblPr>
      <w:tblGrid>
        <w:gridCol w:w="629"/>
        <w:gridCol w:w="485"/>
        <w:gridCol w:w="312"/>
        <w:gridCol w:w="109"/>
        <w:gridCol w:w="109"/>
        <w:gridCol w:w="109"/>
        <w:gridCol w:w="210"/>
        <w:gridCol w:w="210"/>
        <w:gridCol w:w="211"/>
        <w:gridCol w:w="109"/>
        <w:gridCol w:w="109"/>
        <w:gridCol w:w="109"/>
        <w:gridCol w:w="251"/>
        <w:gridCol w:w="406"/>
        <w:gridCol w:w="109"/>
        <w:gridCol w:w="109"/>
        <w:gridCol w:w="109"/>
        <w:gridCol w:w="109"/>
        <w:gridCol w:w="593"/>
        <w:gridCol w:w="593"/>
        <w:gridCol w:w="211"/>
        <w:gridCol w:w="109"/>
        <w:gridCol w:w="109"/>
        <w:gridCol w:w="109"/>
        <w:gridCol w:w="296"/>
        <w:gridCol w:w="361"/>
        <w:gridCol w:w="109"/>
        <w:gridCol w:w="109"/>
        <w:gridCol w:w="109"/>
        <w:gridCol w:w="109"/>
        <w:gridCol w:w="288"/>
        <w:gridCol w:w="554"/>
        <w:gridCol w:w="149"/>
        <w:gridCol w:w="109"/>
        <w:gridCol w:w="109"/>
        <w:gridCol w:w="109"/>
        <w:gridCol w:w="244"/>
        <w:gridCol w:w="470"/>
        <w:gridCol w:w="127"/>
        <w:gridCol w:w="109"/>
        <w:gridCol w:w="109"/>
        <w:gridCol w:w="109"/>
        <w:gridCol w:w="292"/>
        <w:gridCol w:w="998"/>
        <w:gridCol w:w="151"/>
        <w:gridCol w:w="109"/>
        <w:gridCol w:w="109"/>
        <w:gridCol w:w="109"/>
        <w:gridCol w:w="243"/>
        <w:gridCol w:w="831"/>
        <w:gridCol w:w="127"/>
        <w:gridCol w:w="109"/>
        <w:gridCol w:w="109"/>
        <w:gridCol w:w="109"/>
        <w:gridCol w:w="257"/>
        <w:gridCol w:w="1006"/>
        <w:gridCol w:w="133"/>
        <w:gridCol w:w="109"/>
        <w:gridCol w:w="109"/>
        <w:gridCol w:w="109"/>
        <w:gridCol w:w="279"/>
        <w:gridCol w:w="956"/>
        <w:gridCol w:w="206"/>
      </w:tblGrid>
      <w:tr>
        <w:trPr/>
        <w:tc>
          <w:tcPr>
            <w:tcW w:w="6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on payment to acquire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132,645 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4" w:type="dxa"/>
        <w:jc w:val="left"/>
        <w:tblInd w:w="0" w:type="dxa"/>
        <w:tblLayout w:type="fixed"/>
        <w:tblCellMar>
          <w:top w:w="28" w:type="dxa"/>
          <w:left w:w="28" w:type="dxa"/>
          <w:bottom w:w="28" w:type="dxa"/>
          <w:right w:w="28" w:type="dxa"/>
        </w:tblCellMar>
      </w:tblPr>
      <w:tblGrid>
        <w:gridCol w:w="2505"/>
        <w:gridCol w:w="2197"/>
        <w:gridCol w:w="2213"/>
        <w:gridCol w:w="196"/>
        <w:gridCol w:w="736"/>
        <w:gridCol w:w="109"/>
        <w:gridCol w:w="109"/>
        <w:gridCol w:w="109"/>
        <w:gridCol w:w="109"/>
        <w:gridCol w:w="196"/>
        <w:gridCol w:w="631"/>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69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short 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38"/>
        <w:gridCol w:w="2497"/>
        <w:gridCol w:w="2505"/>
        <w:gridCol w:w="196"/>
        <w:gridCol w:w="646"/>
        <w:gridCol w:w="109"/>
        <w:gridCol w:w="109"/>
        <w:gridCol w:w="109"/>
        <w:gridCol w:w="109"/>
        <w:gridCol w:w="196"/>
        <w:gridCol w:w="736"/>
        <w:gridCol w:w="155"/>
      </w:tblGrid>
      <w:tr>
        <w:trPr/>
        <w:tc>
          <w:tcPr>
            <w:tcW w:w="2838"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Reimbursement of financing costs by joint venture partner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non-controlling interest,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restricted 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$3,785 and $0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contingent consideration to redeem the non-controlling interest included in Other long-term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three and six months ended June 30,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New River LLC (“New River”), Reynolds NRG LLC (“Reynolds”), Central Valley LLC (“Central Valley”), Prince William RNG LLC (“Prince William”), Cottonwood RNG LLC, Polk County RNG LLC (“Polk County”), Fortistar Contracting LLC, Fortistar RNG LLC, and OPAL Fuel station services LLC (“Fuel station services”).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accompanying condensed consolidated financial statements reflect the activities of the Company, its subsidiaries, and its equity method investments for the three and six months ended June 30, 2023 and 2022. Investments in unconsolidated entities in which the Company can influence the operating or financial decisions are accounted for under the equity method. On May 30, 2023, the Company together with a third-party environmental solutions company formed a new joint venture holding company Paragon LLC ("Paragon"). The Company owns 50% of ownership interest in Paragon. Concurrent to the formation of Paragon, the Company contributed its 50% ownership interests in Emerald and Sapphire to Paragon. Upon the execution of the above transaction, the Company reassessed its equity interests in Emerald and Sapphire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the Company does not have a controlling financial interest in Paragon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810 because the governance of the joint venture is driven by a board jointly controlled by the joint venture partner and OPAL equally and there are substantive participating rights held by the joint venture partner in the significant activities of Paragon. Prior to May 30, 2023, the Company consolidated these two entities in accordance with the variable interest entity model guidance under ASC 810, Consolidation.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accounted for its ownership interests in Pine Bend RNG LLC ("Pine Bend"), Noble Road RNG LLC ("Noble Road"), Emerald RNG LLC (“Emerald”), Sapphire RNG LLC (“Sapphire”), Paragon RNG LLC ("Paragon") and GREP BTB Holdings LLC ("GREP") under the equity method.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As of December 31, 2022, the Company accounted for its ownership interests in Pine Bend RNG LLC ("Pine Bend"), Noble Road RNG LLC ("Noble Road") and GREP BTB Holdings LLC ("GREP") under the equity method. Please see Note 3. </w:t>
      </w:r>
      <w:r>
        <w:rPr>
          <w:rFonts w:ascii="Times New Roman;sans-serif" w:hAnsi="Times New Roman;sans-serif"/>
          <w:b w:val="false"/>
          <w:i/>
          <w:color w:val="000000"/>
          <w:sz w:val="20"/>
        </w:rPr>
        <w:t xml:space="preserve">Investment in Other Entities,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financial statements have been prepared in accordance with the instructions to Form 10-Q and Article 10 of Regulation S-X of the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2022 Annual Report on Form 10-K, which was filed with SEC on March 30, 2023. In the opinion of management, the accompanying unaudited condensed financial statements include all adjustments, consisting of a normal recurring nature, which are necessary for a fair statement of the financial position, operating results, and cash flows for the periods presented.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the fair value of deconsolidated VIEs and the fair value of derivative instruments. Actual results could differ from those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adopted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("ASC 326"), with the objective of providing financial statement users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will result in more timely recognition of such losses. The Company adopted the accounting standard using the prospective transition approach as of January 1, 2023. The cumulative effect upon adoption was not material to our condensed consolidated financial statements.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of ASC 326 primarily impacted our trade receivables and the Note receivable - variable fee component recorded on our condensed consolidated balance sheet as of June 30,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about the creditworthiness of customers based on ongoing credit evaluations. The Company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considered customer-specific information, current market conditions and reasonable and supportable forecasts of future economic conditions to inform adjustments to historical loss data. The carrying value of the Note receivable - variable fee component on the condensed consolidated balance sheet as of June 30, 2023 is based on discounted expected cash flows model which are adjusted on a quarterly basis. Therefore, the Company determined that the credit risk component is included in the carrying value at each reporting period. The adoption of ASC 326 did not have any material impact on our condensed consolidated financial statements.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"Leases" as of January 1, 2022 and evaluated all of its contracts and recorded right-of-use assets and corresponding lease liabilities on its consolidated balance sheet as of January 1, 2022. The 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The Company retrospectively adjusted the financial statements as of and for the three and six months ended June 30, 2022 to reflect the adoption of ASC 842.</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not yet adopted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leasehold improvements associated with common control leases be amortized by the lessee over the useful life of the leasehold improvements to the common control group (regardless of the lease term) as long as the lessee controls the use of the underlying asset and account for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condensed consolidated financial statements.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June 30, 2023 and December 31, 2022:</w:t>
      </w:r>
    </w:p>
    <w:tbl>
      <w:tblPr>
        <w:tblW w:w="6270" w:type="dxa"/>
        <w:jc w:val="left"/>
        <w:tblInd w:w="0" w:type="dxa"/>
        <w:tblLayout w:type="fixed"/>
        <w:tblCellMar>
          <w:top w:w="28" w:type="dxa"/>
          <w:left w:w="28" w:type="dxa"/>
          <w:bottom w:w="28" w:type="dxa"/>
          <w:right w:w="28" w:type="dxa"/>
        </w:tblCellMar>
      </w:tblPr>
      <w:tblGrid>
        <w:gridCol w:w="1259"/>
        <w:gridCol w:w="1105"/>
        <w:gridCol w:w="1116"/>
        <w:gridCol w:w="109"/>
        <w:gridCol w:w="109"/>
        <w:gridCol w:w="109"/>
        <w:gridCol w:w="196"/>
        <w:gridCol w:w="646"/>
        <w:gridCol w:w="109"/>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as of June 30, 2023 primarily relates to interest reserve on the Sunoma Loan. Restricted cash - current as of December 31, 2022 primarily consists of (i) $16,849 held in escrow to secure the Company's purchase obligations under the forward purchase agreement with Meteora (ii) $5,845 equity contribution to a joint venture in connection with the closing of OPAL Term Loan II (iii) $1,127 relates to interest reserve on the Sunoma Loan and (iv)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$8,581 held in a restricted account for funding one of our RNG projects. The decrease in the Restricted cash relates to termination of the forward purchase agreement with Meteora and funds spent on construction of our RNG facilities.</w:t>
      </w:r>
    </w:p>
    <w:p>
      <w:pPr>
        <w:pStyle w:val="TextBody"/>
        <w:bidi w:val="0"/>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$16,955 and $64,976 as of June 30, 2023 and December 31, 2022, respectively, consists of cash invested in money market accounts with maturities ranging between 1 and 12 months as of the reporting date. The amounts in these money market accounts are liquid and available for general use.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completed in July 2022 and pursuant to a sponsor letter agreement, ArcLight CTC Holdings II, L.P.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and six months ended June 30, 2023, the Company recorded a gain of $327 and $4,638 in its condensed consolidated statement of operations. As of June 30, 2023 and December 31, 2022, the Company recorded $4,153 and $8,790, respectively, on its condensed consolidated balance sheets.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part of change in fair value of derivative instruments, net.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2023, pursuant to the terms of the forward purchase agreement, Meteora exercised its option to sell back 1,635,783 shares to the Company. $16,391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condensed consolidated balance sheet as of June 30,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June 30, 2023, the maximum redemption value is $1,068,274.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Sponsor Earnout Awards and OPAL Earnout Awards.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$0 at June 30,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amounts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estimated the value of its total asset retirement obligations to be $6,461 and $6,256,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June 30, 2023:</w:t>
      </w:r>
    </w:p>
    <w:tbl>
      <w:tblPr>
        <w:tblW w:w="4970" w:type="dxa"/>
        <w:jc w:val="left"/>
        <w:tblInd w:w="0" w:type="dxa"/>
        <w:tblLayout w:type="fixed"/>
        <w:tblCellMar>
          <w:top w:w="28" w:type="dxa"/>
          <w:left w:w="28" w:type="dxa"/>
          <w:bottom w:w="28" w:type="dxa"/>
          <w:right w:w="28" w:type="dxa"/>
        </w:tblCellMar>
      </w:tblPr>
      <w:tblGrid>
        <w:gridCol w:w="1469"/>
        <w:gridCol w:w="1293"/>
        <w:gridCol w:w="1302"/>
        <w:gridCol w:w="196"/>
        <w:gridCol w:w="556"/>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December 31, 2022 - Current and non-current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that allows for the recognition of revenue from performance obligations in the amount of consideration to which there is a right to invoice the customer and when the amount for which there is a right to invoice corresponds directly to the value transferred to the customer.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public CNG Fueling Stations where there is no contract with the customer, the Company recognizes revenue at the point in time that the customer takes control of the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environmental credits held for sale within the condensed consolidated balance sheet based on the fair value of RINs or LCFSs at contract commencement.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June 30, 2023 and 2022, the Company earned net revenues after discount and fees of $11,852 and $16,792, respectively under this contract which was recorded as part of Revenues - RNG fuel and Fuel Station Services. For the six months ended June 30, 2023 and 2022, the Company earned net revenues after discount and fees of $18,060 and $29,688,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4"/>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adoption of ASC 842, the Company adopted the practical expedient not to reassess the classification. For additional information on lease revenues earned, please see Note 8. </w:t>
      </w:r>
      <w:r>
        <w:rPr>
          <w:rFonts w:ascii="Times New Roman;sans-serif" w:hAnsi="Times New Roman;sans-serif"/>
          <w:b w:val="false"/>
          <w:i/>
          <w:color w:val="000000"/>
          <w:sz w:val="20"/>
        </w:rPr>
        <w:t>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p>
      <w:pPr>
        <w:pStyle w:val="TextBody"/>
        <w:bidi w:val="0"/>
        <w:spacing w:before="160" w:after="283"/>
        <w:ind w:left="0" w:right="0" w:firstLine="360"/>
        <w:jc w:val="left"/>
        <w:rPr/>
      </w:pPr>
      <w:r>
        <w:rPr/>
      </w:r>
    </w:p>
    <w:tbl>
      <w:tblPr>
        <w:tblW w:w="8729"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215"/>
        <w:gridCol w:w="708"/>
        <w:gridCol w:w="119"/>
        <w:gridCol w:w="119"/>
        <w:gridCol w:w="119"/>
        <w:gridCol w:w="119"/>
        <w:gridCol w:w="215"/>
        <w:gridCol w:w="708"/>
        <w:gridCol w:w="119"/>
        <w:gridCol w:w="109"/>
        <w:gridCol w:w="109"/>
        <w:gridCol w:w="109"/>
        <w:gridCol w:w="196"/>
        <w:gridCol w:w="646"/>
        <w:gridCol w:w="109"/>
        <w:gridCol w:w="109"/>
        <w:gridCol w:w="109"/>
        <w:gridCol w:w="109"/>
        <w:gridCol w:w="196"/>
        <w:gridCol w:w="73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27.4% and 24.3%, respectively of revenue was recognized over time, and the remainder was for products and services transferred at a point in time. For the six months ended June 30, 2023 and 2022, 22.7% and 22.3%, respectively of revenue was recognized over time, and the remainder was for products and services transferred at a point in time. </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10205" w:type="dxa"/>
        <w:jc w:val="left"/>
        <w:tblInd w:w="0" w:type="dxa"/>
        <w:tblLayout w:type="fixed"/>
        <w:tblCellMar>
          <w:top w:w="28" w:type="dxa"/>
          <w:left w:w="28" w:type="dxa"/>
          <w:bottom w:w="28" w:type="dxa"/>
          <w:right w:w="28" w:type="dxa"/>
        </w:tblCellMar>
      </w:tblPr>
      <w:tblGrid>
        <w:gridCol w:w="1887"/>
        <w:gridCol w:w="1642"/>
        <w:gridCol w:w="1654"/>
        <w:gridCol w:w="228"/>
        <w:gridCol w:w="858"/>
        <w:gridCol w:w="127"/>
        <w:gridCol w:w="127"/>
        <w:gridCol w:w="127"/>
        <w:gridCol w:w="127"/>
        <w:gridCol w:w="228"/>
        <w:gridCol w:w="473"/>
        <w:gridCol w:w="127"/>
        <w:gridCol w:w="109"/>
        <w:gridCol w:w="109"/>
        <w:gridCol w:w="109"/>
        <w:gridCol w:w="209"/>
        <w:gridCol w:w="787"/>
        <w:gridCol w:w="116"/>
        <w:gridCol w:w="116"/>
        <w:gridCol w:w="116"/>
        <w:gridCol w:w="116"/>
        <w:gridCol w:w="209"/>
        <w:gridCol w:w="434"/>
        <w:gridCol w:w="170"/>
      </w:tblGrid>
      <w:tr>
        <w:trPr/>
        <w:tc>
          <w:tcPr>
            <w:tcW w:w="188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deconsolidation of VIEs </w:t>
            </w:r>
            <w:r>
              <w:rPr>
                <w:rFonts w:ascii="Times New Roman;sans-serif" w:hAnsi="Times New Roman;sans-serif"/>
                <w:b w:val="false"/>
                <w:color w:val="000000"/>
                <w:sz w:val="12"/>
              </w:rPr>
              <w:t>(1)</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transfer of non-financial asset in exchange for services received </w:t>
            </w:r>
            <w:r>
              <w:rPr>
                <w:rFonts w:ascii="Times New Roman;sans-serif" w:hAnsi="Times New Roman;sans-serif"/>
                <w:b w:val="false"/>
                <w:color w:val="000000"/>
                <w:sz w:val="12"/>
              </w:rPr>
              <w:t>(2)</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non-cash gain on deconsolidation of Emerald and Sapphire on May 30, 2023.</w:t>
      </w:r>
    </w:p>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Represents the fair value of RINs transferred as consideration for services received.</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078" w:type="dxa"/>
        <w:jc w:val="left"/>
        <w:tblInd w:w="0" w:type="dxa"/>
        <w:tblLayout w:type="fixed"/>
        <w:tblCellMar>
          <w:top w:w="28" w:type="dxa"/>
          <w:left w:w="28" w:type="dxa"/>
          <w:bottom w:w="28" w:type="dxa"/>
          <w:right w:w="28" w:type="dxa"/>
        </w:tblCellMar>
      </w:tblPr>
      <w:tblGrid>
        <w:gridCol w:w="1311"/>
        <w:gridCol w:w="1148"/>
        <w:gridCol w:w="1156"/>
        <w:gridCol w:w="196"/>
        <w:gridCol w:w="646"/>
        <w:gridCol w:w="109"/>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recognized revenue of $8,013 that was included in "Contract liabilities" at December 31, 2022. During the six months ended June 30, 2022, the Company recognized revenue of $9,785 that was included in "Contract liabilities" at December 31,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June 30, 2023, the Company had a backlog of $43,063 which is anticipated to be recognized as revenue in the next 12 months.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three customers accounted for 47% and 46% of the revenue. For the three and six months ended June 30, 2022, two customers accounted for 48.4% and 45% of the revenue. At June 30, 2023, two customers accounted for 24% of accounts receivable. At December 31, 2022, two customers accounted for 44% of accounts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2023</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two vendors accounted for 45% of the accounts payable. As of December 31, 2022, one vendor accounted for 19% of the accounts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Deconsolidation of Emerald and Sapphire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the Company together with a third-party environmental solutions company formed a new joint venture holding company Paragon LLC ("Paragon"). The Company owns 50% of the ownership interest in Paragon. Concurrent to the formation of Paragon, the Company contributed its 50% ownership interests in Emerald and Sapphire to Paragon.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OPAL Fuels Intermediate Holdco 2 LLC (“OPAL Intermediate Holdco 2”), a wholly-owned indirect subsidiary of the Company, assigned to Paragon its rights and obligations under its existing senior secured credit facility, OPAL Term Loan II.</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Upon the execution of the above two transactions, the Company reassessed its equity interests in Emerald and Sapphire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the Company does not have a controlling financial interest in Paragon under ASC 810 because the governance of the joint venture is driven by a board jointly controlled by the joint venture partner and OPAL equally and there are substantive participating rights held by the joint venture partner in the significant activities of Paragon. </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Based on the above analysis, the Company determined that it should account for its ownership interests in Paragon under the equity method of accounting pursuant to ASC 323, </w:t>
      </w:r>
      <w:r>
        <w:rPr>
          <w:rFonts w:ascii="Times New Roman;sans-serif" w:hAnsi="Times New Roman;sans-serif"/>
          <w:b w:val="false"/>
          <w:i/>
          <w:color w:val="000000"/>
          <w:sz w:val="20"/>
        </w:rPr>
        <w:t>Investments Equity Method and Joint Ventures</w:t>
      </w:r>
      <w:r>
        <w:rPr>
          <w:rFonts w:ascii="Times New Roman;sans-serif" w:hAnsi="Times New Roman;sans-serif"/>
          <w:b w:val="false"/>
          <w:color w:val="000000"/>
          <w:sz w:val="20"/>
        </w:rPr>
        <w:t xml:space="preserve">, prospectively, as the Company has the ability to exercise significant influence, but not control over the joint venture company.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May 30, 2023, the Company consolidated these two entities in accordance with the variable interest entity model guidance under ASC 810, Consolidation. Additionally, the Company deconsolidated $2,765 capitalized interest on these two projects. Upon deconsolidation, the Company remeasured the fair value of the retained investment and recognized a gain of $122,873 in the condensed consolidated statement of operations for the three and six months ended June 30, 2023 and a corresponding increase in its basis in Investment in Other Entities on its condensed consolidated balance sheet as of June 30, 2023. The Company determined that the gain on deconsolidation is attributable to the construction in progress and therefore will be amortized over the useful life of the asset beginning the date the asset is placed in service. The fair value of the retained investment was measured based on a discounted cash flows model in which the future net cash flows from the two RNG facilities were discounted to their present value using a discount factor of 14%.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Investment 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48"/>
        <w:gridCol w:w="707"/>
        <w:gridCol w:w="711"/>
        <w:gridCol w:w="109"/>
        <w:gridCol w:w="109"/>
        <w:gridCol w:w="109"/>
        <w:gridCol w:w="211"/>
        <w:gridCol w:w="721"/>
        <w:gridCol w:w="271"/>
        <w:gridCol w:w="109"/>
        <w:gridCol w:w="109"/>
        <w:gridCol w:w="109"/>
        <w:gridCol w:w="211"/>
        <w:gridCol w:w="826"/>
        <w:gridCol w:w="271"/>
        <w:gridCol w:w="109"/>
        <w:gridCol w:w="109"/>
        <w:gridCol w:w="109"/>
        <w:gridCol w:w="211"/>
        <w:gridCol w:w="721"/>
        <w:gridCol w:w="271"/>
        <w:gridCol w:w="109"/>
        <w:gridCol w:w="109"/>
        <w:gridCol w:w="109"/>
        <w:gridCol w:w="211"/>
        <w:gridCol w:w="616"/>
        <w:gridCol w:w="271"/>
        <w:gridCol w:w="109"/>
        <w:gridCol w:w="109"/>
        <w:gridCol w:w="109"/>
        <w:gridCol w:w="211"/>
        <w:gridCol w:w="826"/>
        <w:gridCol w:w="155"/>
      </w:tblGrid>
      <w:tr>
        <w:trPr/>
        <w:tc>
          <w:tcPr>
            <w:tcW w:w="114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Emerald and Sapphire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deferred financing costs and 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from equity method investment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adjustments into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deconsolidation of Emerald and Sapphire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basis difference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i/>
          <w:color w:val="000000"/>
          <w:sz w:val="13"/>
        </w:rPr>
        <w:t>(</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Reflected in Income from equity method investments in the condensed consolidated statement of operations for the three and six months ended June 30, 2023 and 2022.</w:t>
      </w:r>
    </w:p>
    <w:p>
      <w:pPr>
        <w:pStyle w:val="TextBody"/>
        <w:bidi w:val="0"/>
        <w:spacing w:lineRule="auto" w:line="288" w:before="200" w:after="20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Recorded as part of Other income in our condensed consolidated statement of operations for the three and six months ended June 30, 2023.</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2022, Biotown repaid the total amount outstanding under the Note receivable including paid-in-kind interest and prepayment penalty.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$81 and $159 as a reduction to interest and financing expense, net in the condensed consolidated statement of operations for the three and six months ended June 30, 2023, respectively. The Company recorded $524 and $746 as a reduction to interest and financing expense, net in its condensed consolidated statement of operations for the three and six months ended June 30,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$2,101 and $1,942 is recorded as a long-term asset on its condensed consolidated balance sheets as of June 30, 2023 and December 31, 2022, respectively.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793" w:type="dxa"/>
        <w:jc w:val="left"/>
        <w:tblInd w:w="0" w:type="dxa"/>
        <w:tblLayout w:type="fixed"/>
        <w:tblCellMar>
          <w:top w:w="28" w:type="dxa"/>
          <w:left w:w="28" w:type="dxa"/>
          <w:bottom w:w="28" w:type="dxa"/>
          <w:right w:w="28" w:type="dxa"/>
        </w:tblCellMar>
      </w:tblPr>
      <w:tblGrid>
        <w:gridCol w:w="1356"/>
        <w:gridCol w:w="1193"/>
        <w:gridCol w:w="1201"/>
        <w:gridCol w:w="233"/>
        <w:gridCol w:w="663"/>
        <w:gridCol w:w="130"/>
        <w:gridCol w:w="130"/>
        <w:gridCol w:w="130"/>
        <w:gridCol w:w="130"/>
        <w:gridCol w:w="233"/>
        <w:gridCol w:w="663"/>
        <w:gridCol w:w="130"/>
        <w:gridCol w:w="109"/>
        <w:gridCol w:w="109"/>
        <w:gridCol w:w="109"/>
        <w:gridCol w:w="204"/>
        <w:gridCol w:w="674"/>
        <w:gridCol w:w="113"/>
        <w:gridCol w:w="113"/>
        <w:gridCol w:w="113"/>
        <w:gridCol w:w="113"/>
        <w:gridCol w:w="204"/>
        <w:gridCol w:w="580"/>
        <w:gridCol w:w="160"/>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income from equity method investments </w:t>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June 30, 2023 and December 31, 2022:</w:t>
      </w:r>
    </w:p>
    <w:tbl>
      <w:tblPr>
        <w:tblW w:w="5147" w:type="dxa"/>
        <w:jc w:val="left"/>
        <w:tblInd w:w="0" w:type="dxa"/>
        <w:tblLayout w:type="fixed"/>
        <w:tblCellMar>
          <w:top w:w="28" w:type="dxa"/>
          <w:left w:w="28" w:type="dxa"/>
          <w:bottom w:w="28" w:type="dxa"/>
          <w:right w:w="28" w:type="dxa"/>
        </w:tblCellMar>
      </w:tblPr>
      <w:tblGrid>
        <w:gridCol w:w="940"/>
        <w:gridCol w:w="824"/>
        <w:gridCol w:w="830"/>
        <w:gridCol w:w="196"/>
        <w:gridCol w:w="736"/>
        <w:gridCol w:w="109"/>
        <w:gridCol w:w="109"/>
        <w:gridCol w:w="109"/>
        <w:gridCol w:w="109"/>
        <w:gridCol w:w="214"/>
        <w:gridCol w:w="803"/>
        <w:gridCol w:w="16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$4,101 and $3,081 of capitalized interest on our OPAL Term Loan facility as of June 30, 2023 and December 31, 2022.</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construction in progress balance consists of our investment in the construction of RNG generation facilities including, but not limited to Prince William, Central Valley RNG projects and RNG dispensing facilities. The majority of these facilities, for which costs are in construction in progress as of June 30, 2023, are expected to be operational during the fourth quarter of 2023 and early 2024. As of December 31, 2022, the construction in progress balance consists of our investment in the construction of RNG generation facilities such as Emerald, Sapphire, Prince William, Central Valley and other RNG dispensing facilities. The decrease in the balance represents deconsolidation of Emerald and Sapphire during the second quarter of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three months ended June 30, 2023 and 2022 was $3,372 and $3,239, respectively. The depreciation expense for the six months ended June 30, 2023 and June 30, 2022 was $6,677 and $6,279,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June 30, 2023 and December 31, 2022:</w:t>
      </w:r>
    </w:p>
    <w:p>
      <w:pPr>
        <w:pStyle w:val="TextBody"/>
        <w:bidi w:val="0"/>
        <w:spacing w:before="120" w:after="283"/>
        <w:ind w:left="0" w:right="0" w:firstLine="36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(8,788)</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six months ended June 30, 2023 was $153 and $313, respectively. Amortization expense for the three and six months ended June 30, 2022 was $282 and $398, respectively. At June 30, 2023, estimated future amortization expense for intangible assets is as follows:</w:t>
      </w:r>
    </w:p>
    <w:tbl>
      <w:tblPr>
        <w:tblW w:w="3741" w:type="dxa"/>
        <w:jc w:val="left"/>
        <w:tblInd w:w="0" w:type="dxa"/>
        <w:tblLayout w:type="fixed"/>
        <w:tblCellMar>
          <w:top w:w="28" w:type="dxa"/>
          <w:left w:w="28" w:type="dxa"/>
          <w:bottom w:w="28" w:type="dxa"/>
          <w:right w:w="28" w:type="dxa"/>
        </w:tblCellMar>
      </w:tblPr>
      <w:tblGrid>
        <w:gridCol w:w="1025"/>
        <w:gridCol w:w="903"/>
        <w:gridCol w:w="907"/>
        <w:gridCol w:w="196"/>
        <w:gridCol w:w="556"/>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 months ended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695" w:type="dxa"/>
        <w:jc w:val="left"/>
        <w:tblInd w:w="0" w:type="dxa"/>
        <w:tblLayout w:type="fixed"/>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June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288" w:type="dxa"/>
        <w:jc w:val="left"/>
        <w:tblInd w:w="0" w:type="dxa"/>
        <w:tblLayout w:type="fixed"/>
        <w:tblCellMar>
          <w:top w:w="28" w:type="dxa"/>
          <w:left w:w="28" w:type="dxa"/>
          <w:bottom w:w="28" w:type="dxa"/>
          <w:right w:w="28" w:type="dxa"/>
        </w:tblCellMar>
      </w:tblPr>
      <w:tblGrid>
        <w:gridCol w:w="1769"/>
        <w:gridCol w:w="1557"/>
        <w:gridCol w:w="1564"/>
        <w:gridCol w:w="109"/>
        <w:gridCol w:w="109"/>
        <w:gridCol w:w="109"/>
        <w:gridCol w:w="238"/>
        <w:gridCol w:w="785"/>
        <w:gridCol w:w="132"/>
        <w:gridCol w:w="109"/>
        <w:gridCol w:w="109"/>
        <w:gridCol w:w="109"/>
        <w:gridCol w:w="313"/>
        <w:gridCol w:w="1031"/>
        <w:gridCol w:w="245"/>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24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principal maturities of debt are expected as follows, excluding any subsequent refinancing transactions and any undrawn debt facilities as of the date of the condensed consolidated balance sheets: </w:t>
      </w:r>
    </w:p>
    <w:tbl>
      <w:tblPr>
        <w:tblW w:w="9305" w:type="dxa"/>
        <w:jc w:val="left"/>
        <w:tblInd w:w="0" w:type="dxa"/>
        <w:tblLayout w:type="fixed"/>
        <w:tblCellMar>
          <w:top w:w="28" w:type="dxa"/>
          <w:left w:w="28" w:type="dxa"/>
          <w:bottom w:w="28" w:type="dxa"/>
          <w:right w:w="28" w:type="dxa"/>
        </w:tblCellMar>
      </w:tblPr>
      <w:tblGrid>
        <w:gridCol w:w="1046"/>
        <w:gridCol w:w="922"/>
        <w:gridCol w:w="926"/>
        <w:gridCol w:w="109"/>
        <w:gridCol w:w="109"/>
        <w:gridCol w:w="109"/>
        <w:gridCol w:w="312"/>
        <w:gridCol w:w="1029"/>
        <w:gridCol w:w="173"/>
        <w:gridCol w:w="109"/>
        <w:gridCol w:w="109"/>
        <w:gridCol w:w="109"/>
        <w:gridCol w:w="247"/>
        <w:gridCol w:w="815"/>
        <w:gridCol w:w="137"/>
        <w:gridCol w:w="109"/>
        <w:gridCol w:w="109"/>
        <w:gridCol w:w="109"/>
        <w:gridCol w:w="268"/>
        <w:gridCol w:w="886"/>
        <w:gridCol w:w="150"/>
        <w:gridCol w:w="109"/>
        <w:gridCol w:w="109"/>
        <w:gridCol w:w="109"/>
        <w:gridCol w:w="196"/>
        <w:gridCol w:w="736"/>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bidi w:val="0"/>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94"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Six months ending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92,224 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Convertible Note Payable is redeemable on demand at the option of the Company or the lender.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2015, FM3, an indirect wholly-owned subsidiary of the Company, entered into a senior secured credit facility (the "Senior Secured Credit Facility") as a borrower and a syndicate of lenders, which provided for an aggregate principal amount of $150,000, consisting of (i) a term loan of $125,000, (ii) a working capital letter of credit facility of up to $19,000 and (iii) a debt service reserve and liquidity facility of up to $6,000. The Company paid $14,300 to the lenders in connection with the transaction.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Senior Secured Credit Facility bear an interest rate of a fixed margin plus the secured overnight financing rate ("SOFR") for the relevant interest period. The fixed margin is 2.75% for the first four years, then 3.0% until October 8, 2021, and 3.25% thereafter.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w:t>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three and six months ended June 30, 2023 and 2022, the Company received cash dividends of $126 and $126, respectively, which were recorded as credits to interest expense in its condensed consolidated statements of operations. Additionally, the Company recorded $489 as a long-term asset on its condensed consolidated balance sheets at June 30, 2023 and December 31, 2022, which represents the Company's equity interest in Cobank SCB which will be redeemed for cash beginning in 2024.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was made available as three more RNG facilities become operational. The OPAL Term Loan is secured by a pledge in the equity interest of Beacon Holdco LLC, OPAL Environmental Credit Marketing LLC, OPAL Fuel Station Services LLC (f/k/a Trustar Energy LLC), New River, OPAL Fuels Services LLC and the Company's share of ownership interests in Pine Bend and Noble Road along with cash bank accounts and a security interest in the Company’s environmental credits. The proceeds of the OPAL Term Loan were used for general corporate purposes, including investments in RNG projects being developed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outstanding loan balance (current and non-current) excluding deferred financing costs was $92,224 and $96,090, respectively. During the first quarter of 2023, the Company borrowed the remaining $10,000 under the debt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with the terms of the facility, OPAL Intermediate Holdco is required to repay 1.79% or $1,611 per month beginning March 2022 and an additional $700 per month beginning September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June 30, 2023, the Company is in compliance with the financial covenants under the OPAL Term Loan. Additionally, the OPAL Term Loan contains restrictions on distributions and additional indebtedness.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less than 1.0 and (iii) minimum debt service coverage ratio of trailing four quarters not less than 1.25. On July 19, 2022, Sunoma completed the conversion of the construction loan into a permanent loan and increased the commitment from $20,000 to $23,000.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under long term assets in the condensed consolidated balance Sheet as of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condensed consolidated balance sheets as June 30, 2023 and December 31, 2022.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Payable")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on the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Payable using the fair value option in accordance with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The fair value was subsequently remeasured on each reporting date and the change in fair value recorded as interest expense in the condensed consolidated statement of operations for each reporting period. At June 30, 2023 and December 31, 2022, the Convertible Note was classified as a current liability in the condensed consolidated balance sheets at a fair value of $29,671 and $28,528, respectively, as it is redeemable on demand by the Company or Ares.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$580 and $1,143 for the three and six months ended June 30, 2023, respectively. The Company recorded $1,090 and $2,110 as change in fair value of Convertible Note Payable for the three months ended June 30, 2022, respectively as interest and financing expense, net.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made payments to a municipality in the amount of $1,600 plus interest at a fixed annual rate of 3.00% through April 1, 2023. The loan was fully repaid in April 2023.</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2022, OPAL Intermediate Holdco 2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OPAL Term Loan II. The joint venture partner of Paragon reimbursed the Company $826 as its portion of the transaction costs incurred.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expensed the remaining deferred financing costs of $1,895 as loss on debt extinguishment in its condensed consolidated statement of operations for the three and six months ended June 30, 2023. There were no amounts outstanding under the OPAL Term Loan II as of the date of the transaction.</w:t>
      </w:r>
    </w:p>
    <w:p>
      <w:pPr>
        <w:pStyle w:val="TextBody"/>
        <w:bidi w:val="0"/>
        <w:spacing w:before="160" w:after="283"/>
        <w:ind w:left="0" w:right="0" w:hanging="480"/>
        <w:jc w:val="both"/>
        <w:rPr/>
      </w:pPr>
      <w:r>
        <w:rPr/>
      </w:r>
    </w:p>
    <w:p>
      <w:pPr>
        <w:pStyle w:val="TextBody"/>
        <w:bidi w:val="0"/>
        <w:spacing w:lineRule="auto" w:line="288" w:before="16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effective interest rate including amortization of debt issuance costs on the Senior Secured Credit Facility was 5.6% including a margin plus SOFR. The debt was repaid in full in March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effective interest rate including amortization of debt issuance costs on OPAL Term Loan was 9.2% and 8.8%.</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interest rate on the Sunoma Loan was 8.00%.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payment-in-kind interest rate on Convertible Note Payable was 8.00%.</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weighted average interest rate on Municipality loan was 3.00%. The loan was fully repaid in April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the weighted average effective interest rate on the Senior Secured Credit Facility including amortization of debt issuance costs on Senior Secured Credit Facility was 4.25% including a margin plus LIBOR.</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the weighted average effective interest rate on OPAL Term Loan including amortization of debt issuance costs was 4.93%.</w:t>
      </w:r>
    </w:p>
    <w:p>
      <w:pPr>
        <w:pStyle w:val="TextBody"/>
        <w:bidi w:val="0"/>
        <w:spacing w:lineRule="auto" w:line="252"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three and six months ended June 30, 2022, the interest rate on the Sunoma loan was 7.75%.</w:t>
      </w:r>
    </w:p>
    <w:p>
      <w:pPr>
        <w:pStyle w:val="TextBody"/>
        <w:bidi w:val="0"/>
        <w:spacing w:before="0" w:after="0"/>
        <w:ind w:left="0" w:right="0" w:firstLine="1178"/>
        <w:jc w:val="both"/>
        <w:rPr/>
      </w:pPr>
      <w:r>
        <w:rPr/>
      </w:r>
    </w:p>
    <w:p>
      <w:pPr>
        <w:pStyle w:val="TextBody"/>
        <w:bidi w:val="0"/>
        <w:spacing w:lineRule="auto" w:line="252"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2022, the payment-in-kind interest rate on Convertible Note Payable was 8.0%. </w:t>
      </w:r>
    </w:p>
    <w:p>
      <w:pPr>
        <w:pStyle w:val="TextBody"/>
        <w:bidi w:val="0"/>
        <w:spacing w:before="0" w:after="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and six months ended June 30, 2023 and 2022:</w:t>
      </w:r>
    </w:p>
    <w:tbl>
      <w:tblPr>
        <w:tblW w:w="9074" w:type="dxa"/>
        <w:jc w:val="left"/>
        <w:tblInd w:w="0" w:type="dxa"/>
        <w:tblLayout w:type="fixed"/>
        <w:tblCellMar>
          <w:top w:w="28" w:type="dxa"/>
          <w:left w:w="28" w:type="dxa"/>
          <w:bottom w:w="28" w:type="dxa"/>
          <w:right w:w="28" w:type="dxa"/>
        </w:tblCellMar>
      </w:tblPr>
      <w:tblGrid>
        <w:gridCol w:w="1285"/>
        <w:gridCol w:w="1133"/>
        <w:gridCol w:w="1137"/>
        <w:gridCol w:w="109"/>
        <w:gridCol w:w="109"/>
        <w:gridCol w:w="109"/>
        <w:gridCol w:w="270"/>
        <w:gridCol w:w="597"/>
        <w:gridCol w:w="139"/>
        <w:gridCol w:w="139"/>
        <w:gridCol w:w="139"/>
        <w:gridCol w:w="139"/>
        <w:gridCol w:w="270"/>
        <w:gridCol w:w="789"/>
        <w:gridCol w:w="139"/>
        <w:gridCol w:w="109"/>
        <w:gridCol w:w="109"/>
        <w:gridCol w:w="109"/>
        <w:gridCol w:w="211"/>
        <w:gridCol w:w="616"/>
        <w:gridCol w:w="109"/>
        <w:gridCol w:w="109"/>
        <w:gridCol w:w="109"/>
        <w:gridCol w:w="109"/>
        <w:gridCol w:w="211"/>
        <w:gridCol w:w="61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 Payable mark-to-market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Excludes $1,981 and $3,785 of interest capitalized and recorded as part of Property, Plant and Equipment for the three and six months ended June 30, 2023,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40" w:after="283"/>
        <w:ind w:left="0" w:right="0" w:hanging="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before="0" w:after="0"/>
        <w:ind w:left="0" w:right="0" w:hanging="48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lineRule="auto" w:line="288"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$632 and $1,202 related to the lease portion of the FPAs for the three and six months ended June 30, 2023, respectively. It includes $526 and $1,050 related to the lease portion of the FPAs for the three and six months ended June 30, 2022,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Renewable Power revenues are $264 and $595 related to the lease element of the PPAs for the three and six months ended June 30, 2023, respectively. Includes $16 and $630 related to the lease element of the PPAs for the three and six ended June 30, 2022,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bidi w:val="0"/>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 xml:space="preserve">the lease at Beacon facility is for 20 years at a monthly rent of $11. </w:t>
      </w:r>
    </w:p>
    <w:p>
      <w:pPr>
        <w:pStyle w:val="TextBody"/>
        <w:bidi w:val="0"/>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 xml:space="preserve">the lease term for MD and VS is for a period of 20 years from their commercial operation date at a quarterly rent of $125.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for the change in the lease term as a lease modification and reassessed the right-of-use assets and corresponding lease liabilities as of March 31, 2022.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three site leases and the one office lease are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the underlying asset for the lease term and the related lease liability represents an obligation to make lease payments pursuant to the contractual terms of the lease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condensed consolidated statement of operations for the three and six months ended June 30, 2023 and 2022. The lease expense for the office lease is recorded as part of Selling, general and administrative expenses in its condensed consolidated statement of operations for the three and months ended June 30, 2023 and 2022. </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and six months ended June 30, 2023 and 2022.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June 30, 2023 and December 31, 2022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560"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1269"/>
        <w:gridCol w:w="1269"/>
        <w:gridCol w:w="1272"/>
        <w:gridCol w:w="109"/>
        <w:gridCol w:w="109"/>
        <w:gridCol w:w="109"/>
        <w:gridCol w:w="258"/>
        <w:gridCol w:w="883"/>
        <w:gridCol w:w="133"/>
        <w:gridCol w:w="109"/>
        <w:gridCol w:w="109"/>
        <w:gridCol w:w="109"/>
        <w:gridCol w:w="344"/>
        <w:gridCol w:w="1175"/>
        <w:gridCol w:w="251"/>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Site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Office lease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Vehicle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918"/>
        <w:gridCol w:w="751"/>
        <w:gridCol w:w="753"/>
        <w:gridCol w:w="109"/>
        <w:gridCol w:w="109"/>
        <w:gridCol w:w="109"/>
        <w:gridCol w:w="853"/>
        <w:gridCol w:w="763"/>
        <w:gridCol w:w="765"/>
        <w:gridCol w:w="109"/>
        <w:gridCol w:w="109"/>
        <w:gridCol w:w="109"/>
        <w:gridCol w:w="243"/>
        <w:gridCol w:w="537"/>
        <w:gridCol w:w="125"/>
        <w:gridCol w:w="125"/>
        <w:gridCol w:w="125"/>
        <w:gridCol w:w="125"/>
        <w:gridCol w:w="243"/>
        <w:gridCol w:w="537"/>
        <w:gridCol w:w="125"/>
        <w:gridCol w:w="109"/>
        <w:gridCol w:w="109"/>
        <w:gridCol w:w="109"/>
        <w:gridCol w:w="224"/>
        <w:gridCol w:w="655"/>
        <w:gridCol w:w="115"/>
        <w:gridCol w:w="115"/>
        <w:gridCol w:w="115"/>
        <w:gridCol w:w="115"/>
        <w:gridCol w:w="224"/>
        <w:gridCol w:w="495"/>
        <w:gridCol w:w="178"/>
      </w:tblGrid>
      <w:tr>
        <w:trPr/>
        <w:tc>
          <w:tcPr>
            <w:tcW w:w="9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three and six months ended June 30, 2023 and 2022.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three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5756" w:type="dxa"/>
        <w:jc w:val="left"/>
        <w:tblInd w:w="0" w:type="dxa"/>
        <w:tblLayout w:type="fixed"/>
        <w:tblCellMar>
          <w:top w:w="28" w:type="dxa"/>
          <w:left w:w="28" w:type="dxa"/>
          <w:bottom w:w="28" w:type="dxa"/>
          <w:right w:w="28" w:type="dxa"/>
        </w:tblCellMar>
      </w:tblPr>
      <w:tblGrid>
        <w:gridCol w:w="1498"/>
        <w:gridCol w:w="1317"/>
        <w:gridCol w:w="1325"/>
        <w:gridCol w:w="109"/>
        <w:gridCol w:w="109"/>
        <w:gridCol w:w="109"/>
        <w:gridCol w:w="263"/>
        <w:gridCol w:w="263"/>
        <w:gridCol w:w="763"/>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years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June 30, 2023:</w:t>
      </w:r>
    </w:p>
    <w:tbl>
      <w:tblPr>
        <w:tblW w:w="9924" w:type="dxa"/>
        <w:jc w:val="left"/>
        <w:tblInd w:w="0" w:type="dxa"/>
        <w:tblLayout w:type="fixed"/>
        <w:tblCellMar>
          <w:top w:w="28" w:type="dxa"/>
          <w:left w:w="28" w:type="dxa"/>
          <w:bottom w:w="28" w:type="dxa"/>
          <w:right w:w="28" w:type="dxa"/>
        </w:tblCellMar>
      </w:tblPr>
      <w:tblGrid>
        <w:gridCol w:w="1396"/>
        <w:gridCol w:w="1225"/>
        <w:gridCol w:w="1233"/>
        <w:gridCol w:w="109"/>
        <w:gridCol w:w="109"/>
        <w:gridCol w:w="109"/>
        <w:gridCol w:w="211"/>
        <w:gridCol w:w="721"/>
        <w:gridCol w:w="271"/>
        <w:gridCol w:w="109"/>
        <w:gridCol w:w="109"/>
        <w:gridCol w:w="109"/>
        <w:gridCol w:w="230"/>
        <w:gridCol w:w="673"/>
        <w:gridCol w:w="296"/>
        <w:gridCol w:w="109"/>
        <w:gridCol w:w="109"/>
        <w:gridCol w:w="109"/>
        <w:gridCol w:w="245"/>
        <w:gridCol w:w="715"/>
        <w:gridCol w:w="314"/>
        <w:gridCol w:w="109"/>
        <w:gridCol w:w="109"/>
        <w:gridCol w:w="109"/>
        <w:gridCol w:w="211"/>
        <w:gridCol w:w="721"/>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16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condensed consolidated statement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fair value of the interest rate swap as an asset or liability on its balance sheet. The effective portion of the swap is recorded in Accumulated other comprehensive income.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OPAL Intermediate Holdco 2, assigned to Paragon its rights and obligations under OPAL Term Loan II. Concurrently, the Company terminated the two interest rate swaps outstanding under this loan and received $812 as settlement from the swap counter party. Paragon entered into four interest rate swaps for a notional amount of $56,914 at a fixed interest rate of 3.52%. The Company terminated the swaption on the same date.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transaction, the Company recognized a gain of $812 in the condensed consolidated statement of operations for the three and six months ended June 30, 2023 as part of Change in fair value of derivative instruments. The Company received $136 as settlement from the swaption counter party and recognized $46 as loss on termination of the swaption as part of change in fair value of derivative instruments. Additionally, the Company recognized $109 as its share of the Accumulated other comprehensive income from Paragon and increased its basis in equity method investment on its condensed consolidated balance sheet as of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June 30, 2023 and December 31, 2022:</w:t>
      </w:r>
    </w:p>
    <w:p>
      <w:pPr>
        <w:pStyle w:val="TextBody"/>
        <w:bidi w:val="0"/>
        <w:spacing w:before="120" w:after="283"/>
        <w:ind w:left="0" w:right="0" w:firstLine="360"/>
        <w:jc w:val="both"/>
        <w:rPr/>
      </w:pPr>
      <w:r>
        <w:rPr/>
      </w:r>
    </w:p>
    <w:tbl>
      <w:tblPr>
        <w:tblW w:w="8814" w:type="dxa"/>
        <w:jc w:val="left"/>
        <w:tblInd w:w="0" w:type="dxa"/>
        <w:tblLayout w:type="fixed"/>
        <w:tblCellMar>
          <w:top w:w="28" w:type="dxa"/>
          <w:left w:w="28" w:type="dxa"/>
          <w:bottom w:w="28" w:type="dxa"/>
          <w:right w:w="28" w:type="dxa"/>
        </w:tblCellMar>
      </w:tblPr>
      <w:tblGrid>
        <w:gridCol w:w="532"/>
        <w:gridCol w:w="466"/>
        <w:gridCol w:w="471"/>
        <w:gridCol w:w="255"/>
        <w:gridCol w:w="256"/>
        <w:gridCol w:w="541"/>
        <w:gridCol w:w="414"/>
        <w:gridCol w:w="414"/>
        <w:gridCol w:w="417"/>
        <w:gridCol w:w="450"/>
        <w:gridCol w:w="450"/>
        <w:gridCol w:w="450"/>
        <w:gridCol w:w="109"/>
        <w:gridCol w:w="109"/>
        <w:gridCol w:w="109"/>
        <w:gridCol w:w="370"/>
        <w:gridCol w:w="713"/>
        <w:gridCol w:w="191"/>
        <w:gridCol w:w="109"/>
        <w:gridCol w:w="109"/>
        <w:gridCol w:w="109"/>
        <w:gridCol w:w="344"/>
        <w:gridCol w:w="1175"/>
        <w:gridCol w:w="251"/>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116"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interest rate swaps and their fair values in the condensed consolidated balance sheets are:</w:t>
      </w:r>
    </w:p>
    <w:tbl>
      <w:tblPr>
        <w:tblW w:w="10205" w:type="dxa"/>
        <w:jc w:val="left"/>
        <w:tblInd w:w="0" w:type="dxa"/>
        <w:tblLayout w:type="fixed"/>
        <w:tblCellMar>
          <w:top w:w="28" w:type="dxa"/>
          <w:left w:w="28" w:type="dxa"/>
          <w:bottom w:w="28" w:type="dxa"/>
          <w:right w:w="28" w:type="dxa"/>
        </w:tblCellMar>
      </w:tblPr>
      <w:tblGrid>
        <w:gridCol w:w="1230"/>
        <w:gridCol w:w="1078"/>
        <w:gridCol w:w="1085"/>
        <w:gridCol w:w="232"/>
        <w:gridCol w:w="447"/>
        <w:gridCol w:w="119"/>
        <w:gridCol w:w="109"/>
        <w:gridCol w:w="109"/>
        <w:gridCol w:w="109"/>
        <w:gridCol w:w="275"/>
        <w:gridCol w:w="806"/>
        <w:gridCol w:w="143"/>
        <w:gridCol w:w="109"/>
        <w:gridCol w:w="109"/>
        <w:gridCol w:w="109"/>
        <w:gridCol w:w="1215"/>
        <w:gridCol w:w="1206"/>
        <w:gridCol w:w="1715"/>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portion of the interest rate swaps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12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13"/>
        <w:gridCol w:w="480"/>
        <w:gridCol w:w="484"/>
        <w:gridCol w:w="241"/>
        <w:gridCol w:w="520"/>
        <w:gridCol w:w="134"/>
        <w:gridCol w:w="134"/>
        <w:gridCol w:w="134"/>
        <w:gridCol w:w="134"/>
        <w:gridCol w:w="241"/>
        <w:gridCol w:w="597"/>
        <w:gridCol w:w="134"/>
        <w:gridCol w:w="196"/>
        <w:gridCol w:w="421"/>
        <w:gridCol w:w="109"/>
        <w:gridCol w:w="109"/>
        <w:gridCol w:w="109"/>
        <w:gridCol w:w="109"/>
        <w:gridCol w:w="196"/>
        <w:gridCol w:w="480"/>
        <w:gridCol w:w="109"/>
        <w:gridCol w:w="109"/>
        <w:gridCol w:w="109"/>
        <w:gridCol w:w="109"/>
        <w:gridCol w:w="1226"/>
        <w:gridCol w:w="1226"/>
        <w:gridCol w:w="1742"/>
      </w:tblGrid>
      <w:tr>
        <w:trPr/>
        <w:tc>
          <w:tcPr>
            <w:tcW w:w="6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57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1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color w:val="000000"/>
              </w:rPr>
            </w:pPr>
            <w:r>
              <w:rPr>
                <w:color w:val="000000"/>
              </w:rPr>
              <w:t> </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derivative instruments on the Company's condensed consolidated balance sheets and the effect of netting arrangements and collateral on its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6981" w:type="dxa"/>
        <w:jc w:val="left"/>
        <w:tblInd w:w="0" w:type="dxa"/>
        <w:tblLayout w:type="fixed"/>
        <w:tblCellMar>
          <w:top w:w="28" w:type="dxa"/>
          <w:left w:w="28" w:type="dxa"/>
          <w:bottom w:w="28" w:type="dxa"/>
          <w:right w:w="28" w:type="dxa"/>
        </w:tblCellMar>
      </w:tblPr>
      <w:tblGrid>
        <w:gridCol w:w="835"/>
        <w:gridCol w:w="735"/>
        <w:gridCol w:w="739"/>
        <w:gridCol w:w="300"/>
        <w:gridCol w:w="852"/>
        <w:gridCol w:w="167"/>
        <w:gridCol w:w="109"/>
        <w:gridCol w:w="109"/>
        <w:gridCol w:w="109"/>
        <w:gridCol w:w="363"/>
        <w:gridCol w:w="753"/>
        <w:gridCol w:w="204"/>
        <w:gridCol w:w="109"/>
        <w:gridCol w:w="109"/>
        <w:gridCol w:w="109"/>
        <w:gridCol w:w="298"/>
        <w:gridCol w:w="847"/>
        <w:gridCol w:w="23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 in the</w:t>
              <w:br/>
              <w:t>Balance Sheet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June 30, 2023:</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commodity swaps in place as of June 30, 2023 and December 31, 2022. There were no new commodity swap contracts entered during the three months ended June 30,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45"/>
        <w:gridCol w:w="426"/>
        <w:gridCol w:w="430"/>
        <w:gridCol w:w="109"/>
        <w:gridCol w:w="109"/>
        <w:gridCol w:w="109"/>
        <w:gridCol w:w="381"/>
        <w:gridCol w:w="369"/>
        <w:gridCol w:w="370"/>
        <w:gridCol w:w="109"/>
        <w:gridCol w:w="109"/>
        <w:gridCol w:w="109"/>
        <w:gridCol w:w="453"/>
        <w:gridCol w:w="453"/>
        <w:gridCol w:w="450"/>
        <w:gridCol w:w="109"/>
        <w:gridCol w:w="109"/>
        <w:gridCol w:w="109"/>
        <w:gridCol w:w="873"/>
        <w:gridCol w:w="848"/>
        <w:gridCol w:w="851"/>
        <w:gridCol w:w="109"/>
        <w:gridCol w:w="109"/>
        <w:gridCol w:w="109"/>
        <w:gridCol w:w="527"/>
        <w:gridCol w:w="1498"/>
        <w:gridCol w:w="423"/>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70,176 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26,280 </w:t>
            </w:r>
          </w:p>
        </w:tc>
        <w:tc>
          <w:tcPr>
            <w:tcW w:w="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condensed consolidated statements of operations for the three and six months ended June 30, 2023 and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4"/>
        <w:gridCol w:w="1012"/>
        <w:gridCol w:w="1018"/>
        <w:gridCol w:w="746"/>
        <w:gridCol w:w="725"/>
        <w:gridCol w:w="727"/>
        <w:gridCol w:w="241"/>
        <w:gridCol w:w="518"/>
        <w:gridCol w:w="133"/>
        <w:gridCol w:w="133"/>
        <w:gridCol w:w="133"/>
        <w:gridCol w:w="133"/>
        <w:gridCol w:w="241"/>
        <w:gridCol w:w="594"/>
        <w:gridCol w:w="133"/>
        <w:gridCol w:w="109"/>
        <w:gridCol w:w="109"/>
        <w:gridCol w:w="109"/>
        <w:gridCol w:w="203"/>
        <w:gridCol w:w="576"/>
        <w:gridCol w:w="112"/>
        <w:gridCol w:w="112"/>
        <w:gridCol w:w="112"/>
        <w:gridCol w:w="112"/>
        <w:gridCol w:w="203"/>
        <w:gridCol w:w="637"/>
        <w:gridCol w:w="170"/>
      </w:tblGrid>
      <w:tr>
        <w:trPr/>
        <w:tc>
          <w:tcPr>
            <w:tcW w:w="115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184" w:type="dxa"/>
            <w:gridSpan w:val="3"/>
            <w:vMerge w:val="continue"/>
            <w:tcBorders/>
            <w:tcMar>
              <w:top w:w="0" w:type="dxa"/>
              <w:left w:w="0" w:type="dxa"/>
              <w:bottom w:w="0" w:type="dxa"/>
              <w:right w:w="0" w:type="dxa"/>
            </w:tcMar>
            <w:vAlign w:val="center"/>
          </w:tcPr>
          <w:p>
            <w:pPr>
              <w:pStyle w:val="Normal"/>
              <w:bidi w:val="0"/>
              <w:jc w:val="left"/>
              <w:rPr/>
            </w:pPr>
            <w:r>
              <w:rPr/>
            </w:r>
          </w:p>
        </w:tc>
        <w:tc>
          <w:tcPr>
            <w:tcW w:w="2198" w:type="dxa"/>
            <w:gridSpan w:val="3"/>
            <w:vMerge w:val="continue"/>
            <w:tcBorders/>
            <w:tcMar>
              <w:top w:w="0" w:type="dxa"/>
              <w:left w:w="0" w:type="dxa"/>
              <w:bottom w:w="0" w:type="dxa"/>
              <w:right w:w="0" w:type="dxa"/>
            </w:tcMar>
            <w:vAlign w:val="center"/>
          </w:tcPr>
          <w:p>
            <w:pPr>
              <w:pStyle w:val="Normal"/>
              <w:bidi w:val="0"/>
              <w:jc w:val="left"/>
              <w:rPr/>
            </w:pPr>
            <w:r>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 gain</w:t>
            </w:r>
          </w:p>
        </w:tc>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June 30, 2023 and December 31,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35"/>
        <w:gridCol w:w="1157"/>
        <w:gridCol w:w="1163"/>
        <w:gridCol w:w="296"/>
        <w:gridCol w:w="655"/>
        <w:gridCol w:w="152"/>
        <w:gridCol w:w="109"/>
        <w:gridCol w:w="109"/>
        <w:gridCol w:w="109"/>
        <w:gridCol w:w="384"/>
        <w:gridCol w:w="877"/>
        <w:gridCol w:w="199"/>
        <w:gridCol w:w="109"/>
        <w:gridCol w:w="109"/>
        <w:gridCol w:w="109"/>
        <w:gridCol w:w="972"/>
        <w:gridCol w:w="972"/>
        <w:gridCol w:w="1389"/>
      </w:tblGrid>
      <w:tr>
        <w:trPr/>
        <w:tc>
          <w:tcPr>
            <w:tcW w:w="133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unrealized gain on commodity swaps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non-current portion</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589"/>
        <w:gridCol w:w="518"/>
        <w:gridCol w:w="519"/>
        <w:gridCol w:w="260"/>
        <w:gridCol w:w="576"/>
        <w:gridCol w:w="134"/>
        <w:gridCol w:w="134"/>
        <w:gridCol w:w="134"/>
        <w:gridCol w:w="134"/>
        <w:gridCol w:w="260"/>
        <w:gridCol w:w="501"/>
        <w:gridCol w:w="134"/>
        <w:gridCol w:w="109"/>
        <w:gridCol w:w="109"/>
        <w:gridCol w:w="109"/>
        <w:gridCol w:w="234"/>
        <w:gridCol w:w="683"/>
        <w:gridCol w:w="120"/>
        <w:gridCol w:w="120"/>
        <w:gridCol w:w="120"/>
        <w:gridCol w:w="120"/>
        <w:gridCol w:w="234"/>
        <w:gridCol w:w="450"/>
        <w:gridCol w:w="120"/>
        <w:gridCol w:w="109"/>
        <w:gridCol w:w="109"/>
        <w:gridCol w:w="109"/>
        <w:gridCol w:w="1046"/>
        <w:gridCol w:w="992"/>
        <w:gridCol w:w="1419"/>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226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which are considered Level 2 in the fair value hierarchy, of $84,158 and $88,312 as of June 30, 2023 and December 31, 2022, respectively, represents the total amount to be repaid if the debt has to be discharged in full and therefore approximates its fair value.</w:t>
      </w:r>
    </w:p>
    <w:p>
      <w:pPr>
        <w:pStyle w:val="TextBody"/>
        <w:bidi w:val="0"/>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6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June 30, 2023 December 31, 2022, the Company recorded the Convertible Note Payable at par plus accrued interest as it is payable on demand by either party and therefore represents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June 30, 2023 was determined using a Monte Carlo valuation model with a distribution of potential outcomes on a daily basis over the four year post-close period.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$7.46 as of June 30, 2023;</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Expected volatility —60%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4.30% based on the U.S. Treasury yield curve in effect at the time of issuance for zero-coupon U.S. Treasury notes with maturities corresponding to the expected 4.1 year term of the earnout period;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OPAL Earnout Awards as of June 30, 2023 was determined using a Monte Carlo valuation model with a distribution of potential outcomes for stock price and EBITDA over the 2-year period commencing on January 1, 2023 and ending on December 31, 2024. Assumptions used in the valuation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$7.46 as of June 30, 2023;</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Expected volatility —55% based on historical and implied volatilities of selected industry peers deemed to be comparable to our business corresponding to the expected term of the awards;</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5.4% based on the U.S. Treasury yield curve in effect at the time of issuance for zero-coupon U.S. Treasury notes with maturities corresponding to the expected 2.0 year term of the earnout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June 30, 2023.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June 30, 2023 and December 31, 2022, set forth by level, within the fair value hierarchy:</w:t>
      </w:r>
    </w:p>
    <w:tbl>
      <w:tblPr>
        <w:tblW w:w="6313" w:type="dxa"/>
        <w:jc w:val="left"/>
        <w:tblInd w:w="0" w:type="dxa"/>
        <w:tblLayout w:type="fixed"/>
        <w:tblCellMar>
          <w:top w:w="28" w:type="dxa"/>
          <w:left w:w="28" w:type="dxa"/>
          <w:bottom w:w="28" w:type="dxa"/>
          <w:right w:w="28" w:type="dxa"/>
        </w:tblCellMar>
      </w:tblPr>
      <w:tblGrid>
        <w:gridCol w:w="745"/>
        <w:gridCol w:w="654"/>
        <w:gridCol w:w="656"/>
        <w:gridCol w:w="210"/>
        <w:gridCol w:w="436"/>
        <w:gridCol w:w="109"/>
        <w:gridCol w:w="109"/>
        <w:gridCol w:w="109"/>
        <w:gridCol w:w="109"/>
        <w:gridCol w:w="210"/>
        <w:gridCol w:w="436"/>
        <w:gridCol w:w="109"/>
        <w:gridCol w:w="109"/>
        <w:gridCol w:w="109"/>
        <w:gridCol w:w="109"/>
        <w:gridCol w:w="196"/>
        <w:gridCol w:w="556"/>
        <w:gridCol w:w="109"/>
        <w:gridCol w:w="109"/>
        <w:gridCol w:w="109"/>
        <w:gridCol w:w="109"/>
        <w:gridCol w:w="196"/>
        <w:gridCol w:w="55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June 30, 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88" w:type="dxa"/>
        <w:jc w:val="left"/>
        <w:tblInd w:w="0" w:type="dxa"/>
        <w:tblLayout w:type="fixed"/>
        <w:tblCellMar>
          <w:top w:w="28" w:type="dxa"/>
          <w:left w:w="28" w:type="dxa"/>
          <w:bottom w:w="28" w:type="dxa"/>
          <w:right w:w="28" w:type="dxa"/>
        </w:tblCellMar>
      </w:tblPr>
      <w:tblGrid>
        <w:gridCol w:w="772"/>
        <w:gridCol w:w="678"/>
        <w:gridCol w:w="680"/>
        <w:gridCol w:w="210"/>
        <w:gridCol w:w="436"/>
        <w:gridCol w:w="109"/>
        <w:gridCol w:w="109"/>
        <w:gridCol w:w="109"/>
        <w:gridCol w:w="109"/>
        <w:gridCol w:w="210"/>
        <w:gridCol w:w="436"/>
        <w:gridCol w:w="109"/>
        <w:gridCol w:w="109"/>
        <w:gridCol w:w="109"/>
        <w:gridCol w:w="109"/>
        <w:gridCol w:w="196"/>
        <w:gridCol w:w="556"/>
        <w:gridCol w:w="109"/>
        <w:gridCol w:w="109"/>
        <w:gridCol w:w="109"/>
        <w:gridCol w:w="109"/>
        <w:gridCol w:w="196"/>
        <w:gridCol w:w="55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six months ended June 30, 2023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other entities under common control with Fortistar or NextEra.</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$675 and $1,330 for the three and six months ended June 30, 2023, respectively. The Company recorded paid-in-kind preferred dividend of $607 and $1,207 for the three and six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pPr>
      <w:r>
        <w:rPr>
          <w:rFonts w:ascii="Times New Roman;sans-serif" w:hAnsi="Times New Roman;sans-serif"/>
          <w:b w:val="false"/>
          <w:color w:val="000000"/>
          <w:sz w:val="20"/>
        </w:rPr>
        <w:t xml:space="preserve">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48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paid-in-kind preferred dividend of $2,174 and $4,282 for the three and six months ended June 30, 2023, respectively. The Company recorded paid-in-kind preferred dividend of $1,111 and $1,227 for the three and six months ended June 30, 2022,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rFonts w:ascii="Times New Roman;sans-serif" w:hAnsi="Times New Roman;sans-serif"/>
          <w:b w:val="false"/>
          <w:color w:val="000000"/>
          <w:sz w:val="20"/>
        </w:rPr>
        <w:t>, 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six months ended June 30, 2023, the Company earned net revenues after discount and fees of $11,852 and $18,060, respectively, under this contract which was recorded as part of Revenues - RNG fuel and Fuel Station Services. For the three and six months ended June 30, 2022, the Company earned net revenues after discount and fees of $16,792 and $29,688, respectively, under this contract which was recorded as part of Revenues - RNG fuel and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enters into commodity swap contracts on a periodic basis. As of June 30, 2023 and December 31, 2022, there were three commodity swap contracts outstanding.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for additional information. The Company recorded $1,747 and $1,243 as revenues earned under the commodity swap contracts for the three months ended June 30, 2023 and 2022. The Company recorded $3,274 and $2,269 as revenues earned under the commodity swap contracts for the six months ended June 30, 2023 and 2022.</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$566 and $460 as its share of net loss for the three months ended June 30, 2023 and 2022. The Company recorded a net loss of $436 and $556 as its share of net loss for the six months ended June 30, 2023 and 2022.</w:t>
      </w:r>
    </w:p>
    <w:p>
      <w:pPr>
        <w:pStyle w:val="TextBody"/>
        <w:bidi w:val="0"/>
        <w:spacing w:before="0" w:after="0"/>
        <w:ind w:left="0" w:right="0" w:hanging="480"/>
        <w:jc w:val="both"/>
        <w:rPr/>
      </w:pPr>
      <w:r>
        <w:rPr/>
      </w:r>
    </w:p>
    <w:p>
      <w:pPr>
        <w:pStyle w:val="TextBody"/>
        <w:bidi w:val="0"/>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OFSS contracted with Sunoma to dispense RNG and to generate and market the resulting RINs and LCFS credits created on behalf of the entity. Additionally, OFSS contracted with Pine Bend in December 2020 and Noble Road in March 2021 to provide the same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these contracts each runs for a term of 10 years. The Company receives non-cash consideration in the form of RINs or LCFSs for providing these services and recognizes the RINs or LCFSs received as inventory based on their estimated fair value at contract inception. The Pine Bend and Noble road facilities came online in the first and third quarter of 2022. Sunoma came online in the fourth quarter of 2021. For the three months ended June 30, 2023 and 2022, the Company earned environmental processing fees of $555 and $242 net of intersegment elimination, under this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are included in Fuel Station Services revenues in the condensed consolidated statements of operations. For the six months ended June 30, 2023 and 2022, the Company earned environmental processing fees of $1,141 and $242 net of intersegment elimination, under this agreement which are included in Fuel Station Services revenues in the condensed consolidated statements of operations.</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six months ended June 30, 2023 and 2022, there have been no material services provided by the Company's employees to Fortistar.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p>
      <w:pPr>
        <w:pStyle w:val="TextBody"/>
        <w:bidi w:val="0"/>
        <w:spacing w:before="0" w:after="0"/>
        <w:ind w:left="0" w:right="0" w:firstLine="480"/>
        <w:jc w:val="both"/>
        <w:rPr/>
      </w:pPr>
      <w:r>
        <w:rPr/>
      </w:r>
    </w:p>
    <w:tbl>
      <w:tblPr>
        <w:tblW w:w="8257" w:type="dxa"/>
        <w:jc w:val="left"/>
        <w:tblInd w:w="0" w:type="dxa"/>
        <w:tblLayout w:type="fixed"/>
        <w:tblCellMar>
          <w:top w:w="28" w:type="dxa"/>
          <w:left w:w="28" w:type="dxa"/>
          <w:bottom w:w="28" w:type="dxa"/>
          <w:right w:w="28" w:type="dxa"/>
        </w:tblCellMar>
      </w:tblPr>
      <w:tblGrid>
        <w:gridCol w:w="1044"/>
        <w:gridCol w:w="917"/>
        <w:gridCol w:w="919"/>
        <w:gridCol w:w="109"/>
        <w:gridCol w:w="109"/>
        <w:gridCol w:w="109"/>
        <w:gridCol w:w="251"/>
        <w:gridCol w:w="735"/>
        <w:gridCol w:w="130"/>
        <w:gridCol w:w="130"/>
        <w:gridCol w:w="130"/>
        <w:gridCol w:w="130"/>
        <w:gridCol w:w="251"/>
        <w:gridCol w:w="735"/>
        <w:gridCol w:w="130"/>
        <w:gridCol w:w="228"/>
        <w:gridCol w:w="667"/>
        <w:gridCol w:w="118"/>
        <w:gridCol w:w="118"/>
        <w:gridCol w:w="118"/>
        <w:gridCol w:w="118"/>
        <w:gridCol w:w="228"/>
        <w:gridCol w:w="667"/>
        <w:gridCol w:w="166"/>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Accounts payable, related party in the amounts of $3,707 and $1,346,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first quarter of 2023, the Company changed its internal reporting to its executive leadership team ("Chief Operating Decision Makers"). The internal reporting was changed to provide more visibility into our RNG fuel production and operations and to align fuel dispensing revenues with construction and service of fuel dispensing stations.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also adjusted the revenues and cost of sales for the prior year period presented for comparison purposes. The Company also reclassified general and administrative costs for RNG Fuel from Cost of sale - RNG Fuel to Selling, general and administrative expenses to make the margins across all segments comparable.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the Company classified revenues from its fuel dispensing business of $9,400 and $9,214, respectively, as part of Revenues - Fuel station services. For the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the Company classified revenues from fuel dispensing business of $18,251 and $19,307, respectively, as part of Revenues - 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the Company classified cost of sales relating to fuel dispensing business of $8,302 and $7,940, respectively as part of Cost of sales - Fuel station services. For the six months ended June 30, 2023 and 2022, the Company classified cost of sales relating to the fuel dispensing business of $16,824 and $14,713, respectively as part of Cost of sales - Fuel station services.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directly related to the generation and sale of brown gas and environmental credits, and consists of:</w:t>
      </w:r>
    </w:p>
    <w:p>
      <w:pPr>
        <w:pStyle w:val="TextBody"/>
        <w:bidi w:val="0"/>
        <w:spacing w:before="120" w:after="283"/>
        <w:ind w:left="0" w:right="0" w:hanging="180"/>
        <w:jc w:val="both"/>
        <w:rPr/>
      </w:pPr>
      <w:r>
        <w:rPr/>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before="0" w:after="0"/>
        <w:ind w:left="0" w:right="0" w:hanging="180"/>
        <w:jc w:val="both"/>
        <w:rPr/>
      </w:pPr>
      <w:r>
        <w:rPr/>
      </w:r>
    </w:p>
    <w:p>
      <w:pPr>
        <w:pStyle w:val="TextBody"/>
        <w:bidi w:val="0"/>
        <w:spacing w:lineRule="auto" w:line="288" w:before="120" w:after="283"/>
        <w:ind w:left="0" w:right="0" w:firstLine="180"/>
        <w:jc w:val="both"/>
        <w:rPr>
          <w:color w:val="000000"/>
        </w:rPr>
      </w:pPr>
      <w:r>
        <w:rPr>
          <w:color w:val="000000"/>
        </w:rPr>
        <w:t xml:space="preserve">     </w:t>
      </w:r>
      <w:r>
        <w:rPr>
          <w:rFonts w:ascii="Times New Roman;sans-serif" w:hAnsi="Times New Roman;sans-serif"/>
          <w:b w:val="false"/>
          <w:color w:val="000000"/>
          <w:sz w:val="20"/>
        </w:rPr>
        <w:t xml:space="preserve">For the three and six months ended June 30, 2023 and 2022, the Company has accounted for its interests in Pine Bend, Reynolds and Noble Road under the equity method of accounting and the results of operations of Beacon, New River, Central Valley and Sunoma were consolidated in its condensed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month of June 2023. </w:t>
      </w:r>
    </w:p>
    <w:p>
      <w:pPr>
        <w:pStyle w:val="TextBody"/>
        <w:bidi w:val="0"/>
        <w:spacing w:lineRule="auto" w:line="288" w:before="120" w:after="283"/>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Central Valley, and Sapphire are not operational. Sunoma became operational in December 2021, Noble Road in January 2022, New River in April 2022 and Pine Bend in September 2022. Emerald completed construction in June 2023 and is expected to begin commercial operations in the third quarter of 2023. </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76"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before="0" w:after="0"/>
        <w:ind w:left="0" w:right="0" w:hanging="180"/>
        <w:jc w:val="left"/>
        <w:rPr/>
      </w:pPr>
      <w:r>
        <w:rPr/>
      </w:r>
    </w:p>
    <w:p>
      <w:pPr>
        <w:pStyle w:val="TextBody"/>
        <w:bidi w:val="0"/>
        <w:spacing w:lineRule="auto" w:line="276"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each of the four operating segments meets the characteristics of a reportable segment under U.S. GAAP. The Company's activities and assets that are not associated with the four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summarized in the "Other" category below. These include corporate investment income, interest income and interest expense, income tax expense, and other non-allocated costs.</w:t>
      </w:r>
    </w:p>
    <w:tbl>
      <w:tblPr>
        <w:tblW w:w="7663"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215"/>
        <w:gridCol w:w="708"/>
        <w:gridCol w:w="119"/>
        <w:gridCol w:w="119"/>
        <w:gridCol w:w="119"/>
        <w:gridCol w:w="119"/>
        <w:gridCol w:w="215"/>
        <w:gridCol w:w="708"/>
        <w:gridCol w:w="119"/>
        <w:gridCol w:w="109"/>
        <w:gridCol w:w="109"/>
        <w:gridCol w:w="109"/>
        <w:gridCol w:w="196"/>
        <w:gridCol w:w="646"/>
        <w:gridCol w:w="109"/>
        <w:gridCol w:w="109"/>
        <w:gridCol w:w="109"/>
        <w:gridCol w:w="109"/>
        <w:gridCol w:w="196"/>
        <w:gridCol w:w="73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8070"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232"/>
        <w:gridCol w:w="587"/>
        <w:gridCol w:w="129"/>
        <w:gridCol w:w="129"/>
        <w:gridCol w:w="129"/>
        <w:gridCol w:w="129"/>
        <w:gridCol w:w="232"/>
        <w:gridCol w:w="747"/>
        <w:gridCol w:w="129"/>
        <w:gridCol w:w="109"/>
        <w:gridCol w:w="109"/>
        <w:gridCol w:w="109"/>
        <w:gridCol w:w="196"/>
        <w:gridCol w:w="631"/>
        <w:gridCol w:w="109"/>
        <w:gridCol w:w="109"/>
        <w:gridCol w:w="109"/>
        <w:gridCol w:w="109"/>
        <w:gridCol w:w="196"/>
        <w:gridCol w:w="63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7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(4,238)</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80"/>
        <w:jc w:val="both"/>
        <w:rPr/>
      </w:pPr>
      <w:r>
        <w:rPr/>
      </w:r>
    </w:p>
    <w:tbl>
      <w:tblPr>
        <w:tblW w:w="8354"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233"/>
        <w:gridCol w:w="663"/>
        <w:gridCol w:w="130"/>
        <w:gridCol w:w="130"/>
        <w:gridCol w:w="130"/>
        <w:gridCol w:w="130"/>
        <w:gridCol w:w="233"/>
        <w:gridCol w:w="663"/>
        <w:gridCol w:w="130"/>
        <w:gridCol w:w="109"/>
        <w:gridCol w:w="109"/>
        <w:gridCol w:w="109"/>
        <w:gridCol w:w="196"/>
        <w:gridCol w:w="556"/>
        <w:gridCol w:w="109"/>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p>
      <w:pPr>
        <w:pStyle w:val="TextBody"/>
        <w:bidi w:val="0"/>
        <w:spacing w:before="60" w:after="200"/>
        <w:jc w:val="both"/>
        <w:rPr/>
      </w:pPr>
      <w:r>
        <w:rPr/>
      </w:r>
    </w:p>
    <w:p>
      <w:pPr>
        <w:pStyle w:val="TextBody"/>
        <w:bidi w:val="0"/>
        <w:spacing w:before="60" w:after="200"/>
        <w:jc w:val="both"/>
        <w:rPr/>
      </w:pPr>
      <w:r>
        <w:rPr/>
      </w:r>
    </w:p>
    <w:p>
      <w:pPr>
        <w:pStyle w:val="TextBody"/>
        <w:bidi w:val="0"/>
        <w:spacing w:before="60" w:after="200"/>
        <w:jc w:val="both"/>
        <w:rPr/>
      </w:pPr>
      <w:r>
        <w:rPr/>
      </w:r>
    </w:p>
    <w:p>
      <w:pPr>
        <w:pStyle w:val="TextBody"/>
        <w:bidi w:val="0"/>
        <w:spacing w:before="6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7651" w:type="dxa"/>
        <w:jc w:val="left"/>
        <w:tblInd w:w="0" w:type="dxa"/>
        <w:tblLayout w:type="fixed"/>
        <w:tblCellMar>
          <w:top w:w="28" w:type="dxa"/>
          <w:left w:w="28" w:type="dxa"/>
          <w:bottom w:w="28" w:type="dxa"/>
          <w:right w:w="28" w:type="dxa"/>
        </w:tblCellMar>
      </w:tblPr>
      <w:tblGrid>
        <w:gridCol w:w="796"/>
        <w:gridCol w:w="702"/>
        <w:gridCol w:w="706"/>
        <w:gridCol w:w="109"/>
        <w:gridCol w:w="109"/>
        <w:gridCol w:w="109"/>
        <w:gridCol w:w="236"/>
        <w:gridCol w:w="824"/>
        <w:gridCol w:w="122"/>
        <w:gridCol w:w="122"/>
        <w:gridCol w:w="122"/>
        <w:gridCol w:w="122"/>
        <w:gridCol w:w="219"/>
        <w:gridCol w:w="555"/>
        <w:gridCol w:w="122"/>
        <w:gridCol w:w="109"/>
        <w:gridCol w:w="109"/>
        <w:gridCol w:w="109"/>
        <w:gridCol w:w="196"/>
        <w:gridCol w:w="736"/>
        <w:gridCol w:w="109"/>
        <w:gridCol w:w="109"/>
        <w:gridCol w:w="109"/>
        <w:gridCol w:w="109"/>
        <w:gridCol w:w="196"/>
        <w:gridCol w:w="631"/>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tbl>
      <w:tblPr>
        <w:tblW w:w="7448" w:type="dxa"/>
        <w:jc w:val="left"/>
        <w:tblInd w:w="0" w:type="dxa"/>
        <w:tblLayout w:type="fixed"/>
        <w:tblCellMar>
          <w:top w:w="28" w:type="dxa"/>
          <w:left w:w="28" w:type="dxa"/>
          <w:bottom w:w="28" w:type="dxa"/>
          <w:right w:w="28" w:type="dxa"/>
        </w:tblCellMar>
      </w:tblPr>
      <w:tblGrid>
        <w:gridCol w:w="1576"/>
        <w:gridCol w:w="1384"/>
        <w:gridCol w:w="1389"/>
        <w:gridCol w:w="109"/>
        <w:gridCol w:w="109"/>
        <w:gridCol w:w="121"/>
        <w:gridCol w:w="121"/>
        <w:gridCol w:w="121"/>
        <w:gridCol w:w="121"/>
        <w:gridCol w:w="218"/>
        <w:gridCol w:w="720"/>
        <w:gridCol w:w="121"/>
        <w:gridCol w:w="109"/>
        <w:gridCol w:w="109"/>
        <w:gridCol w:w="109"/>
        <w:gridCol w:w="211"/>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338" w:type="dxa"/>
            <w:gridSpan w:val="6"/>
            <w:tcBorders/>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72,009 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757" w:type="dxa"/>
        <w:jc w:val="left"/>
        <w:tblInd w:w="0" w:type="dxa"/>
        <w:tblLayout w:type="fixed"/>
        <w:tblCellMar>
          <w:top w:w="28" w:type="dxa"/>
          <w:left w:w="28" w:type="dxa"/>
          <w:bottom w:w="28" w:type="dxa"/>
          <w:right w:w="28" w:type="dxa"/>
        </w:tblCellMar>
      </w:tblPr>
      <w:tblGrid>
        <w:gridCol w:w="795"/>
        <w:gridCol w:w="701"/>
        <w:gridCol w:w="708"/>
        <w:gridCol w:w="196"/>
        <w:gridCol w:w="736"/>
        <w:gridCol w:w="109"/>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160" w:after="283"/>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held equity interests in six VIEs — Sunoma, GREP, Emerald, Sapphire, Paragon and Central Valley. On May 30, 2023, the Company together with a third-party environmental solutions company formed a new joint venture holding company Paragon LLC ("Paragon"). The Company owns 50% of ownership interest in Paragon. Concurrent with the formation of Paragon, the Company contributed its 50% ownership interests in Emerald and Sapphire to Paragon.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Upon the execution of the above the transaction, the Company reassessed its equity interests in Emerald and Sapphire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the Company does not have a controlling financial interest in Paragon under ASC 810 because the governance of the joint venture is driven by an independent board jointly controlled by the joint venture partner and OPAL equally and there are substantive participating rights held by the joint venture partner in the significant activities of Paragon.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Based on the above analysis, the Company determined that it should account for its ownership interests in Paragon under the equity method of accounting pursuant to ASC 323, </w:t>
      </w:r>
      <w:r>
        <w:rPr>
          <w:rFonts w:ascii="Times New Roman;sans-serif" w:hAnsi="Times New Roman;sans-serif"/>
          <w:b w:val="false"/>
          <w:i/>
          <w:color w:val="000000"/>
          <w:sz w:val="20"/>
        </w:rPr>
        <w:t>Investments Equity Method and Joint Ventures</w:t>
      </w:r>
      <w:r>
        <w:rPr>
          <w:rFonts w:ascii="Times New Roman;sans-serif" w:hAnsi="Times New Roman;sans-serif"/>
          <w:b w:val="false"/>
          <w:color w:val="000000"/>
          <w:sz w:val="20"/>
        </w:rPr>
        <w:t xml:space="preserve">, prospectively, as the Company has the ability to exercise significant influence, but not control over the joint venture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May 30, 2023, the Company consolidated these two entities in accordance with the variable interest entity model guidance under ASC 810, Consolidation. As of June 30, 2023, GREP and Paragon were presented as equity method investments and the remaining two VIEs Sunoma and Central Valley are consolidated by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GREP has been presented as an equity method investment and the remaining four VIEs Sunoma, Emerald, Sapphire, and Central Valley are consolidated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June 30, 2023 and December 31, 2022.</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two entities including establishment of strategic, operating, and capital decisions for each of these entities; and</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condensed consolidated balance sheet items for consolidated VIEs as of June 30, 2023 and December 31, 2022. The information below is presented on an aggregate basis based on similar risk and reward characteristics and the nature of our involvement with the VIEs, such as: </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condensed consolidated balance sheets and are included in the asset totals listed in the table below.</w:t>
      </w:r>
    </w:p>
    <w:tbl>
      <w:tblPr>
        <w:tblW w:w="5568" w:type="dxa"/>
        <w:jc w:val="left"/>
        <w:tblInd w:w="0" w:type="dxa"/>
        <w:tblLayout w:type="fixed"/>
        <w:tblCellMar>
          <w:top w:w="28" w:type="dxa"/>
          <w:left w:w="28" w:type="dxa"/>
          <w:bottom w:w="28" w:type="dxa"/>
          <w:right w:w="28" w:type="dxa"/>
        </w:tblCellMar>
      </w:tblPr>
      <w:tblGrid>
        <w:gridCol w:w="1124"/>
        <w:gridCol w:w="986"/>
        <w:gridCol w:w="995"/>
        <w:gridCol w:w="196"/>
        <w:gridCol w:w="646"/>
        <w:gridCol w:w="109"/>
        <w:gridCol w:w="109"/>
        <w:gridCol w:w="109"/>
        <w:gridCol w:w="109"/>
        <w:gridCol w:w="233"/>
        <w:gridCol w:w="769"/>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Deficit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are (i) 29,330,115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condensed consolidated balance sheet as of June 30,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issued 49,633 shares to certain warrant holders as consideration for their prior agreement to tender all warrants held by the warrant holders in the Company's voluntary exchange offer which closed on December 22, 2022. The Company recorded $338 representing the fair value of the shares issued based on the closing price on March 30, 2023 as part of Other income (expense), net.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Mendocino Capital LLC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2022 to June 30,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7"/>
        <w:gridCol w:w="821"/>
        <w:gridCol w:w="826"/>
        <w:gridCol w:w="109"/>
        <w:gridCol w:w="109"/>
        <w:gridCol w:w="109"/>
        <w:gridCol w:w="413"/>
        <w:gridCol w:w="413"/>
        <w:gridCol w:w="181"/>
        <w:gridCol w:w="121"/>
        <w:gridCol w:w="121"/>
        <w:gridCol w:w="121"/>
        <w:gridCol w:w="236"/>
        <w:gridCol w:w="807"/>
        <w:gridCol w:w="121"/>
        <w:gridCol w:w="109"/>
        <w:gridCol w:w="109"/>
        <w:gridCol w:w="109"/>
        <w:gridCol w:w="488"/>
        <w:gridCol w:w="488"/>
        <w:gridCol w:w="181"/>
        <w:gridCol w:w="115"/>
        <w:gridCol w:w="115"/>
        <w:gridCol w:w="115"/>
        <w:gridCol w:w="223"/>
        <w:gridCol w:w="875"/>
        <w:gridCol w:w="115"/>
        <w:gridCol w:w="109"/>
        <w:gridCol w:w="109"/>
        <w:gridCol w:w="109"/>
        <w:gridCol w:w="211"/>
        <w:gridCol w:w="826"/>
        <w:gridCol w:w="164"/>
      </w:tblGrid>
      <w:tr>
        <w:trPr/>
        <w:tc>
          <w:tcPr>
            <w:tcW w:w="11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109,688 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Liquidation preference: In the event of liquidation of the Company, each holder of a unit of Series A and Series A-1 is entitled to be paid on pro-rata basis the original issue price of $100 per unit plus any accrued and unpaid dividends out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the Company available for distribution after payment of the Company’s debt and liabilities and liquidation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June 30, 2023, the Company recorded $1,068,274 to adjust the carrying value to their redemption value based on a 5 day VWAP of $7.40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14. Stock-based compensation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issued 196,961 stock options, 888,831 restricted stock units and 274,617 performance units to certain employees of the Company. The fair value of the stock options was determined to be $5.26 based on Black Scholes model based share price of $6.97, exercise price of $6.97, expiration of 10 years, annual risk free interest rate of 4.04% and volatility of 65%. Additionally, the Company issued 135,583 restricted stock units to the board of directors. The total fair value of the equity awards was $6,955.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equity awards under the 2022 Plan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1104"/>
        <w:gridCol w:w="891"/>
        <w:gridCol w:w="897"/>
        <w:gridCol w:w="109"/>
        <w:gridCol w:w="109"/>
        <w:gridCol w:w="109"/>
        <w:gridCol w:w="729"/>
        <w:gridCol w:w="604"/>
        <w:gridCol w:w="605"/>
        <w:gridCol w:w="109"/>
        <w:gridCol w:w="109"/>
        <w:gridCol w:w="109"/>
        <w:gridCol w:w="573"/>
        <w:gridCol w:w="1392"/>
        <w:gridCol w:w="299"/>
        <w:gridCol w:w="109"/>
        <w:gridCol w:w="109"/>
        <w:gridCol w:w="109"/>
        <w:gridCol w:w="412"/>
        <w:gridCol w:w="1410"/>
        <w:gridCol w:w="308"/>
      </w:tblGrid>
      <w:tr>
        <w:trPr/>
        <w:tc>
          <w:tcPr>
            <w:tcW w:w="110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Grant Date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Fair Value (in thousands)</w:t>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422,349 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1,038,347 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(41,664)</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1,419,032 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10,284 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196,961 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274,617 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 outstanding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270,528 </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unvested awards outstanding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1,886,521 </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13,206 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all stock awards included in Selling, general and administrative expenses:</w:t>
      </w:r>
    </w:p>
    <w:tbl>
      <w:tblPr>
        <w:tblW w:w="7726"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59"/>
        <w:gridCol w:w="757"/>
        <w:gridCol w:w="134"/>
        <w:gridCol w:w="134"/>
        <w:gridCol w:w="134"/>
        <w:gridCol w:w="134"/>
        <w:gridCol w:w="241"/>
        <w:gridCol w:w="517"/>
        <w:gridCol w:w="134"/>
        <w:gridCol w:w="109"/>
        <w:gridCol w:w="109"/>
        <w:gridCol w:w="109"/>
        <w:gridCol w:w="196"/>
        <w:gridCol w:w="556"/>
        <w:gridCol w:w="109"/>
        <w:gridCol w:w="109"/>
        <w:gridCol w:w="109"/>
        <w:gridCol w:w="109"/>
        <w:gridCol w:w="196"/>
        <w:gridCol w:w="4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6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unvested awards yet to be recognized as of June 30, 2023 totaled $9,726 and is expected to be recognized, on a weighted average basis, over 2.3 years.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Net Income (Loss)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(loss) attributable to Class A common stockholders by the weighted average number of Class A common stock outstanding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for the three and six months ended June 30, 2023 does not include 1,635,783 shares in treasury, 763,908 shares issued and outstanding but are contingent on achieving earnout targets. During the first quarter of 2023, the put option was exercised and 197,258 shares of Class A common stock were cancelled.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condensed consolidated financial statements. Therefore net income per share information has not been presented for the three and six months ended June 30, 2022.</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three and six months ended June 30, 2023 does not include Redeemable preferred non-controlling interests and the Convertible Note Payable because the substantive contingency for conversion has not been met as of June 30,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June 30, 2023. The outstanding stock options issued under the 2022 Plan are not included as their impact is dilutive. The outstanding performance units under the 2022 Plan are not included as the performance conditions have not been met as of June 30, 2023.</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10205" w:type="dxa"/>
        <w:jc w:val="left"/>
        <w:tblInd w:w="0" w:type="dxa"/>
        <w:tblLayout w:type="fixed"/>
        <w:tblCellMar>
          <w:top w:w="28" w:type="dxa"/>
          <w:left w:w="28" w:type="dxa"/>
          <w:bottom w:w="28" w:type="dxa"/>
          <w:right w:w="28" w:type="dxa"/>
        </w:tblCellMar>
      </w:tblPr>
      <w:tblGrid>
        <w:gridCol w:w="2649"/>
        <w:gridCol w:w="2187"/>
        <w:gridCol w:w="2193"/>
        <w:gridCol w:w="476"/>
        <w:gridCol w:w="810"/>
        <w:gridCol w:w="160"/>
        <w:gridCol w:w="109"/>
        <w:gridCol w:w="109"/>
        <w:gridCol w:w="109"/>
        <w:gridCol w:w="326"/>
        <w:gridCol w:w="890"/>
        <w:gridCol w:w="187"/>
      </w:tblGrid>
      <w:tr>
        <w:trPr/>
        <w:tc>
          <w:tcPr>
            <w:tcW w:w="2649"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stockholders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26,977,682 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27,179,488 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units, performance units, Convertible note payable, earnout shares, Redeemable preferred non-controlling interests, Redeemable non-controlling interests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27,248,639 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27,556,700 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tax returns are subject to audit by various tax authorities. Although the Company believes that its estimates are reasonable, actual results could differ from these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Company recorded zero income tax expense. The effective tax rate for the three and six months ended June 30, 2023 was 0%. The difference between the Company’s effective tax rate for the three and six months ended June 30, 2023 and the U.S. statutory tax rate of 21% was primarily due to a full valuation allowance recorded on the Company’s net U.S. deferred tax assets. The Company did not record a tax provision for the three and six months ended June 30, 2022 primarily due to OPAL Fuels' status as a pass-through entity for U.S. federal income tax purposes. The Company evaluates the realizability of the deferred tax assets on a quarterly basis and establishes a valuation allowance when it is more likely than not that all or a portion of a deferred tax asset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was required to maintain five and nine standby letters of credit totaling $1,498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OPAL Term Loan II. Additionally, the Company signed an equity commitment letter up to a maximum of $2,100, to Paragon relating to its share of equity contribution towards any cost over runs in connection with the construction and completion of Emerald project.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hanging="480"/>
        <w:jc w:val="left"/>
        <w:rPr/>
      </w:pPr>
      <w:r>
        <w:rPr/>
      </w: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before="160" w:after="283"/>
        <w:ind w:left="0" w:right="0" w:hanging="480"/>
        <w:jc w:val="left"/>
        <w:rPr/>
      </w:pPr>
      <w:r>
        <w:rPr/>
      </w:r>
    </w:p>
    <w:p>
      <w:pPr>
        <w:pStyle w:val="TextBody"/>
        <w:bidi w:val="0"/>
        <w:spacing w:lineRule="auto" w:line="276" w:before="0" w:after="0"/>
        <w:ind w:left="0" w:right="0" w:hanging="480"/>
        <w:jc w:val="left"/>
        <w:rPr>
          <w:rFonts w:ascii="Times New Roman;sans-serif" w:hAnsi="Times New Roman;sans-serif"/>
          <w:b w:val="false"/>
          <w:i/>
          <w:color w:val="000000"/>
          <w:sz w:val="20"/>
        </w:rPr>
      </w:pPr>
      <w:r>
        <w:rPr>
          <w:rFonts w:ascii="Times New Roman;sans-serif" w:hAnsi="Times New Roman;sans-serif"/>
          <w:b w:val="false"/>
          <w:i/>
          <w:color w:val="000000"/>
          <w:sz w:val="20"/>
        </w:rPr>
        <w:t>Gas sale and purchase agreement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2023, a wholly-owned subsidiary of the Company entered into a Third Amended and Restated Gas Sale and Purchase Agreement and a Third Amended and Restated Site Lease Agreement (collectively, the “Agreements”) with a leading environmental services company. The Agreements, which are effective as of August 11, 2023, provide the Company with the right to purchase landfill gas (“LFG”) from a landfill located in Massachusetts, for the purpose of combusting such LFG to generate renewable electricity at the facility (the “Facility”) located on the landfill footprint. Per the terms and conditions of the Agreements, the Company will make certain royalty and lease payments. The terms of the Agreements are 20 years from the date the Facility commences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pPr>
      <w:r>
        <w:rPr>
          <w:rFonts w:ascii="Times New Roman;sans-serif" w:hAnsi="Times New Roman;sans-serif"/>
          <w:b w:val="false"/>
          <w:i/>
          <w:color w:val="000000"/>
          <w:sz w:val="20"/>
        </w:rPr>
        <w:t xml:space="preserve">In this Management's Discussion and Analysis of Financial Condition and Results of Operations section, references to "OPAL", "we", "us", "our", and the "Company" refer to </w:t>
      </w:r>
      <w:r>
        <w:rPr>
          <w:rFonts w:ascii="Times New Roman;sans-serif" w:hAnsi="Times New Roman;sans-serif"/>
          <w:b w:val="false"/>
          <w:color w:val="000000"/>
          <w:sz w:val="20"/>
        </w:rPr>
        <w:t>OPAL Fuels Inc.</w:t>
      </w:r>
      <w:r>
        <w:rPr>
          <w:color w:val="000000"/>
        </w:rPr>
        <w:t xml:space="preserve"> </w:t>
      </w:r>
      <w:r>
        <w:rPr>
          <w:rFonts w:ascii="Times New Roman;sans-serif" w:hAnsi="Times New Roman;sans-serif"/>
          <w:b w:val="false"/>
          <w:i/>
          <w:color w:val="000000"/>
          <w:sz w:val="20"/>
        </w:rPr>
        <w:t>and its consolidated subsidiaries. The following discussion and analysis should be read in conjunction with the Company's unaudited condensed consolidated financial statements as of June 30, 2023 and for the three and six months ended June 30, 2023 and 2022, and the audited consolidated financial statements and notes thereto included in the Company's Annual Report on Form 10-K, which was filed with the SEC on March 29, 2023.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has recently begun implementing design, development, and construction services for hydrogen Fueling Stations, and we are pursuing opportunities to diversify its sources of biogas to other waste streams. The term “Environmental Attributes” refers to federal, state and local government incentives in the United States, provided in the form of renewable identification numbers (“RINs,”) renewable energy credits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the Company together with a third-party environmental solutions company formed a new joint venture holding company Paragon RNG LLC ("Paragon"). The Company owns 50% of the ownership interest in Paragon. Concurrent to the formation of Paragon, the Company contributed its 50% ownership interests in Emerald and Sapphire to Paragon.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OPAL Fuels Intermediate Holdco 2 LLC (“OPAL Intermediate Holdco 2”), a wholly-owned indirect subsidiary of the Company, assigned to Paragon its rights and obligations under its existing senior secured credit facility, OPAL Term Loan II.</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Upon the execution of the above two transactions, the Company reassessed its equity interests in Emerald and Sapphire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the Company does not have a controlling financial interest in Paragon under ASC 810 because the governance of the joint venture is driven by a board jointly controlled by the joint venture partner and OPAL equally and there are substantive participating rights held by the joint venture partner in the significant activities of Paragon. </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Based on the above analysis, the Company determined that it should account for its ownership interests in Paragon under the equity method of accounting pursuant to ASC 323, </w:t>
      </w:r>
      <w:r>
        <w:rPr>
          <w:rFonts w:ascii="Times New Roman;sans-serif" w:hAnsi="Times New Roman;sans-serif"/>
          <w:b w:val="false"/>
          <w:i/>
          <w:color w:val="000000"/>
          <w:sz w:val="20"/>
        </w:rPr>
        <w:t>Investments Equity Method and Joint Ventures</w:t>
      </w:r>
      <w:r>
        <w:rPr>
          <w:rFonts w:ascii="Times New Roman;sans-serif" w:hAnsi="Times New Roman;sans-serif"/>
          <w:b w:val="false"/>
          <w:color w:val="000000"/>
          <w:sz w:val="20"/>
        </w:rPr>
        <w:t xml:space="preserve">, prospectively, as the Company has the ability to exercise significant influence, but not control over the joint venture company. </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Polk County landfill RNG project, owned 100% by OPAL Fuels, started construction in June 2023 and we anticipate commercial operations beginning in the fourth quarter of 2024. This project represents approximately 1.1 million MMBtu of annual nameplate capacity.</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The Emerald RNG project completed construction and will be added to our in-operation portfolio in the third quarter as commissioning is completed. This project represents approximately 1.3 million MMBtu of OPAL Fuels' 50% ownership share of annual nameplate capacity.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Prince William RNG project is expected to commence commercial operations in the first quarter of 2024. This project represents approximately 1.7 million MMBtu of annual nameplate capacity which is owned 100% by OPAL Fuels.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Sapphire RNG project is expected to commence commercial operations in the first half of 2024. This project represents approximately 800,000 MMBtu for OPAL Fuels’ 50% ownership share of annual nameplate capacity.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moved our Northeast landfill RNG conversion project back to our Advanced Development Pipeline. It is being considered as a landfill gas to electric project. This project represents approximately 0.3 million MMBtu of annual nameplate capacity.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OPAL Fuels’ updated share of annual nameplate capacity for our six projects in construction is approximately 5.4 million MMBtu.</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Development Update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remain on track to place at least 2.0 million MMBtu of RNG projects (representing OPAL Fuels’ proportional ownership) into construction in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Advanced Development Pipeline comprises of 8.1 million MMBtu of feedstock biogas per year, adjusted for Polk moving to our In-Construction portfolio and our Northeast landfill project moving to our Advanced Development Pipeline.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the COVID-19 pandemic has had a relatively minimal economic impact on our results of operations.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duration and future economic severity of the COVID-19 remains uncertain, and our results of operations and financial condition could potentially face material adverse effect(s) in the future due to COVID-19. </w:t>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Accounting Policies</w:t>
      </w:r>
    </w:p>
    <w:p>
      <w:pPr>
        <w:pStyle w:val="TextBody"/>
        <w:bidi w:val="0"/>
        <w:spacing w:lineRule="auto" w:line="26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As the discussion and analysis of our financial condition and results of operations are based upon our interim unaudited condensed consolidated financial statements, they do not include all of the information on critical accounting policies normally included in consolidated financial statements. Accordingly, a detailed description of these critical accounting policies and the consolidated financial statements and notes thereto are included in the Company’s Annual Report on Form 10-K, which was filed with </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 xml:space="preserve">on March 29, 2023. </w:t>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6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deconsolidated VIEs, the value of stock-based compensation and the fair value of derivatives including warrant liabilities, earnout liabilities, put option on a forward purchase agreement, interest rate swaps and commodity swap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EPA set RVOs for 2023 and beyond and the EPA introduced a Set rule in June 2023. This is expected to reduce volatility in RIN pricing for the upcoming three years.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 xml:space="preserve">The Company's interests in both operating and construction projects. </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before="0" w:after="0"/>
        <w:ind w:left="0" w:right="0" w:hanging="180"/>
        <w:jc w:val="both"/>
        <w:rPr/>
      </w:pPr>
      <w:r>
        <w:rPr/>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76" w:before="0" w:after="0"/>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commodity natural gas, and environmental credit generation and monetization. The Company operates Fueling Stations that dispense both CNG and RNG fuel for vehicles. </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portfolio operates primarily in Southern California.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three and six months ended June 30, 2023 and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and six months ended June 30, 2023 and 2022:</w:t>
      </w:r>
    </w:p>
    <w:p>
      <w:pPr>
        <w:pStyle w:val="TextBody"/>
        <w:bidi w:val="0"/>
        <w:spacing w:before="160" w:after="283"/>
        <w:ind w:left="0" w:right="0" w:firstLine="360"/>
        <w:jc w:val="both"/>
        <w:rPr/>
      </w:pPr>
      <w:r>
        <w:rPr/>
      </w:r>
    </w:p>
    <w:tbl>
      <w:tblPr>
        <w:tblW w:w="9675"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291"/>
        <w:gridCol w:w="291"/>
        <w:gridCol w:w="291"/>
        <w:gridCol w:w="291"/>
        <w:gridCol w:w="291"/>
        <w:gridCol w:w="291"/>
        <w:gridCol w:w="291"/>
        <w:gridCol w:w="291"/>
        <w:gridCol w:w="291"/>
        <w:gridCol w:w="109"/>
        <w:gridCol w:w="109"/>
        <w:gridCol w:w="109"/>
        <w:gridCol w:w="258"/>
        <w:gridCol w:w="258"/>
        <w:gridCol w:w="258"/>
        <w:gridCol w:w="258"/>
        <w:gridCol w:w="258"/>
        <w:gridCol w:w="258"/>
        <w:gridCol w:w="258"/>
        <w:gridCol w:w="258"/>
        <w:gridCol w:w="36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197" w:type="dxa"/>
        <w:jc w:val="left"/>
        <w:tblInd w:w="0" w:type="dxa"/>
        <w:tblLayout w:type="fixed"/>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3,917,101 </w:t>
            </w:r>
          </w:p>
        </w:tc>
        <w:tc>
          <w:tcPr>
            <w:tcW w:w="1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Emerald </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3"/>
              </w:rPr>
              <w:t>(4)</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Prince William </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Polk County</w:t>
            </w:r>
          </w:p>
        </w:tc>
        <w:tc>
          <w:tcPr>
            <w:tcW w:w="3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1,060,000 </w:t>
            </w:r>
          </w:p>
        </w:tc>
        <w:tc>
          <w:tcPr>
            <w:tcW w:w="1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Sapphire </w:t>
            </w:r>
            <w:r>
              <w:rPr>
                <w:rFonts w:ascii="Times New Roman;sans-serif" w:hAnsi="Times New Roman;sans-serif"/>
                <w:b w:val="false"/>
                <w:color w:val="000000"/>
                <w:sz w:val="13"/>
              </w:rPr>
              <w:t>(3)</w:t>
            </w:r>
          </w:p>
        </w:tc>
        <w:tc>
          <w:tcPr>
            <w:tcW w:w="3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5,419,706 </w:t>
            </w:r>
          </w:p>
        </w:tc>
        <w:tc>
          <w:tcPr>
            <w:tcW w:w="1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9,336,807 </w:t>
            </w:r>
          </w:p>
        </w:tc>
        <w:tc>
          <w:tcPr>
            <w:tcW w:w="1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Design capacity may not reflect actual production of RNG from the projects, which will depend on many variables including, but not limited to, quantity and quality of the biogas, operational up-time of the facility, and actual productivity of the facility.</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We record our ownership interests in these projects as equity method investments in our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Emerald completed construction in June 2023 and is expected to complete commissioning in the third quarter of 2023.</w:t>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764" w:type="dxa"/>
        <w:jc w:val="left"/>
        <w:tblInd w:w="0" w:type="dxa"/>
        <w:tblLayout w:type="fixed"/>
        <w:tblCellMar>
          <w:top w:w="28" w:type="dxa"/>
          <w:left w:w="28" w:type="dxa"/>
          <w:bottom w:w="28" w:type="dxa"/>
          <w:right w:w="28" w:type="dxa"/>
        </w:tblCellMar>
      </w:tblPr>
      <w:tblGrid>
        <w:gridCol w:w="655"/>
        <w:gridCol w:w="576"/>
        <w:gridCol w:w="584"/>
        <w:gridCol w:w="1104"/>
        <w:gridCol w:w="1104"/>
        <w:gridCol w:w="1107"/>
        <w:gridCol w:w="789"/>
        <w:gridCol w:w="789"/>
        <w:gridCol w:w="791"/>
        <w:gridCol w:w="662"/>
        <w:gridCol w:w="662"/>
        <w:gridCol w:w="941"/>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3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4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5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6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7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Florida </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2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 Carolina 1 </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Pennsylvania </w:t>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Development</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 </w:t>
      </w:r>
    </w:p>
    <w:p>
      <w:pPr>
        <w:pStyle w:val="TextBody"/>
        <w:bidi w:val="0"/>
        <w:spacing w:lineRule="auto" w:line="288" w:before="24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It is currently contemplated that the Michigan 1E renewable power plant will continue limited operations on a stand-by, emergency basis through March of 2031.</w:t>
      </w:r>
    </w:p>
    <w:p>
      <w:pPr>
        <w:pStyle w:val="TextBody"/>
        <w:bidi w:val="0"/>
        <w:spacing w:lineRule="auto" w:line="288" w:before="24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See RNG Projects Table above, reference “Prince William” under “RNG Projects In Construction.” It is currently contemplated that the Prince William 1E renewable power plant will continue operations through approximately December 2023.</w:t>
      </w:r>
    </w:p>
    <w:p>
      <w:pPr>
        <w:pStyle w:val="TextBody"/>
        <w:bidi w:val="0"/>
        <w:spacing w:lineRule="auto" w:line="276"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See RNG Projects Table above, reference “Prince William” under “RNG Projects In Construction.” It is currently contemplated that the Prince William 2E renewable power plant will continue operations through approximately December 2023.</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and Six Months Ended June 30, 2023 and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and six months ended June 30, 2023 and 2022.</w:t>
      </w:r>
    </w:p>
    <w:p>
      <w:pPr>
        <w:pStyle w:val="TextBody"/>
        <w:bidi w:val="0"/>
        <w:spacing w:before="160" w:after="283"/>
        <w:ind w:left="0" w:right="0" w:firstLine="360"/>
        <w:jc w:val="left"/>
        <w:rPr/>
      </w:pPr>
      <w:r>
        <w:rPr/>
      </w:r>
    </w:p>
    <w:tbl>
      <w:tblPr>
        <w:tblW w:w="11423" w:type="dxa"/>
        <w:jc w:val="left"/>
        <w:tblInd w:w="0" w:type="dxa"/>
        <w:tblLayout w:type="fixed"/>
        <w:tblCellMar>
          <w:top w:w="28" w:type="dxa"/>
          <w:left w:w="28" w:type="dxa"/>
          <w:bottom w:w="28" w:type="dxa"/>
          <w:right w:w="28" w:type="dxa"/>
        </w:tblCellMar>
      </w:tblPr>
      <w:tblGrid>
        <w:gridCol w:w="671"/>
        <w:gridCol w:w="287"/>
        <w:gridCol w:w="288"/>
        <w:gridCol w:w="109"/>
        <w:gridCol w:w="109"/>
        <w:gridCol w:w="109"/>
        <w:gridCol w:w="196"/>
        <w:gridCol w:w="646"/>
        <w:gridCol w:w="109"/>
        <w:gridCol w:w="109"/>
        <w:gridCol w:w="109"/>
        <w:gridCol w:w="109"/>
        <w:gridCol w:w="196"/>
        <w:gridCol w:w="646"/>
        <w:gridCol w:w="109"/>
        <w:gridCol w:w="109"/>
        <w:gridCol w:w="109"/>
        <w:gridCol w:w="109"/>
        <w:gridCol w:w="241"/>
        <w:gridCol w:w="495"/>
        <w:gridCol w:w="109"/>
        <w:gridCol w:w="109"/>
        <w:gridCol w:w="109"/>
        <w:gridCol w:w="109"/>
        <w:gridCol w:w="299"/>
        <w:gridCol w:w="302"/>
        <w:gridCol w:w="382"/>
        <w:gridCol w:w="109"/>
        <w:gridCol w:w="109"/>
        <w:gridCol w:w="109"/>
        <w:gridCol w:w="211"/>
        <w:gridCol w:w="721"/>
        <w:gridCol w:w="109"/>
        <w:gridCol w:w="109"/>
        <w:gridCol w:w="109"/>
        <w:gridCol w:w="109"/>
        <w:gridCol w:w="196"/>
        <w:gridCol w:w="646"/>
        <w:gridCol w:w="109"/>
        <w:gridCol w:w="109"/>
        <w:gridCol w:w="109"/>
        <w:gridCol w:w="109"/>
        <w:gridCol w:w="196"/>
        <w:gridCol w:w="571"/>
        <w:gridCol w:w="109"/>
        <w:gridCol w:w="109"/>
        <w:gridCol w:w="109"/>
        <w:gridCol w:w="109"/>
        <w:gridCol w:w="263"/>
        <w:gridCol w:w="263"/>
        <w:gridCol w:w="437"/>
      </w:tblGrid>
      <w:tr>
        <w:trPr/>
        <w:tc>
          <w:tcPr>
            <w:tcW w:w="6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r>
      <w:tr>
        <w:trPr/>
        <w:tc>
          <w:tcPr>
            <w:tcW w:w="12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33448 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33448 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RNG Fuel remained flat for the three months ended June 30, 2023 compared to the three months ended June 30, 2022.</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decreased by $2.9 million, or 9%, for the six months ended June 30, 2023 compared to the six months ended June 30, 2022. The decrease is primarily due to a decrease of $12.6 million from lower volumes of RINs and LCFSs sold as the Company made a decision to hold the RINs and LCFSs as inventory at hand due to current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levels coupled with a decrease in brown gas sales due to lower pricing, offset by an increase in green attribute revenues of $9.7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Fuel Station Services increased by $3.2 million, or 12%, for the three months ended June 30, 2023 compared to the three months ended June 30, 2022. This is primarily due to an increase in construction revenues by $2.0 million, $0.3 million in RIN and LCFS sales and service revenues, $0.4 million in brown gas sales and $0.5 million from sale of a compact fueling station.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decreased by $0.8 million, or 2%, for the six months ended June 30, 2023 compared to the six months ended June 30, 2022. This was primarily attributable to decrease in fuel revenues by $1.8 million due to holding of all in house generated environmental credits minted but not sold in inventory as of June 30, 2023 offset by $0.4 million increase in service revenues from increase in number of sites and $0.6 million in construction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$1.4 million, or 14%, for the three months ended June 30, 2023 compared to the three months ended June 30, 2022. This is primarily due to loss of revenues of $1.0 million from the planned shut down of one Renewable Power facility in September 2022 and $0.4 million in operations and maintenance revenues from one Renewable Power facility.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Renewable Power decreased by $0.6 million, or 3%, for the six months ended June 30, 2023 compared to the six months ended June 30, 2022. This change was attributable primarily to loss of revenues of from the planned shut down of one Renewable Power facility.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decreased by $0.6 million, or 7%, for the three months ended June 30, 2023 compared to the three months ended June 30, 2022. This is primarily due to the decrease in start up costs in New river and Sunoma compared to the same period prior year.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decreased by $0.8 million, or 5%, for the six months ended June 30, 2023 compared to the six months ended June 30, 2022. This is primarily from decrease in royalty expense because of lower environmental credit sales.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$3.8 million, or 16%, for the three months ended June 30, 2023 compared to the three months ended June 30, 2022. This is primarily due to an increase of $2.2 million in construction costs corresponding to the increase in construction revenues, $1.4 million in dispensing fees due to higher volumes from more dispensing contracts offset by $0.3 million decrease in fuel sales expenses due to lower market pricing of brown gas.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$4.5 million, or 10%, for the six months ended June 30, 2023 compared to the six months ended June 30, 2022. This change was attributable primarily to an increase in dispensing fees, service costs and increased fuel dispensing costs from market price on brown gas.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increased by $1.2 million, or 16%, for the three months ended June 30, 2023 compared to the three months ended June 30, 2022. This is primarily due to increase in major maintenance costs and unplanned maintenance at three of our Renewable Power facilities.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Renewable Power increased by $1.2 million, or 7%, for the six months ended June 30, 2023 compared to the six months ended June 30, 2022. This is primarily due to increase in major maintenance costs and unplanned maintenance at 3 of our Renewable Power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$5.7 million, or 72%, for the three months ended June 30, 2023 compared to the three months ended June 30, 2022. This is primarily due to an increase of $1.7 million in stock-based compensation expense, $0.4 million in insurance expense from directors and officers insurance after the Company went public in third quarter of 2022 and $1.2 million increase in compensation costs.</w:t>
      </w:r>
    </w:p>
    <w:p>
      <w:pPr>
        <w:pStyle w:val="TextBody"/>
        <w:bidi w:val="0"/>
        <w:spacing w:lineRule="auto" w:line="26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a total of $9.3 million, or 50%, for the six months ended June 30, 2023 compared to the six months ended June 30, 2022. This is primarily due to increase in costs from compensation and benefits by $2.9 million, bad debt of $0.5 million, stock-based compensation expense of $2.5 million, $0.3 million in legal fees and directors and officers insurance of $0.8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amortization, and accretion marginally increased by a total of $(0.3) million, or (9)%, for the three months ended June 30, 2023 compared to the three months ended June 30, 2022.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amortization, and accretion marginally increased by a total of $0.5 million, or 7%, for the six months ended June 30, 2023 compared to the six months ended June 30,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$2.4 million, or 72%, for the three months ended June 30, 2023 compared to the three months ended June 30, 2022. This is primarily due to savings in interest costs from repayment of outstanding debt under Senior Secured Facility and capitalization of interest on OPAL Term Loan on cash spent on construction of RNG facilities.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$4.8 million, or 75%, for the six months ended June 30, 2023 compared to the six months ended June 30, 2022. This is primarily because of higher capitalization of interest on OPAL term loan of $3.8 million for RNG projects in 2023. Additionally, $54.9 million of Senior Secured Facility was repaid in fourth quarter of 2022 and the remaining balance was fully repaid in March 2023. The interest savings on the Senior Secured Facility was $1.8 million offset by an increase in amortization of deferred financing costs on OPAL Term Loan II of $0.5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OPAL Term Loan II. The joint venture partner of Paragon reimbursed the Company $826 as its portion of the transaction costs incurred.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expensed the remaining deferred financing costs of $1,895 as loss on debt extinguishment in its condensed consolidated statement of operations for the three and six months ended June 30, 2023. There was no loss on debt extinguishment for the three and six months ended June 30,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derivatives, net increased by $1.1 million, or 1161%, for the three months ended June 30, 2023 compared to the three months ended June 30, 2022. This is primarily attributable to $0.8 million gain recorded on termination of interest rate swaps on OPAL Term Loan II and $0.3 million gain on decrease in earnout liabilities.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$4.8 million, or 1453%, for the six months ended June 30, 2023 compared to the six months ended June 30, 2022. This is primarily attributable to $4.6 million change in fair of value of Earnout Liabilities offset by negative change in fair value of the Meteora put option by $0.3 million.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$123.1 million, or 100%, for the three months ended June 30, 2023 compared to the three months ended June 30, 2022. This is primarily attributable to $122.9 million gain recorded on deconsolidation of Emerald and Sapphire and $0.5 million higher gain on transfer of non-financial assets to a vendor.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$123.1 million, or 100%, for the six months ended June 30, 2023 compared to the six months ended June 30, 2022. This is primarily attributable to $122.9 million gain recorded on deconsolidation of VIEs and $0.5 million higher gain on transfer of non-financial assets to a vendor.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income from equity method investments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equity method investments increased by $1.6 million, or 261%, for the three months ended June 30, 2023 compared to the three months ended June 30, 2022. This change was attributable to net loss in Emerald, Sapphire, GREP, amortization of basis difference on Pine Bend and Noble Road partially offset by increase in net income from Pine Bend, Noble Road.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equity method investments increased by $0.3 million or 714% for the six months ended June 30, 2023 compared to the six months ended June 30, 2022. This change was attributable to net loss in Emerald, Sapphire, GREP, amortization of basis difference on Pine Bend and Noble Road partially offset by increase in net income from Pine Bend and Noble Road.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increased by $95.3 million or 5284%. The net income for the three months ended June 30, 2023 and 2022 reflects the portion of earnings belonging to OPAL Fuels equity holders.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increased by $92.0 million or 1364% and reflects the portion of earnings belonging to OPAL Fuels equity holders.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non-redeemable non-controlling interests for the three months ended June 30, 2023 decreased marginally compared to three months ended June 30, 2022. This reflects the joint venture partners' loss in certain RNG facilities in which we sold a portion of our ownership interests but are consolidated in our financial statements. These entities for the three months ended June 30, 2023 and 2022, were Sunoma and Central Valley and two months of Emerald and Sapphire.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non-redeemable non-controlling interests for the six months ended June 30, 2023 decreased marginally compared to six months ended June 30, 2022. This reflects the joint venture partners' loss in certain RNG facilities in which we sold a portion of our ownership interests but are consolidated in our financial statements. These entities for the six months ended June 30, 2023 and 2022, were Sunoma and Central Valley and five months of Emerald and Sapphire. </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$2.8 million and $5.6 million for the three and six months ended June 30, 2023, respectively as to be paid-in-kind. The Company recorded the dividend payable of $1.7 million and $2.4 million for the three and six months ended June 30, 2022, respectively as to be paid-in-kind. </w:t>
      </w:r>
    </w:p>
    <w:p>
      <w:pPr>
        <w:pStyle w:val="TextBody"/>
        <w:bidi w:val="0"/>
        <w:spacing w:before="1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our liquidity consisted of cash and cash equivalents including restricted cash of $27.1 million and $17.0 million of short term investments. This compares to $181 million at March 31, 2023, consisting of $39.8 million of Cash and cash equivalents, including restricted cash of $6.6 million, $37 million in short-term investments, and availability of $105 million under OPAL Term Loan II. The primary driver of this reduction is attributed to the assignment of the term loan facility to Paragon as part of the deconsolidation of the Emerald and Sapphire projects.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reflects a reduction of $11.9 million of cash that is now excluded from consolidated Cash and cash equivalents as a result of the deconsolidation. </w:t>
      </w:r>
    </w:p>
    <w:p>
      <w:pPr>
        <w:pStyle w:val="TextBody"/>
        <w:bidi w:val="0"/>
        <w:spacing w:lineRule="auto" w:line="28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that was deconsolidated and the available funds under the facility remain available for these projects. Paragon was assigned the existing senior credit facility which is collateralized by these projects which with a two-year delayed term and maximum principal amount of $85.0 million and a debt reserve facility up to $10.0 million.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had total indebtedness excluding deferred financing costs of $144.9 million in principal amount which primarily consists of $29.7 million under the Convertible Note Payable, $92.2 million under the OPAL Term Loan and $23.0 million under Sunoma Loan.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six months ended June 30, 2023 and 2022:</w:t>
      </w:r>
    </w:p>
    <w:tbl>
      <w:tblPr>
        <w:tblW w:w="7610" w:type="dxa"/>
        <w:jc w:val="left"/>
        <w:tblInd w:w="0" w:type="dxa"/>
        <w:tblLayout w:type="fixed"/>
        <w:tblCellMar>
          <w:top w:w="28" w:type="dxa"/>
          <w:left w:w="28" w:type="dxa"/>
          <w:bottom w:w="28" w:type="dxa"/>
          <w:right w:w="28" w:type="dxa"/>
        </w:tblCellMar>
      </w:tblPr>
      <w:tblGrid>
        <w:gridCol w:w="1721"/>
        <w:gridCol w:w="1515"/>
        <w:gridCol w:w="1518"/>
        <w:gridCol w:w="109"/>
        <w:gridCol w:w="109"/>
        <w:gridCol w:w="109"/>
        <w:gridCol w:w="211"/>
        <w:gridCol w:w="796"/>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six months ended June 30, 2023 was $7.8 million, an increase of $17.1 million compared to net cash used in operations of $9.3 million for the six months ended June 30, 2022. The increase in cash provided by operating activities was attributable to an increase in net income and positive working capital changes primarily from decrease in accounts receivable.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2023 was $28.2 million, a decrease of $26.3 million compared to the $54.5 million used in investing activities for the six months ended June 30, 2022. This was primarily driven by decrease in cash invested in short term investments of $48.0 million, deconsolidation of VIEs net cash of $11.9 million and distribution from equity method investment of $7.8 million offset by payments made for the construction of various RNG generation and dispensing facilities of $72.0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six months ended June 30, 2023 was 29.7 million, a decrease of $151.7 million compared to the $122.0 million provided from financing activities for the six months ended June 30, 2022. This was primarily driven by repayments of $23.2 million of Senior Secured Facility, $13.8 million of the OPAL Term Loan, $16.4 million for repurchase of shares from the exercise of the put option offset by proceeds from OPAL Term Loan of $10.0 million. Additionally, the Company received $12.8 million from non-redeemable non-controlling interests and $0.8 million as reimbursement of deferred financing costs from a joint venture partner.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expenditures and other cash commitments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June 30, 2023, we anticipate spending $115.4 million in capital expenditures for the next 12 months. These expenditures do not include any expected contributions from our joint venture and non-controlling interest partners and primarily relate to our development and construction of new renewable energy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lineRule="auto" w:line="28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on hand, anticipated cash flows from operations and our access to expected sources of capital will be sufficient to meet our anticipated funding needs. We continue to pursue additional funding opportunities for growth and streamlining of our capital structure. </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as it is a “smaller reporting company.”</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that evaluation of our disclosure controls and procedures as of June 30, 2023, our Co-Chief Executive Officers and Chief Financial Officer concluded that, as of such date, our disclosure controls and procedures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ineffective for the period covered by this report based on the material weakness in our internal control over financial reporting described below.</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identified were as follows: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There is a lack of an adequate control environment, including internal communications, to allow for timeliness of reviews for the accounting and disclosures of significant and unusual transactions and contracts;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Review controls over application of ASC-606 were not designed and implemented appropriately during the current year.</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performed additional analysis and procedures with respect to accounts impacted by the material weakness in order to conclude that our consolidated financial statements in this report, and for the three and six months ended June 30, 2023 and 2022, are fairly presented, in all material respects, in accordance with GAAP.</w:t>
      </w:r>
    </w:p>
    <w:p>
      <w:pPr>
        <w:pStyle w:val="TextBody"/>
        <w:bidi w:val="0"/>
        <w:spacing w:before="0" w:after="0"/>
        <w:ind w:left="0" w:right="0" w:firstLine="720"/>
        <w:jc w:val="both"/>
        <w:rPr/>
      </w:pPr>
      <w:r>
        <w:rPr/>
      </w:r>
    </w:p>
    <w:p>
      <w:pPr>
        <w:pStyle w:val="TextBody"/>
        <w:bidi w:val="0"/>
        <w:spacing w:lineRule="auto" w:line="276" w:before="0" w:after="0"/>
        <w:jc w:val="left"/>
        <w:rPr/>
      </w:pPr>
      <w:r>
        <w:rPr>
          <w:rFonts w:ascii="Times New Roman;sans-serif" w:hAnsi="Times New Roman;sans-serif"/>
          <w:b w:val="false"/>
          <w:color w:val="000000"/>
          <w:sz w:val="20"/>
        </w:rPr>
        <w:t>Under “</w:t>
      </w:r>
      <w:r>
        <w:rPr>
          <w:rFonts w:ascii="Times New Roman;sans-serif" w:hAnsi="Times New Roman;sans-serif"/>
          <w:b w:val="false"/>
          <w:i/>
          <w:color w:val="000000"/>
          <w:sz w:val="20"/>
        </w:rPr>
        <w:t>Changes in Internal Controls over Financial Reporting</w:t>
      </w:r>
      <w:r>
        <w:rPr>
          <w:color w:val="000000"/>
        </w:rPr>
        <w:t xml:space="preserve">” </w:t>
      </w:r>
      <w:r>
        <w:rPr>
          <w:rFonts w:ascii="Times New Roman;sans-serif" w:hAnsi="Times New Roman;sans-serif"/>
          <w:b w:val="false"/>
          <w:color w:val="000000"/>
          <w:sz w:val="20"/>
        </w:rPr>
        <w:t>and “Remediation Plans” below, we describe our remediation plan to address the identified material weakness.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Quarterly Report on Internal Control over Financial Reporting</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does not include a report of management's assessment regarding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and implementation of internal controls over financial reporting for the Company subsequent to the Business Combination has required and will continue to require significant time and resources from management and other personnel. The changes to our internal control over financial reporting commenced during the period covered by this report and after will materially affect, or are reasonably likely to materially affect, our internal control over financial reporting by establishing new controls and procedures appropriate to the operating business we have become as a result of the Business Combination.</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During 2022, we remediated one material weakness from the prior year. We hired additional accounting and financial reporting personnel with appropriate technical accounting knowledge and public company experience in financial reporting; we continue to implement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Additionally, we strengthened our controls around segregation of duties, access controls in our financial reporting system and disabled the functionality for the same employee to prepare and post journal entries. We have implemented controls to ensure that account reconciliations are reviewed by an independent person who has technical knowledge and financial reporting competence.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ans-serif" w:hAnsi="Times New Roman;sans-serif"/>
          <w:b w:val="false"/>
          <w:color w:val="000000"/>
          <w:sz w:val="20"/>
        </w:rPr>
        <w:t xml:space="preserve">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our Annual Report on Form 10-K for the year ended December 31, 2022, filed with the SEC on March 29, 2023. The risks described in the Annual Report on Form 10-K for the year ended December 31, 2022 are not the only risks facing us. Additional risks and uncertainties not currently known to us or that we currently deem to be immaterial also may materially adversely affect our business, financial condition or future results.</w:t>
      </w:r>
    </w:p>
    <w:p>
      <w:pPr>
        <w:pStyle w:val="TextBody"/>
        <w:bidi w:val="0"/>
        <w:spacing w:before="160" w:after="283"/>
        <w:ind w:left="0" w:right="0" w:firstLine="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March 30, 2023, </w:t>
      </w:r>
      <w:r>
        <w:rPr>
          <w:rFonts w:ascii="Times New Roman;sans-serif" w:hAnsi="Times New Roman;sans-serif"/>
          <w:b w:val="false"/>
          <w:color w:val="000000"/>
          <w:sz w:val="20"/>
          <w:shd w:fill="FFFFFF" w:val="clear"/>
        </w:rPr>
        <w:t>we</w:t>
      </w:r>
      <w:r>
        <w:rPr>
          <w:color w:val="000000"/>
        </w:rPr>
        <w:t xml:space="preserve"> </w:t>
      </w:r>
      <w:r>
        <w:rPr>
          <w:rFonts w:ascii="Times New Roman;sans-serif" w:hAnsi="Times New Roman;sans-serif"/>
          <w:b w:val="false"/>
          <w:color w:val="000000"/>
          <w:sz w:val="20"/>
        </w:rPr>
        <w:t>issued an aggregate of 49,633 shares of Class A common stock to certain accredited entities and managed accounts for which Encompass Capital Advisors LLC exercises investment discretion (the “Investors”) pursuant to a securities purchase agreement (the “Purchase Agreement”) with the Investors. The shares of Class A common stock were issued to the Investors as consideration for their prior agreement to tender all warrants held by the Investors in our voluntary warrant exchange offer which closed on December 22, 2022, as further described in the form of Purchase Agreement filed as Exhibit 10.1 to our Current Report on Form 8-K filed on April 5, 2023. The Class A common stock was sold and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Rule 10b5-1 Trading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Gas sale and purchase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2023, a wholly-owned subsidiary of the Company entered into a Third Amended and Restated Gas Sale and Purchase Agreement and a Third Amended and Restated Site Lease Agreement (collectively, the “Agreements”) with a leading environmental services company. The Agreements, which are effective as of August 11, 2023, provide the Company with the right to purchase LFG from a landfill located in Massachusetts, for the purpose of combusting such LFG to generate renewable electricity at the facility (the “Facility”) located on the landfill footprint. Per the terms and conditions of the Agreements, the Company will make certain royalty and lease payments. The terms of the Agreements are 20 years from the date the Facility commences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representations, warranties and covenants contained in the Agreements were made solely for the benefit of the parties to the Agreements and may be subject to limitations agreed upon by the contracting parties.</w:t>
      </w:r>
      <w:r>
        <w:rPr>
          <w:color w:val="000000"/>
          <w:shd w:fill="FFFFFF" w:val="clear"/>
        </w:rPr>
        <w:t xml:space="preserve"> </w:t>
      </w:r>
      <w:r>
        <w:rPr>
          <w:rFonts w:ascii="Times New Roman;sans-serif" w:hAnsi="Times New Roman;sans-serif"/>
          <w:b w:val="false"/>
          <w:color w:val="000000"/>
          <w:sz w:val="20"/>
          <w:shd w:fill="FFFFFF" w:val="clear"/>
        </w:rPr>
        <w:t xml:space="preserve">The foregoing description of the </w:t>
      </w:r>
      <w:r>
        <w:rPr>
          <w:rFonts w:ascii="Times New Roman;sans-serif" w:hAnsi="Times New Roman;sans-serif"/>
          <w:b w:val="false"/>
          <w:color w:val="000000"/>
          <w:sz w:val="20"/>
        </w:rPr>
        <w:t xml:space="preserve">Third Amended and Restated Gas Sale and Purchase Agreement </w:t>
      </w:r>
      <w:r>
        <w:rPr>
          <w:rFonts w:ascii="Times New Roman;sans-serif" w:hAnsi="Times New Roman;sans-serif"/>
          <w:b w:val="false"/>
          <w:color w:val="000000"/>
          <w:sz w:val="20"/>
          <w:shd w:fill="FFFFFF" w:val="clear"/>
        </w:rPr>
        <w:t xml:space="preserve">is qualified in </w:t>
      </w:r>
      <w:r>
        <w:rPr>
          <w:rFonts w:ascii="Times New Roman;sans-serif" w:hAnsi="Times New Roman;sans-serif"/>
          <w:b w:val="false"/>
          <w:color w:val="000000"/>
          <w:sz w:val="20"/>
        </w:rPr>
        <w:t>its</w:t>
      </w:r>
      <w:r>
        <w:rPr>
          <w:color w:val="000000"/>
          <w:shd w:fill="FFFFFF" w:val="clear"/>
        </w:rPr>
        <w:t xml:space="preserve"> </w:t>
      </w:r>
      <w:r>
        <w:rPr>
          <w:rFonts w:ascii="Times New Roman;sans-serif" w:hAnsi="Times New Roman;sans-serif"/>
          <w:b w:val="false"/>
          <w:color w:val="000000"/>
          <w:sz w:val="20"/>
          <w:shd w:fill="FFFFFF" w:val="clear"/>
        </w:rPr>
        <w:t xml:space="preserve">entirety by reference to the full text of the </w:t>
      </w:r>
      <w:r>
        <w:rPr>
          <w:rFonts w:ascii="Times New Roman;sans-serif" w:hAnsi="Times New Roman;sans-serif"/>
          <w:b w:val="false"/>
          <w:color w:val="000000"/>
          <w:sz w:val="20"/>
        </w:rPr>
        <w:t>Third Amended and Restated Gas Sale and Purchase Agreement</w:t>
      </w:r>
      <w:r>
        <w:rPr>
          <w:rFonts w:ascii="Times New Roman;sans-serif" w:hAnsi="Times New Roman;sans-serif"/>
          <w:b w:val="false"/>
          <w:color w:val="000000"/>
          <w:sz w:val="20"/>
          <w:shd w:fill="FFFFFF" w:val="clear"/>
        </w:rPr>
        <w:t xml:space="preserve">, a copy of which is filed as Exhibit 10.5 to this Quarterly Report </w:t>
      </w:r>
      <w:r>
        <w:rPr>
          <w:rFonts w:ascii="Times New Roman;sans-serif" w:hAnsi="Times New Roman;sans-serif"/>
          <w:b w:val="false"/>
          <w:color w:val="000000"/>
          <w:sz w:val="20"/>
        </w:rPr>
        <w:t>on Form 10-Q</w:t>
      </w:r>
      <w:r>
        <w:rPr>
          <w:color w:val="000000"/>
          <w:shd w:fill="FFFFFF" w:val="clear"/>
        </w:rPr>
        <w:t xml:space="preserve"> </w:t>
      </w:r>
      <w:r>
        <w:rPr>
          <w:rFonts w:ascii="Times New Roman;sans-serif" w:hAnsi="Times New Roman;sans-serif"/>
          <w:b w:val="false"/>
          <w:color w:val="000000"/>
          <w:sz w:val="20"/>
          <w:shd w:fill="FFFFFF" w:val="clear"/>
        </w:rPr>
        <w:t>and incorporated herein by reference.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Index</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2696"/>
        <w:gridCol w:w="2566"/>
        <w:gridCol w:w="3664"/>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Securities Purchase Agreement, dated March 30, 2023, by and between OPAL Fuels Inc. and purchasers named therein (incorporated by reference to Exhibit 10.1 to the registrant's Current Report on Form 8-K filed with the SEC on April 5, 2023).</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Landfill Gas Purchase and Sale Agreement dated April 13, 2023 (effective as of March 13, 2023) (incorporated by reference to 10.2 to the registrant's Quarterly Report on Form 10Q filed with SEC on May 15, 2023)</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Piggyback Agreement for Landfill Gas Purchase Agreement dated May 2, 2023 (incorporated by reference to Exhibit 10.3 to the registrant's Quarterly Report on Form 10-Q filed with SEC on May 15, 2023)</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Credit and Guaranty Agreement, dated May 30, 2023, among Paragon RNG LLC as Borrower, the Guarantors, the lenders thereto, Bank of Montreal as the administrative agent, Wilmington Trust as collateral agent and BMO Capital Markets Corp., Investec Inc. and Comerica Bank as joint lead arrangers (incorporated by reference to Exhibit 10.1 to the registrant’s Current Report on Form 8-K filed with the SEC on June 2, 2023).</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bfifallriverthirdamdg.htm">
              <w:r>
                <w:rPr>
                  <w:rStyle w:val="InternetLink"/>
                  <w:rFonts w:ascii="Times New Roman;sans-serif" w:hAnsi="Times New Roman;sans-serif"/>
                  <w:b w:val="false"/>
                  <w:color w:val="0000FF"/>
                  <w:sz w:val="20"/>
                  <w:u w:val="single"/>
                </w:rPr>
                <w:t>Third Amended and Restated Gas Sale and Purchase Agreement, dated August 11, 2023.</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bl>
      <w:tblPr>
        <w:tblW w:w="3161" w:type="dxa"/>
        <w:jc w:val="right"/>
        <w:tblInd w:w="0" w:type="dxa"/>
        <w:tblLayout w:type="fixed"/>
        <w:tblCellMar>
          <w:top w:w="28" w:type="dxa"/>
          <w:left w:w="28" w:type="dxa"/>
          <w:bottom w:w="28" w:type="dxa"/>
          <w:right w:w="28" w:type="dxa"/>
        </w:tblCellMar>
      </w:tblPr>
      <w:tblGrid>
        <w:gridCol w:w="271"/>
        <w:gridCol w:w="238"/>
        <w:gridCol w:w="238"/>
        <w:gridCol w:w="707"/>
        <w:gridCol w:w="707"/>
        <w:gridCol w:w="100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316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3162" w:type="dxa"/>
        <w:jc w:val="right"/>
        <w:tblInd w:w="0" w:type="dxa"/>
        <w:tblLayout w:type="fixed"/>
        <w:tblCellMar>
          <w:top w:w="28" w:type="dxa"/>
          <w:left w:w="28" w:type="dxa"/>
          <w:bottom w:w="28" w:type="dxa"/>
          <w:right w:w="28" w:type="dxa"/>
        </w:tblCellMar>
      </w:tblPr>
      <w:tblGrid>
        <w:gridCol w:w="271"/>
        <w:gridCol w:w="238"/>
        <w:gridCol w:w="238"/>
        <w:gridCol w:w="708"/>
        <w:gridCol w:w="708"/>
        <w:gridCol w:w="999"/>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16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Chief Executive Officer</w:t>
            </w:r>
          </w:p>
        </w:tc>
      </w:tr>
    </w:tbl>
    <w:tbl>
      <w:tblPr>
        <w:tblW w:w="2756" w:type="dxa"/>
        <w:jc w:val="right"/>
        <w:tblInd w:w="0" w:type="dxa"/>
        <w:tblLayout w:type="fixed"/>
        <w:tblCellMar>
          <w:top w:w="28" w:type="dxa"/>
          <w:left w:w="28" w:type="dxa"/>
          <w:bottom w:w="28" w:type="dxa"/>
          <w:right w:w="28" w:type="dxa"/>
        </w:tblCellMar>
      </w:tblPr>
      <w:tblGrid>
        <w:gridCol w:w="271"/>
        <w:gridCol w:w="238"/>
        <w:gridCol w:w="238"/>
        <w:gridCol w:w="588"/>
        <w:gridCol w:w="588"/>
        <w:gridCol w:w="83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10.5</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PORTIONS OF INFORMATION CONTAINED IN THIS AGREEMENT HAVE BEEN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FROM THIS AGREEMENT BECAUSE THEY ARE BOTH NOT MATERIAL 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TYPE THAT THE REGISTRANT TREATS AS PRIVATE OR CONFIDENTIAL.</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EXCLUDED INFORMATION IS MARKED AS [***] BELOW</w:t>
      </w:r>
    </w:p>
    <w:p>
      <w:pPr>
        <w:pStyle w:val="TextBody"/>
        <w:bidi w:val="0"/>
        <w:spacing w:before="0" w:after="240"/>
        <w:jc w:val="right"/>
        <w:rPr/>
      </w:pPr>
      <w:r>
        <w:rPr/>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Execution Version</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THIRD AMENDED AND RESTATED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GAS SALE AND PURCHASE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Fall River Renewable Power LLC</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THIRD AMENDED AND RESTATED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GAS SALE AND PURCHASE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THIS THIRD AMENDED AND RESTATED GAS SALE AND PURCHASE </w:t>
      </w:r>
      <w:r>
        <w:rPr>
          <w:rFonts w:ascii="Times New Roman;sans-serif" w:hAnsi="Times New Roman;sans-serif"/>
          <w:b/>
          <w:color w:val="0D0D0D"/>
          <w:sz w:val="24"/>
        </w:rPr>
        <w:t xml:space="preserve">AGREEMENT </w:t>
      </w:r>
      <w:r>
        <w:rPr>
          <w:rFonts w:ascii="Times New Roman;sans-serif" w:hAnsi="Times New Roman;sans-serif"/>
          <w:b w:val="false"/>
          <w:color w:val="0D0D0D"/>
          <w:sz w:val="24"/>
        </w:rPr>
        <w:t>(this “</w:t>
      </w:r>
      <w:r>
        <w:rPr>
          <w:rFonts w:ascii="Times New Roman;sans-serif" w:hAnsi="Times New Roman;sans-serif"/>
          <w:b w:val="false"/>
          <w:color w:val="0D0D0D"/>
          <w:sz w:val="24"/>
          <w:u w:val="single"/>
        </w:rPr>
        <w:t>Agreement</w:t>
      </w:r>
      <w:r>
        <w:rPr>
          <w:color w:val="0D0D0D"/>
        </w:rPr>
        <w:t>”</w:t>
      </w:r>
      <w:r>
        <w:rPr>
          <w:rFonts w:ascii="Times New Roman;sans-serif" w:hAnsi="Times New Roman;sans-serif"/>
          <w:b w:val="false"/>
          <w:color w:val="0D0D0D"/>
          <w:sz w:val="24"/>
        </w:rPr>
        <w:t>), dated as of August 11, 2023 (the “</w:t>
      </w:r>
      <w:r>
        <w:rPr>
          <w:rFonts w:ascii="Times New Roman;sans-serif" w:hAnsi="Times New Roman;sans-serif"/>
          <w:b w:val="false"/>
          <w:color w:val="0D0D0D"/>
          <w:sz w:val="24"/>
          <w:u w:val="single"/>
        </w:rPr>
        <w:t>Effective Date</w:t>
      </w:r>
      <w:r>
        <w:rPr>
          <w:color w:val="0D0D0D"/>
        </w:rPr>
        <w:t>”</w:t>
      </w:r>
      <w:r>
        <w:rPr>
          <w:rFonts w:ascii="Times New Roman;sans-serif" w:hAnsi="Times New Roman;sans-serif"/>
          <w:b w:val="false"/>
          <w:color w:val="0D0D0D"/>
          <w:sz w:val="24"/>
        </w:rPr>
        <w:t>), is entered into by and between [***] (“</w:t>
      </w:r>
      <w:r>
        <w:rPr>
          <w:rFonts w:ascii="Times New Roman;sans-serif" w:hAnsi="Times New Roman;sans-serif"/>
          <w:b w:val="false"/>
          <w:color w:val="0D0D0D"/>
          <w:sz w:val="24"/>
          <w:u w:val="single"/>
        </w:rPr>
        <w:t>Seller</w:t>
      </w:r>
      <w:r>
        <w:rPr>
          <w:color w:val="0D0D0D"/>
        </w:rPr>
        <w:t>”</w:t>
      </w:r>
      <w:r>
        <w:rPr>
          <w:rFonts w:ascii="Times New Roman;sans-serif" w:hAnsi="Times New Roman;sans-serif"/>
          <w:b w:val="false"/>
          <w:color w:val="0D0D0D"/>
          <w:sz w:val="24"/>
        </w:rPr>
        <w:t xml:space="preserve">), and </w:t>
      </w:r>
      <w:r>
        <w:rPr>
          <w:rFonts w:ascii="Times New Roman;sans-serif" w:hAnsi="Times New Roman;sans-serif"/>
          <w:b/>
          <w:color w:val="0D0D0D"/>
          <w:sz w:val="24"/>
        </w:rPr>
        <w:t xml:space="preserve">Fall River Renewable Power LLC </w:t>
      </w:r>
      <w:r>
        <w:rPr>
          <w:rFonts w:ascii="Times New Roman;sans-serif" w:hAnsi="Times New Roman;sans-serif"/>
          <w:b w:val="false"/>
          <w:color w:val="0D0D0D"/>
          <w:sz w:val="24"/>
        </w:rPr>
        <w:t>(formerly known as Fall River RNG LLC), a Delaware limited liability company (“</w:t>
      </w:r>
      <w:r>
        <w:rPr>
          <w:rFonts w:ascii="Times New Roman;sans-serif" w:hAnsi="Times New Roman;sans-serif"/>
          <w:b w:val="false"/>
          <w:color w:val="0D0D0D"/>
          <w:sz w:val="24"/>
          <w:u w:val="single"/>
        </w:rPr>
        <w:t>Buyer</w:t>
      </w:r>
      <w:r>
        <w:rPr>
          <w:color w:val="0D0D0D"/>
        </w:rPr>
        <w:t>”</w:t>
      </w:r>
      <w:r>
        <w:rPr>
          <w:rFonts w:ascii="Times New Roman;sans-serif" w:hAnsi="Times New Roman;sans-serif"/>
          <w:b w:val="false"/>
          <w:color w:val="0D0D0D"/>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val="false"/>
          <w:color w:val="0F0F0F"/>
          <w:sz w:val="24"/>
        </w:rPr>
        <w:t xml:space="preserve">A.    Seller is the owner of the Collection System </w:t>
      </w:r>
      <w:r>
        <w:rPr>
          <w:rFonts w:ascii="Times New Roman;sans-serif" w:hAnsi="Times New Roman;sans-serif"/>
          <w:b w:val="false"/>
          <w:color w:val="000000"/>
          <w:sz w:val="24"/>
        </w:rPr>
        <w:t xml:space="preserve">(as defined in </w:t>
      </w:r>
      <w:r>
        <w:rPr>
          <w:rFonts w:ascii="Times New Roman;sans-serif" w:hAnsi="Times New Roman;sans-serif"/>
          <w:b w:val="false"/>
          <w:color w:val="000000"/>
          <w:sz w:val="24"/>
          <w:u w:val="single"/>
        </w:rPr>
        <w:t>Article 1</w:t>
      </w:r>
      <w:r>
        <w:rPr>
          <w:rFonts w:ascii="Times New Roman;sans-serif" w:hAnsi="Times New Roman;sans-serif"/>
          <w:b w:val="false"/>
          <w:color w:val="000000"/>
          <w:sz w:val="24"/>
        </w:rPr>
        <w:t xml:space="preserve">) </w:t>
      </w:r>
      <w:r>
        <w:rPr>
          <w:rFonts w:ascii="Times New Roman;sans-serif" w:hAnsi="Times New Roman;sans-serif"/>
          <w:b w:val="false"/>
          <w:color w:val="0F0F0F"/>
          <w:sz w:val="24"/>
        </w:rPr>
        <w:t xml:space="preserve">and the owner/operator of the </w:t>
      </w:r>
      <w:r>
        <w:rPr>
          <w:rFonts w:ascii="Times New Roman;sans-serif" w:hAnsi="Times New Roman;sans-serif"/>
          <w:b w:val="false"/>
          <w:color w:val="000000"/>
          <w:sz w:val="24"/>
        </w:rPr>
        <w:t xml:space="preserve">Landfill (as defined in </w:t>
      </w:r>
      <w:r>
        <w:rPr>
          <w:rFonts w:ascii="Times New Roman;sans-serif" w:hAnsi="Times New Roman;sans-serif"/>
          <w:b w:val="false"/>
          <w:color w:val="000000"/>
          <w:sz w:val="24"/>
          <w:u w:val="single"/>
        </w:rPr>
        <w:t>Article 1</w:t>
      </w:r>
      <w:r>
        <w:rPr>
          <w:rFonts w:ascii="Times New Roman;sans-serif" w:hAnsi="Times New Roman;sans-serif"/>
          <w:b w:val="false"/>
          <w:color w:val="000000"/>
          <w:sz w:val="24"/>
        </w:rPr>
        <w:t xml:space="preserve">) and extracts, collects, and has the right to sell Landfill Gas (as defined in </w:t>
      </w:r>
      <w:r>
        <w:rPr>
          <w:rFonts w:ascii="Times New Roman;sans-serif" w:hAnsi="Times New Roman;sans-serif"/>
          <w:b w:val="false"/>
          <w:color w:val="000000"/>
          <w:sz w:val="24"/>
          <w:u w:val="single"/>
        </w:rPr>
        <w:t>Article 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F0F0F"/>
          <w:sz w:val="24"/>
        </w:rPr>
        <w:t xml:space="preserve">B.    Seller and GRS executed and delivered the Second Amended and Restated GSPA </w:t>
      </w:r>
      <w:r>
        <w:rPr>
          <w:rFonts w:ascii="Times New Roman;sans-serif" w:hAnsi="Times New Roman;sans-serif"/>
          <w:b w:val="false"/>
          <w:color w:val="0D0D0D"/>
          <w:sz w:val="24"/>
        </w:rPr>
        <w:t xml:space="preserve">(as defined in </w:t>
      </w:r>
      <w:r>
        <w:rPr>
          <w:rFonts w:ascii="Times New Roman;sans-serif" w:hAnsi="Times New Roman;sans-serif"/>
          <w:b w:val="false"/>
          <w:color w:val="0D0D0D"/>
          <w:sz w:val="24"/>
          <w:u w:val="single"/>
        </w:rPr>
        <w:t>Article 1</w:t>
      </w:r>
      <w:r>
        <w:rPr>
          <w:rFonts w:ascii="Times New Roman;sans-serif" w:hAnsi="Times New Roman;sans-serif"/>
          <w:b w:val="false"/>
          <w:color w:val="0D0D0D"/>
          <w:sz w:val="24"/>
        </w:rPr>
        <w:t xml:space="preserve">) </w:t>
      </w:r>
      <w:r>
        <w:rPr>
          <w:rFonts w:ascii="Times New Roman;sans-serif" w:hAnsi="Times New Roman;sans-serif"/>
          <w:b w:val="false"/>
          <w:color w:val="0F0F0F"/>
          <w:sz w:val="24"/>
        </w:rPr>
        <w:t xml:space="preserve">and the Second Amended and Restated Site Lease </w:t>
      </w:r>
      <w:r>
        <w:rPr>
          <w:rFonts w:ascii="Times New Roman;sans-serif" w:hAnsi="Times New Roman;sans-serif"/>
          <w:b w:val="false"/>
          <w:color w:val="0D0D0D"/>
          <w:sz w:val="24"/>
        </w:rPr>
        <w:t xml:space="preserve">(as defined in </w:t>
      </w:r>
      <w:r>
        <w:rPr>
          <w:rFonts w:ascii="Times New Roman;sans-serif" w:hAnsi="Times New Roman;sans-serif"/>
          <w:b w:val="false"/>
          <w:color w:val="0D0D0D"/>
          <w:sz w:val="24"/>
          <w:u w:val="single"/>
        </w:rPr>
        <w:t>Article</w:t>
      </w:r>
      <w:r>
        <w:rPr>
          <w:color w:val="0D0D0D"/>
        </w:rPr>
        <w:t xml:space="preserve"> </w:t>
      </w:r>
      <w:r>
        <w:rPr>
          <w:rFonts w:ascii="Times New Roman;sans-serif" w:hAnsi="Times New Roman;sans-serif"/>
          <w:b w:val="false"/>
          <w:color w:val="0D0D0D"/>
          <w:sz w:val="24"/>
          <w:u w:val="single"/>
        </w:rPr>
        <w:t>1</w:t>
      </w:r>
      <w:r>
        <w:rPr>
          <w:rFonts w:ascii="Times New Roman;sans-serif" w:hAnsi="Times New Roman;sans-serif"/>
          <w:b w:val="false"/>
          <w:color w:val="0D0D0D"/>
          <w:sz w:val="24"/>
        </w:rPr>
        <w:t xml:space="preserve">) to process, generate and sell renewable natural gas from the Facility (as defined in </w:t>
      </w:r>
      <w:r>
        <w:rPr>
          <w:rFonts w:ascii="Times New Roman;sans-serif" w:hAnsi="Times New Roman;sans-serif"/>
          <w:b w:val="false"/>
          <w:color w:val="0D0D0D"/>
          <w:sz w:val="24"/>
          <w:u w:val="single"/>
        </w:rPr>
        <w:t>Article 1</w:t>
      </w:r>
      <w:r>
        <w:rPr>
          <w:rFonts w:ascii="Times New Roman;sans-serif" w:hAnsi="Times New Roman;sans-serif"/>
          <w:b w:val="false"/>
          <w:color w:val="0D0D0D"/>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F0F0F"/>
          <w:sz w:val="24"/>
        </w:rPr>
        <w:t>C.    </w:t>
      </w:r>
      <w:r>
        <w:rPr>
          <w:rFonts w:ascii="Times New Roman;sans-serif" w:hAnsi="Times New Roman;sans-serif"/>
          <w:b w:val="false"/>
          <w:color w:val="0D0D0D"/>
          <w:sz w:val="24"/>
        </w:rPr>
        <w:t xml:space="preserve">Due to certain permitting and/or approval issues with respect to the Facility processing and generating renewable natural gas, Seller desires to sell to Buyer, and Buyer desires to purchase from Seller, Landfill </w:t>
      </w:r>
      <w:r>
        <w:rPr>
          <w:rFonts w:ascii="Times New Roman;sans-serif" w:hAnsi="Times New Roman;sans-serif"/>
          <w:b w:val="false"/>
          <w:color w:val="0E0E0E"/>
          <w:sz w:val="24"/>
        </w:rPr>
        <w:t>Gas available for use in the Facility for the purpose of combusting such Landfill Gas to generate electricity for sale to creditworthy third parties, in accordance with the terms and conditions set forth herein.</w:t>
      </w:r>
    </w:p>
    <w:p>
      <w:pPr>
        <w:pStyle w:val="TextBody"/>
        <w:bidi w:val="0"/>
        <w:spacing w:lineRule="auto" w:line="240" w:before="0" w:after="240"/>
        <w:ind w:left="0" w:right="0" w:firstLine="720"/>
        <w:jc w:val="both"/>
        <w:rPr/>
      </w:pPr>
      <w:r>
        <w:rPr>
          <w:rFonts w:ascii="Times New Roman;sans-serif" w:hAnsi="Times New Roman;sans-serif"/>
          <w:b w:val="false"/>
          <w:color w:val="0F0F0F"/>
          <w:sz w:val="24"/>
        </w:rPr>
        <w:t>D.    </w:t>
      </w:r>
      <w:r>
        <w:rPr>
          <w:rFonts w:ascii="Times New Roman;sans-serif" w:hAnsi="Times New Roman;sans-serif"/>
          <w:b w:val="false"/>
          <w:color w:val="0D0D0D"/>
          <w:sz w:val="24"/>
        </w:rPr>
        <w:t xml:space="preserve">Seller and Buyer desire to execute and deliver this Agreement and the Site Lease (as defined in </w:t>
      </w:r>
      <w:r>
        <w:rPr>
          <w:rFonts w:ascii="Times New Roman;sans-serif" w:hAnsi="Times New Roman;sans-serif"/>
          <w:b w:val="false"/>
          <w:color w:val="0D0D0D"/>
          <w:sz w:val="24"/>
          <w:u w:val="single"/>
        </w:rPr>
        <w:t>Article 1</w:t>
      </w:r>
      <w:r>
        <w:rPr>
          <w:rFonts w:ascii="Times New Roman;sans-serif" w:hAnsi="Times New Roman;sans-serif"/>
          <w:b w:val="false"/>
          <w:color w:val="0D0D0D"/>
          <w:sz w:val="24"/>
        </w:rPr>
        <w:t xml:space="preserve">) to establish that the purpose of the Facility will be to combust Landfill Gas to generate electricity in accordance with this Agreement, rather than to process, generate and sell renewable natural gas as was contemplated by the Second Amended </w:t>
      </w:r>
      <w:r>
        <w:rPr>
          <w:rFonts w:ascii="Times New Roman;sans-serif" w:hAnsi="Times New Roman;sans-serif"/>
          <w:b w:val="false"/>
          <w:color w:val="0E0E0E"/>
          <w:sz w:val="24"/>
        </w:rPr>
        <w:t xml:space="preserve">and Restated GSPA and the </w:t>
      </w:r>
      <w:r>
        <w:rPr>
          <w:rFonts w:ascii="Times New Roman;sans-serif" w:hAnsi="Times New Roman;sans-serif"/>
          <w:b w:val="false"/>
          <w:color w:val="0D0D0D"/>
          <w:sz w:val="24"/>
        </w:rPr>
        <w:t xml:space="preserve">Second Amended </w:t>
      </w:r>
      <w:r>
        <w:rPr>
          <w:rFonts w:ascii="Times New Roman;sans-serif" w:hAnsi="Times New Roman;sans-serif"/>
          <w:b w:val="false"/>
          <w:color w:val="0E0E0E"/>
          <w:sz w:val="24"/>
        </w:rPr>
        <w:t>and Restated Site Lease.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bidi w:val="0"/>
        <w:spacing w:lineRule="auto" w:line="240" w:before="0" w:after="240"/>
        <w:ind w:left="0" w:right="0" w:firstLine="720"/>
        <w:jc w:val="both"/>
        <w:rPr/>
      </w:pPr>
      <w:r>
        <w:rPr>
          <w:rFonts w:ascii="Times New Roman;sans-serif" w:hAnsi="Times New Roman;sans-serif"/>
          <w:b/>
          <w:color w:val="111111"/>
          <w:sz w:val="24"/>
        </w:rPr>
        <w:t>NOW, THEREFORE</w:t>
      </w:r>
      <w:r>
        <w:rPr>
          <w:rFonts w:ascii="Times New Roman;sans-serif" w:hAnsi="Times New Roman;sans-serif"/>
          <w:b w:val="false"/>
          <w:color w:val="111111"/>
          <w:sz w:val="24"/>
        </w:rPr>
        <w:t>, for valuable consideration, the parties hereto agree as follows:</w:t>
      </w:r>
    </w:p>
    <w:p>
      <w:pPr>
        <w:pStyle w:val="TextBody"/>
        <w:bidi w:val="0"/>
        <w:spacing w:lineRule="auto" w:line="240"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111111"/>
          <w:sz w:val="24"/>
        </w:rPr>
        <w:t>The</w:t>
      </w:r>
      <w:r>
        <w:rPr>
          <w:color w:val="0F0F0F"/>
        </w:rPr>
        <w:t xml:space="preserve"> </w:t>
      </w:r>
      <w:r>
        <w:rPr>
          <w:rFonts w:ascii="Times New Roman;sans-serif" w:hAnsi="Times New Roman;sans-serif"/>
          <w:b w:val="false"/>
          <w:color w:val="0F0F0F"/>
          <w:sz w:val="24"/>
        </w:rPr>
        <w:t xml:space="preserve">following words and terms shall have the meanings specified in this </w:t>
      </w:r>
      <w:r>
        <w:rPr>
          <w:rFonts w:ascii="Times New Roman;sans-serif" w:hAnsi="Times New Roman;sans-serif"/>
          <w:b w:val="false"/>
          <w:color w:val="0F0F0F"/>
          <w:sz w:val="24"/>
          <w:u w:val="single"/>
        </w:rPr>
        <w:t>Article 1</w:t>
      </w:r>
      <w:r>
        <w:rPr>
          <w:color w:val="0F0F0F"/>
        </w:rPr>
        <w:t xml:space="preserve"> </w:t>
      </w:r>
      <w:r>
        <w:rPr>
          <w:rFonts w:ascii="Times New Roman;sans-serif" w:hAnsi="Times New Roman;sans-serif"/>
          <w:b w:val="false"/>
          <w:color w:val="0F0F0F"/>
          <w:sz w:val="24"/>
        </w:rPr>
        <w:t>when used in this Agreement, unless a different meaning is apparent from the context. The meanings specified are applicable to both the singular and the plural and to the masculine and feminine forms.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color w:val="101010"/>
        </w:rPr>
        <w:t>“</w:t>
      </w:r>
      <w:r>
        <w:rPr>
          <w:rFonts w:ascii="Times New Roman;sans-serif" w:hAnsi="Times New Roman;sans-serif"/>
          <w:b w:val="false"/>
          <w:color w:val="101010"/>
          <w:sz w:val="24"/>
          <w:u w:val="single"/>
        </w:rPr>
        <w:t>Affiliate</w:t>
      </w:r>
      <w:r>
        <w:rPr>
          <w:color w:val="101010"/>
        </w:rPr>
        <w:t xml:space="preserve">” </w:t>
      </w:r>
      <w:r>
        <w:rPr>
          <w:rFonts w:ascii="Times New Roman;sans-serif" w:hAnsi="Times New Roman;sans-serif"/>
          <w:b w:val="false"/>
          <w:color w:val="101010"/>
          <w:sz w:val="24"/>
        </w:rPr>
        <w:t xml:space="preserve">means any person that controls or is controlled by, or is under common control with, a party hereto, with the word “control” (and correspondingly, “controlled by” and “under </w:t>
      </w:r>
      <w:r>
        <w:rPr>
          <w:rFonts w:ascii="Times New Roman;sans-serif" w:hAnsi="Times New Roman;sans-serif"/>
          <w:b w:val="false"/>
          <w:color w:val="050505"/>
          <w:sz w:val="24"/>
        </w:rPr>
        <w:t>control with”), as used with respect to any Person, meaning (a) ownership of more than fifty percent (50%) of all the voting stock of any corporation, or more than fifty percent (50%) of all of the legal and equitable interest in any other business entity, or (b) the possession of the power to direct or cause the direction of the day-to-day management and policies of such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color w:val="101010"/>
        </w:rPr>
        <w:t>“</w:t>
      </w:r>
      <w:r>
        <w:rPr>
          <w:rFonts w:ascii="Times New Roman;sans-serif" w:hAnsi="Times New Roman;sans-serif"/>
          <w:b w:val="false"/>
          <w:color w:val="101010"/>
          <w:sz w:val="24"/>
          <w:u w:val="single"/>
        </w:rPr>
        <w:t>Agreement</w:t>
      </w:r>
      <w:r>
        <w:rPr>
          <w:color w:val="101010"/>
        </w:rPr>
        <w:t xml:space="preserve">” </w:t>
      </w:r>
      <w:r>
        <w:rPr>
          <w:rFonts w:ascii="Times New Roman;sans-serif" w:hAnsi="Times New Roman;sans-serif"/>
          <w:b w:val="false"/>
          <w:color w:val="101010"/>
          <w:sz w:val="24"/>
        </w:rPr>
        <w:t>shall have the meaning set forth in the preamble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color w:val="101010"/>
        </w:rPr>
        <w:t>“</w:t>
      </w:r>
      <w:r>
        <w:rPr>
          <w:rFonts w:ascii="Times New Roman;sans-serif" w:hAnsi="Times New Roman;sans-serif"/>
          <w:b w:val="false"/>
          <w:color w:val="101010"/>
          <w:sz w:val="24"/>
          <w:u w:val="single"/>
        </w:rPr>
        <w:t>Applicable Laws</w:t>
      </w:r>
      <w:r>
        <w:rPr>
          <w:color w:val="101010"/>
        </w:rPr>
        <w:t xml:space="preserve">” </w:t>
      </w:r>
      <w:r>
        <w:rPr>
          <w:rFonts w:ascii="Times New Roman;sans-serif" w:hAnsi="Times New Roman;sans-serif"/>
          <w:b w:val="false"/>
          <w:color w:val="101010"/>
          <w:sz w:val="24"/>
        </w:rPr>
        <w:t xml:space="preserve">means any and all applicable federal, state, county and local laws, statutes, rules, regulations, licenses, ordinances, judgments, orders, decrees, directives,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37565"/>
                <wp:effectExtent l="0" t="0" r="0" b="0"/>
                <wp:wrapNone/>
                <wp:docPr id="71" name="Frame7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101010"/>
          <w:sz w:val="24"/>
        </w:rPr>
      </w:pPr>
      <w:r>
        <w:rPr>
          <w:rFonts w:ascii="Times New Roman;sans-serif" w:hAnsi="Times New Roman;sans-serif"/>
          <w:b w:val="false"/>
          <w:color w:val="101010"/>
          <w:sz w:val="24"/>
        </w:rPr>
        <w:t>guidelines or policies (to the extent mandatory), permits, licenses and other governmental and regulatory approvals and authorizations, including, without limitation, any and all environmental laws, or any similar form of decision or determination by, or any interpretation or administration of, any of the foregoing by any Government Entity with jurisdiction over Seller, the Collection System, Buyer, the Facility, the Site, the Landfill, or a party’s performance under this Agreement and the transactions contemplated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color w:val="101010"/>
        </w:rPr>
        <w:t>“</w:t>
      </w:r>
      <w:r>
        <w:rPr>
          <w:rFonts w:ascii="Times New Roman;sans-serif" w:hAnsi="Times New Roman;sans-serif"/>
          <w:b w:val="false"/>
          <w:color w:val="101010"/>
          <w:sz w:val="24"/>
          <w:u w:val="single"/>
        </w:rPr>
        <w:t>Btu</w:t>
      </w:r>
      <w:r>
        <w:rPr>
          <w:color w:val="101010"/>
        </w:rPr>
        <w:t xml:space="preserve">” </w:t>
      </w:r>
      <w:r>
        <w:rPr>
          <w:rFonts w:ascii="Times New Roman;sans-serif" w:hAnsi="Times New Roman;sans-serif"/>
          <w:b w:val="false"/>
          <w:color w:val="101010"/>
          <w:sz w:val="24"/>
        </w:rPr>
        <w:t>means a British thermal Unit.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color w:val="101010"/>
        </w:rPr>
        <w:t>“</w:t>
      </w:r>
      <w:r>
        <w:rPr>
          <w:rFonts w:ascii="Times New Roman;sans-serif" w:hAnsi="Times New Roman;sans-serif"/>
          <w:b w:val="false"/>
          <w:color w:val="101010"/>
          <w:sz w:val="24"/>
          <w:u w:val="single"/>
        </w:rPr>
        <w:t>Buyer</w:t>
      </w:r>
      <w:r>
        <w:rPr>
          <w:color w:val="101010"/>
        </w:rPr>
        <w:t xml:space="preserve">” </w:t>
      </w:r>
      <w:r>
        <w:rPr>
          <w:rFonts w:ascii="Times New Roman;sans-serif" w:hAnsi="Times New Roman;sans-serif"/>
          <w:b w:val="false"/>
          <w:color w:val="101010"/>
          <w:sz w:val="24"/>
        </w:rPr>
        <w:t>shall have the meaning set forth in the preamble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color w:val="101010"/>
        </w:rPr>
        <w:t>“</w:t>
      </w:r>
      <w:r>
        <w:rPr>
          <w:rFonts w:ascii="Times New Roman;sans-serif" w:hAnsi="Times New Roman;sans-serif"/>
          <w:b w:val="false"/>
          <w:color w:val="101010"/>
          <w:sz w:val="24"/>
          <w:u w:val="single"/>
        </w:rPr>
        <w:t>Buyer Collateral</w:t>
      </w:r>
      <w:r>
        <w:rPr>
          <w:color w:val="101010"/>
        </w:rPr>
        <w:t xml:space="preserve">” </w:t>
      </w:r>
      <w:r>
        <w:rPr>
          <w:rFonts w:ascii="Times New Roman;sans-serif" w:hAnsi="Times New Roman;sans-serif"/>
          <w:b w:val="false"/>
          <w:color w:val="101010"/>
          <w:sz w:val="24"/>
        </w:rPr>
        <w:t xml:space="preserve">means all of Buyer’s personal property and fixtures, wherever located, whether now or hereafter owned, existing or acquired or hereafter arising, including, without limitation, the following: all accounts, inventory, equipment, Renewable Energy Credits/Certificates, general intangibles (including, without limitation, trade names, permits, licenses and other intangible property rights), fixtures, goods, real property, leasehold improvements, documents, instruments, chattel paper, money, deposit accounts, accounts receivable, rights to draw on letters and advances of credit and the cash or noncash proceeds (including insurance or other rights to receive payment with respect thereto) of any of the foregoing and all accessions and additions to and replacements of the foregoing, and all books and records pertaining to any of the foregoing; </w:t>
      </w:r>
      <w:r>
        <w:rPr>
          <w:rFonts w:ascii="Times New Roman;sans-serif" w:hAnsi="Times New Roman;sans-serif"/>
          <w:b w:val="false"/>
          <w:color w:val="101010"/>
          <w:sz w:val="24"/>
          <w:u w:val="single"/>
        </w:rPr>
        <w:t>provided</w:t>
      </w:r>
      <w:r>
        <w:rPr>
          <w:rFonts w:ascii="Times New Roman;sans-serif" w:hAnsi="Times New Roman;sans-serif"/>
          <w:b w:val="false"/>
          <w:color w:val="101010"/>
          <w:sz w:val="24"/>
        </w:rPr>
        <w:t xml:space="preserve">, </w:t>
      </w:r>
      <w:r>
        <w:rPr>
          <w:rFonts w:ascii="Times New Roman;sans-serif" w:hAnsi="Times New Roman;sans-serif"/>
          <w:b w:val="false"/>
          <w:color w:val="101010"/>
          <w:sz w:val="24"/>
          <w:u w:val="single"/>
        </w:rPr>
        <w:t>however</w:t>
      </w:r>
      <w:r>
        <w:rPr>
          <w:rFonts w:ascii="Times New Roman;sans-serif" w:hAnsi="Times New Roman;sans-serif"/>
          <w:b w:val="false"/>
          <w:color w:val="101010"/>
          <w:sz w:val="24"/>
        </w:rPr>
        <w:t xml:space="preserve">, for purposes of determining the value of the Buyer Collateral as provided in </w:t>
      </w:r>
      <w:r>
        <w:rPr>
          <w:rFonts w:ascii="Times New Roman;sans-serif" w:hAnsi="Times New Roman;sans-serif"/>
          <w:b w:val="false"/>
          <w:color w:val="101010"/>
          <w:sz w:val="24"/>
          <w:u w:val="single"/>
        </w:rPr>
        <w:t>Section 6.8(b)</w:t>
      </w:r>
      <w:r>
        <w:rPr>
          <w:color w:val="101010"/>
        </w:rPr>
        <w:t xml:space="preserve"> </w:t>
      </w:r>
      <w:r>
        <w:rPr>
          <w:rFonts w:ascii="Times New Roman;sans-serif" w:hAnsi="Times New Roman;sans-serif"/>
          <w:b w:val="false"/>
          <w:color w:val="101010"/>
          <w:sz w:val="24"/>
        </w:rPr>
        <w:t>of this Agreement, the Buyer Collateral shall exclude the value of any rights to utilize the Landfill Gas provided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color w:val="101010"/>
        </w:rPr>
        <w:t>“</w:t>
      </w:r>
      <w:r>
        <w:rPr>
          <w:rFonts w:ascii="Times New Roman;sans-serif" w:hAnsi="Times New Roman;sans-serif"/>
          <w:b w:val="false"/>
          <w:color w:val="101010"/>
          <w:sz w:val="24"/>
          <w:u w:val="single"/>
        </w:rPr>
        <w:t>Buyer Security</w:t>
      </w:r>
      <w:r>
        <w:rPr>
          <w:color w:val="101010"/>
        </w:rPr>
        <w:t xml:space="preserve">” </w:t>
      </w:r>
      <w:r>
        <w:rPr>
          <w:rFonts w:ascii="Times New Roman;sans-serif" w:hAnsi="Times New Roman;sans-serif"/>
          <w:b w:val="false"/>
          <w:color w:val="101010"/>
          <w:sz w:val="24"/>
        </w:rPr>
        <w:t xml:space="preserve">shall have the meaning set forth in </w:t>
      </w:r>
      <w:r>
        <w:rPr>
          <w:rFonts w:ascii="Times New Roman;sans-serif" w:hAnsi="Times New Roman;sans-serif"/>
          <w:b w:val="false"/>
          <w:color w:val="101010"/>
          <w:sz w:val="24"/>
          <w:u w:val="single"/>
        </w:rPr>
        <w:t>Section 6.8</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color w:val="101010"/>
        </w:rPr>
        <w:t>“</w:t>
      </w:r>
      <w:r>
        <w:rPr>
          <w:rFonts w:ascii="Times New Roman;sans-serif" w:hAnsi="Times New Roman;sans-serif"/>
          <w:b w:val="false"/>
          <w:color w:val="101010"/>
          <w:sz w:val="24"/>
          <w:u w:val="single"/>
        </w:rPr>
        <w:t>Collection System</w:t>
      </w:r>
      <w:r>
        <w:rPr>
          <w:color w:val="101010"/>
        </w:rPr>
        <w:t xml:space="preserve">” </w:t>
      </w:r>
      <w:r>
        <w:rPr>
          <w:rFonts w:ascii="Times New Roman;sans-serif" w:hAnsi="Times New Roman;sans-serif"/>
          <w:b w:val="false"/>
          <w:color w:val="101010"/>
          <w:sz w:val="24"/>
        </w:rPr>
        <w:t xml:space="preserve">means </w:t>
      </w:r>
      <w:r>
        <w:rPr>
          <w:rFonts w:ascii="Times New Roman;sans-serif" w:hAnsi="Times New Roman;sans-serif"/>
          <w:b w:val="false"/>
          <w:color w:val="070707"/>
          <w:sz w:val="24"/>
        </w:rPr>
        <w:t>the fixtures, equipment and assets of Seller, whether owned or leased by Seller, that are either used by Seller in the performance of Seller’s business or are currently or may be in the future located on the Landfill up to and including the Delivery Point and includes, without limitation, the wells, pipes, headers and gathering systems, flares, vacuum pipelines, blowers, condensate knockout vessels or systems, and all other fixtures, equipment and assets that are used for the purpose of collecting, producing and delivering or facilitating the collection, production and delivery of Landfill Gas, as such exists as of the Effective Date or as the same is modified, expanded and replaced.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color w:val="101010"/>
        </w:rPr>
        <w:t>“</w:t>
      </w:r>
      <w:r>
        <w:rPr>
          <w:rFonts w:ascii="Times New Roman;sans-serif" w:hAnsi="Times New Roman;sans-serif"/>
          <w:b w:val="false"/>
          <w:color w:val="070707"/>
          <w:sz w:val="24"/>
          <w:u w:val="single"/>
        </w:rPr>
        <w:t>Commercial Operations Date</w:t>
      </w:r>
      <w:r>
        <w:rPr>
          <w:color w:val="070707"/>
        </w:rPr>
        <w:t xml:space="preserve">” </w:t>
      </w:r>
      <w:r>
        <w:rPr>
          <w:rFonts w:ascii="Times New Roman;sans-serif" w:hAnsi="Times New Roman;sans-serif"/>
          <w:b w:val="false"/>
          <w:color w:val="070707"/>
          <w:sz w:val="24"/>
        </w:rPr>
        <w:t>means the date that is ten (10) days after Buyer provides written notice to Seller that the Pre-Commercial Operations Period has commenced.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color w:val="101010"/>
        </w:rPr>
        <w:t>“</w:t>
      </w:r>
      <w:r>
        <w:rPr>
          <w:rFonts w:ascii="Times New Roman;sans-serif" w:hAnsi="Times New Roman;sans-serif"/>
          <w:b w:val="false"/>
          <w:color w:val="101010"/>
          <w:sz w:val="24"/>
          <w:u w:val="single"/>
        </w:rPr>
        <w:t>Condensate</w:t>
      </w:r>
      <w:r>
        <w:rPr>
          <w:color w:val="101010"/>
        </w:rPr>
        <w:t xml:space="preserve">” </w:t>
      </w:r>
      <w:r>
        <w:rPr>
          <w:rFonts w:ascii="Times New Roman;sans-serif" w:hAnsi="Times New Roman;sans-serif"/>
          <w:b w:val="false"/>
          <w:color w:val="101010"/>
          <w:sz w:val="24"/>
        </w:rPr>
        <w:t xml:space="preserve">means any liquids </w:t>
      </w:r>
      <w:r>
        <w:rPr>
          <w:rFonts w:ascii="Times New Roman;sans-serif" w:hAnsi="Times New Roman;sans-serif"/>
          <w:b w:val="false"/>
          <w:color w:val="080808"/>
          <w:sz w:val="24"/>
        </w:rPr>
        <w:t>that condense or otherwise separate from the Landfill Gas during collection, transporting or processing by the Collection System or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color w:val="101010"/>
        </w:rPr>
        <w:t>“</w:t>
      </w:r>
      <w:r>
        <w:rPr>
          <w:rFonts w:ascii="Times New Roman;sans-serif" w:hAnsi="Times New Roman;sans-serif"/>
          <w:b w:val="false"/>
          <w:color w:val="101010"/>
          <w:sz w:val="24"/>
          <w:u w:val="single"/>
        </w:rPr>
        <w:t>Confidential Information</w:t>
      </w:r>
      <w:r>
        <w:rPr>
          <w:color w:val="101010"/>
        </w:rPr>
        <w:t xml:space="preserve">” </w:t>
      </w:r>
      <w:r>
        <w:rPr>
          <w:rFonts w:ascii="Times New Roman;sans-serif" w:hAnsi="Times New Roman;sans-serif"/>
          <w:b w:val="false"/>
          <w:color w:val="101010"/>
          <w:sz w:val="24"/>
        </w:rPr>
        <w:t xml:space="preserve">shall have the meaning set forth in </w:t>
      </w:r>
      <w:r>
        <w:rPr>
          <w:rFonts w:ascii="Times New Roman;sans-serif" w:hAnsi="Times New Roman;sans-serif"/>
          <w:b w:val="false"/>
          <w:color w:val="101010"/>
          <w:sz w:val="24"/>
          <w:u w:val="single"/>
        </w:rPr>
        <w:t>Section 12.15</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color w:val="101010"/>
        </w:rPr>
        <w:t>“</w:t>
      </w:r>
      <w:r>
        <w:rPr>
          <w:rFonts w:ascii="Times New Roman;sans-serif" w:hAnsi="Times New Roman;sans-serif"/>
          <w:b w:val="false"/>
          <w:color w:val="101010"/>
          <w:sz w:val="24"/>
          <w:u w:val="single"/>
        </w:rPr>
        <w:t>Deemed Assignment</w:t>
      </w:r>
      <w:r>
        <w:rPr>
          <w:color w:val="101010"/>
        </w:rPr>
        <w:t xml:space="preserve">” </w:t>
      </w:r>
      <w:r>
        <w:rPr>
          <w:rFonts w:ascii="Times New Roman;sans-serif" w:hAnsi="Times New Roman;sans-serif"/>
          <w:b w:val="false"/>
          <w:color w:val="101010"/>
          <w:sz w:val="24"/>
        </w:rPr>
        <w:t xml:space="preserve">shall have the meaning set forth in </w:t>
      </w:r>
      <w:r>
        <w:rPr>
          <w:rFonts w:ascii="Times New Roman;sans-serif" w:hAnsi="Times New Roman;sans-serif"/>
          <w:b w:val="false"/>
          <w:color w:val="101010"/>
          <w:sz w:val="24"/>
          <w:u w:val="single"/>
        </w:rPr>
        <w:t>Section 12.11(d)</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color w:val="101010"/>
        </w:rPr>
        <w:t>“</w:t>
      </w:r>
      <w:r>
        <w:rPr>
          <w:rFonts w:ascii="Times New Roman;sans-serif" w:hAnsi="Times New Roman;sans-serif"/>
          <w:b w:val="false"/>
          <w:color w:val="101010"/>
          <w:sz w:val="24"/>
          <w:u w:val="single"/>
        </w:rPr>
        <w:t>Delivery Point</w:t>
      </w:r>
      <w:r>
        <w:rPr>
          <w:color w:val="101010"/>
        </w:rPr>
        <w:t xml:space="preserve">” </w:t>
      </w:r>
      <w:r>
        <w:rPr>
          <w:rFonts w:ascii="Times New Roman;sans-serif" w:hAnsi="Times New Roman;sans-serif"/>
          <w:b w:val="false"/>
          <w:color w:val="101010"/>
          <w:sz w:val="24"/>
        </w:rPr>
        <w:t xml:space="preserve">means the designated interconnection point where Seller shall deliver Landfill Gas to Buyer, which term has the more particular meaning assigned thereto in </w:t>
      </w:r>
      <w:r>
        <w:rPr>
          <w:rFonts w:ascii="Times New Roman;sans-serif" w:hAnsi="Times New Roman;sans-serif"/>
          <w:b w:val="false"/>
          <w:color w:val="101010"/>
          <w:sz w:val="24"/>
          <w:u w:val="single"/>
        </w:rPr>
        <w:t>Section 4.1</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color w:val="101010"/>
        </w:rPr>
        <w:t>“</w:t>
      </w:r>
      <w:r>
        <w:rPr>
          <w:rFonts w:ascii="Times New Roman;sans-serif" w:hAnsi="Times New Roman;sans-serif"/>
          <w:b w:val="false"/>
          <w:color w:val="101010"/>
          <w:sz w:val="24"/>
          <w:u w:val="single"/>
        </w:rPr>
        <w:t>Effective Date</w:t>
      </w:r>
      <w:r>
        <w:rPr>
          <w:color w:val="101010"/>
        </w:rPr>
        <w:t xml:space="preserve">” </w:t>
      </w:r>
      <w:r>
        <w:rPr>
          <w:rFonts w:ascii="Times New Roman;sans-serif" w:hAnsi="Times New Roman;sans-serif"/>
          <w:b w:val="false"/>
          <w:color w:val="101010"/>
          <w:sz w:val="24"/>
        </w:rPr>
        <w:t>shall have the meaning set forth in the preamble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37565"/>
                <wp:effectExtent l="0" t="0" r="0" b="0"/>
                <wp:wrapNone/>
                <wp:docPr id="72" name="Frame7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color w:val="101010"/>
        </w:rPr>
        <w:t>“</w:t>
      </w:r>
      <w:r>
        <w:rPr>
          <w:rFonts w:ascii="Times New Roman;sans-serif" w:hAnsi="Times New Roman;sans-serif"/>
          <w:b w:val="false"/>
          <w:color w:val="101010"/>
          <w:sz w:val="24"/>
          <w:u w:val="single"/>
        </w:rPr>
        <w:t>Energy Customer</w:t>
      </w:r>
      <w:r>
        <w:rPr>
          <w:color w:val="101010"/>
        </w:rPr>
        <w:t xml:space="preserve">” </w:t>
      </w:r>
      <w:r>
        <w:rPr>
          <w:rFonts w:ascii="Times New Roman;sans-serif" w:hAnsi="Times New Roman;sans-serif"/>
          <w:b w:val="false"/>
          <w:color w:val="070707"/>
          <w:sz w:val="24"/>
        </w:rPr>
        <w:t>means any Person with which Buyer enters into an agreement for the purchase by such Person of the electricity produced by the Facility following the Pre-Commercial Operations Period</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color w:val="080808"/>
        </w:rPr>
        <w:t>“</w:t>
      </w:r>
      <w:r>
        <w:rPr>
          <w:rFonts w:ascii="Times New Roman;sans-serif" w:hAnsi="Times New Roman;sans-serif"/>
          <w:b w:val="false"/>
          <w:color w:val="080808"/>
          <w:sz w:val="24"/>
          <w:u w:val="single"/>
        </w:rPr>
        <w:t>Event of Default</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8.1</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color w:val="080808"/>
        </w:rPr>
        <w:t>“</w:t>
      </w:r>
      <w:r>
        <w:rPr>
          <w:rFonts w:ascii="Times New Roman;sans-serif" w:hAnsi="Times New Roman;sans-serif"/>
          <w:b w:val="false"/>
          <w:color w:val="080808"/>
          <w:sz w:val="24"/>
          <w:u w:val="single"/>
        </w:rPr>
        <w:t>Facility</w:t>
      </w:r>
      <w:r>
        <w:rPr>
          <w:color w:val="080808"/>
        </w:rPr>
        <w:t xml:space="preserve">” </w:t>
      </w:r>
      <w:r>
        <w:rPr>
          <w:rFonts w:ascii="Times New Roman;sans-serif" w:hAnsi="Times New Roman;sans-serif"/>
          <w:b w:val="false"/>
          <w:color w:val="080808"/>
          <w:sz w:val="24"/>
        </w:rPr>
        <w:t xml:space="preserve">means the equipment, facilities, and associated structures, including any controls, fuel treatment equipment, and similar equipment installed at the Site and easements provided pursuant to the Site Lease or by written easement agreement executed and delivered by the parties hereto for the purpose of generating </w:t>
      </w:r>
      <w:r>
        <w:rPr>
          <w:rFonts w:ascii="Times New Roman;sans-serif" w:hAnsi="Times New Roman;sans-serif"/>
          <w:b w:val="false"/>
          <w:color w:val="070707"/>
          <w:sz w:val="24"/>
        </w:rPr>
        <w:t>electricity following the Pre-Commercial Operations Period</w:t>
      </w:r>
      <w:r>
        <w:rPr>
          <w:rFonts w:ascii="Times New Roman;sans-serif" w:hAnsi="Times New Roman;sans-serif"/>
          <w:b w:val="false"/>
          <w:color w:val="080808"/>
          <w:sz w:val="24"/>
        </w:rPr>
        <w:t>, together with the Interconnection Equipment installed on the Site, but not including the Collection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color w:val="080808"/>
        </w:rPr>
        <w:t>“</w:t>
      </w:r>
      <w:r>
        <w:rPr>
          <w:rFonts w:ascii="Times New Roman;sans-serif" w:hAnsi="Times New Roman;sans-serif"/>
          <w:b w:val="false"/>
          <w:color w:val="080808"/>
          <w:sz w:val="24"/>
          <w:u w:val="single"/>
        </w:rPr>
        <w:t>Force Majeure</w:t>
      </w:r>
      <w:r>
        <w:rPr>
          <w:color w:val="080808"/>
        </w:rPr>
        <w:t xml:space="preserve">” </w:t>
      </w:r>
      <w:r>
        <w:rPr>
          <w:rFonts w:ascii="Times New Roman;sans-serif" w:hAnsi="Times New Roman;sans-serif"/>
          <w:b w:val="false"/>
          <w:color w:val="080808"/>
          <w:sz w:val="24"/>
        </w:rPr>
        <w:t xml:space="preserve">means any cause not reasonably within the control of and without the fault or negligence of the party claiming suspension of the performance of its duties hereunder and that by the exercise of reasonable diligence such party is unable to prevent or overcome, including, but not limited to, acts of God, acts of war or conditions attributable to war, labor disputes, sudden actions of the elements, sabotage, civil commotion, thermal reactions within the Landfill, action by federal, state, municipal or regulatory courts, and actions of legislative bodies, without limitation, under any circumstances, financial inability to perform or Buyer’s failure to obtain or maintain a purchaser for any electricity or any </w:t>
      </w:r>
      <w:r>
        <w:rPr>
          <w:rFonts w:ascii="Times New Roman;sans-serif" w:hAnsi="Times New Roman;sans-serif"/>
          <w:b w:val="false"/>
          <w:color w:val="0D0D0D"/>
          <w:sz w:val="24"/>
        </w:rPr>
        <w:t>Renewable Energy Credits/Certificates</w:t>
      </w:r>
      <w:r>
        <w:rPr>
          <w:rFonts w:ascii="Times New Roman;sans-serif" w:hAnsi="Times New Roman;sans-serif"/>
          <w:b w:val="false"/>
          <w:color w:val="080808"/>
          <w:sz w:val="24"/>
        </w:rPr>
        <w:t>. For the purposes of this Agreement, the requirement that “Force Majeure” be a cause not within the control of the affected party that by the exercise of due diligence such party is unable to prevent or overcome shall not require the settlement of strikes and lockouts by acceding to the demands of third parties directly or indirectly involved in such strikes or lockouts when such course is deemed inadvisable in the sole discretion of the party subject to such strikes or lockouts.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1.19</w:t>
      </w:r>
      <w:r>
        <w:rPr>
          <w:color w:val="080808"/>
        </w:rPr>
        <w:t>“</w:t>
      </w:r>
      <w:r>
        <w:rPr>
          <w:rFonts w:ascii="Times New Roman;sans-serif" w:hAnsi="Times New Roman;sans-serif"/>
          <w:b w:val="false"/>
          <w:color w:val="080808"/>
          <w:sz w:val="24"/>
          <w:u w:val="single"/>
        </w:rPr>
        <w:t>Government Entity</w:t>
      </w:r>
      <w:r>
        <w:rPr>
          <w:color w:val="080808"/>
        </w:rPr>
        <w:t xml:space="preserve">” </w:t>
      </w:r>
      <w:r>
        <w:rPr>
          <w:rFonts w:ascii="Times New Roman;sans-serif" w:hAnsi="Times New Roman;sans-serif"/>
          <w:b w:val="false"/>
          <w:color w:val="080808"/>
          <w:sz w:val="24"/>
        </w:rPr>
        <w:t>means any court or tribunal in any jurisdiction or any federal, state, municipal, or other governmental body, agency, authority, department, commission, board, bureau or instrumentality.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1.20</w:t>
      </w:r>
      <w:r>
        <w:rPr>
          <w:color w:val="080808"/>
        </w:rPr>
        <w:t>“</w:t>
      </w:r>
      <w:r>
        <w:rPr>
          <w:rFonts w:ascii="Times New Roman;sans-serif" w:hAnsi="Times New Roman;sans-serif"/>
          <w:b w:val="false"/>
          <w:color w:val="080808"/>
          <w:sz w:val="24"/>
          <w:u w:val="single"/>
        </w:rPr>
        <w:t>GRS</w:t>
      </w:r>
      <w:r>
        <w:rPr>
          <w:color w:val="080808"/>
        </w:rPr>
        <w:t xml:space="preserve">” </w:t>
      </w:r>
      <w:r>
        <w:rPr>
          <w:rFonts w:ascii="Times New Roman;sans-serif" w:hAnsi="Times New Roman;sans-serif"/>
          <w:b w:val="false"/>
          <w:color w:val="080808"/>
          <w:sz w:val="24"/>
        </w:rPr>
        <w:t xml:space="preserve">shall </w:t>
      </w:r>
      <w:r>
        <w:rPr>
          <w:rFonts w:ascii="Times New Roman;sans-serif" w:hAnsi="Times New Roman;sans-serif"/>
          <w:b w:val="false"/>
          <w:color w:val="101010"/>
          <w:sz w:val="24"/>
        </w:rPr>
        <w:t>have the meaning set forth in the preamble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color w:val="080808"/>
        </w:rPr>
        <w:t>“</w:t>
      </w:r>
      <w:r>
        <w:rPr>
          <w:rFonts w:ascii="Times New Roman;sans-serif" w:hAnsi="Times New Roman;sans-serif"/>
          <w:b w:val="false"/>
          <w:color w:val="080808"/>
          <w:sz w:val="24"/>
          <w:u w:val="single"/>
        </w:rPr>
        <w:t>Indemnified Parties</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6.7</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color w:val="080808"/>
        </w:rPr>
        <w:t>“</w:t>
      </w:r>
      <w:r>
        <w:rPr>
          <w:rFonts w:ascii="Times New Roman;sans-serif" w:hAnsi="Times New Roman;sans-serif"/>
          <w:b w:val="false"/>
          <w:color w:val="080808"/>
          <w:sz w:val="24"/>
          <w:u w:val="single"/>
        </w:rPr>
        <w:t>Indemnifying Parties</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6.7</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color w:val="080808"/>
        </w:rPr>
        <w:t>“</w:t>
      </w:r>
      <w:r>
        <w:rPr>
          <w:rFonts w:ascii="Times New Roman;sans-serif" w:hAnsi="Times New Roman;sans-serif"/>
          <w:b w:val="false"/>
          <w:color w:val="080808"/>
          <w:sz w:val="24"/>
          <w:u w:val="single"/>
        </w:rPr>
        <w:t>Interconnection Equipment</w:t>
      </w:r>
      <w:r>
        <w:rPr>
          <w:color w:val="080808"/>
        </w:rPr>
        <w:t xml:space="preserve">” </w:t>
      </w:r>
      <w:r>
        <w:rPr>
          <w:rFonts w:ascii="Times New Roman;sans-serif" w:hAnsi="Times New Roman;sans-serif"/>
          <w:b w:val="false"/>
          <w:color w:val="080808"/>
          <w:sz w:val="24"/>
        </w:rPr>
        <w:t xml:space="preserve">means all of the equipment and facilities required to be </w:t>
      </w:r>
      <w:r>
        <w:rPr>
          <w:rFonts w:ascii="Times New Roman;sans-serif" w:hAnsi="Times New Roman;sans-serif"/>
          <w:b w:val="false"/>
          <w:color w:val="101010"/>
          <w:sz w:val="24"/>
        </w:rPr>
        <w:t xml:space="preserve">constructed </w:t>
      </w:r>
      <w:r>
        <w:rPr>
          <w:rFonts w:ascii="Times New Roman;sans-serif" w:hAnsi="Times New Roman;sans-serif"/>
          <w:b w:val="false"/>
          <w:color w:val="080808"/>
          <w:sz w:val="24"/>
        </w:rPr>
        <w:t xml:space="preserve">to interconnect with and deliver </w:t>
      </w:r>
      <w:r>
        <w:rPr>
          <w:rFonts w:ascii="Times New Roman;sans-serif" w:hAnsi="Times New Roman;sans-serif"/>
          <w:b w:val="false"/>
          <w:color w:val="070707"/>
          <w:sz w:val="24"/>
        </w:rPr>
        <w:t>electricity produced by the Facility following the Pre-Commercial Operations Period</w:t>
      </w:r>
      <w:r>
        <w:rPr>
          <w:rFonts w:ascii="Times New Roman;sans-serif" w:hAnsi="Times New Roman;sans-serif"/>
          <w:b w:val="false"/>
          <w:color w:val="080808"/>
          <w:sz w:val="24"/>
        </w:rPr>
        <w:t>, to an Energy Customer.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1.24</w:t>
      </w:r>
      <w:r>
        <w:rPr>
          <w:color w:val="080808"/>
        </w:rPr>
        <w:t>“</w:t>
      </w:r>
      <w:r>
        <w:rPr>
          <w:rFonts w:ascii="Times New Roman;sans-serif" w:hAnsi="Times New Roman;sans-serif"/>
          <w:b w:val="false"/>
          <w:color w:val="080808"/>
          <w:sz w:val="24"/>
          <w:u w:val="single"/>
        </w:rPr>
        <w:t>Landfill</w:t>
      </w:r>
      <w:r>
        <w:rPr>
          <w:color w:val="080808"/>
        </w:rPr>
        <w:t xml:space="preserve">” </w:t>
      </w:r>
      <w:r>
        <w:rPr>
          <w:rFonts w:ascii="Times New Roman;sans-serif" w:hAnsi="Times New Roman;sans-serif"/>
          <w:b w:val="false"/>
          <w:color w:val="080808"/>
          <w:sz w:val="24"/>
        </w:rPr>
        <w:t xml:space="preserve">means the real property commonly known as the Fall River landfill located in or near Fall River, Massachusetts, which is more particularly described on </w:t>
      </w:r>
      <w:r>
        <w:rPr>
          <w:rFonts w:ascii="Times New Roman;sans-serif" w:hAnsi="Times New Roman;sans-serif"/>
          <w:b w:val="false"/>
          <w:color w:val="080808"/>
          <w:sz w:val="24"/>
          <w:u w:val="single"/>
        </w:rPr>
        <w:t>Exhibit A</w:t>
      </w:r>
      <w:r>
        <w:rPr>
          <w:rFonts w:ascii="Times New Roman;sans-serif" w:hAnsi="Times New Roman;sans-serif"/>
          <w:b w:val="false"/>
          <w:color w:val="080808"/>
          <w:sz w:val="24"/>
        </w:rPr>
        <w:t>, attached hereto and incorporated herein by reference, as now constituted and as may be expanded from time to time; provided that expansions shall not include the combination of the Landfill with a separate, stand-alone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color w:val="080808"/>
        </w:rPr>
        <w:t>“</w:t>
      </w:r>
      <w:r>
        <w:rPr>
          <w:rFonts w:ascii="Times New Roman;sans-serif" w:hAnsi="Times New Roman;sans-serif"/>
          <w:b w:val="false"/>
          <w:color w:val="080808"/>
          <w:sz w:val="24"/>
          <w:u w:val="single"/>
        </w:rPr>
        <w:t>Landfill Gas</w:t>
      </w:r>
      <w:r>
        <w:rPr>
          <w:color w:val="080808"/>
        </w:rPr>
        <w:t xml:space="preserve">” </w:t>
      </w:r>
      <w:r>
        <w:rPr>
          <w:rFonts w:ascii="Times New Roman;sans-serif" w:hAnsi="Times New Roman;sans-serif"/>
          <w:b w:val="false"/>
          <w:color w:val="080808"/>
          <w:sz w:val="24"/>
        </w:rPr>
        <w:t>means all gas generated from the decomposition of refuse and other solid wastes deposited or located on the Landfill and collected by the Collection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1.26</w:t>
      </w:r>
      <w:r>
        <w:rPr>
          <w:color w:val="101010"/>
        </w:rPr>
        <w:t>“</w:t>
      </w:r>
      <w:r>
        <w:rPr>
          <w:rFonts w:ascii="Times New Roman;sans-serif" w:hAnsi="Times New Roman;sans-serif"/>
          <w:b w:val="false"/>
          <w:color w:val="101010"/>
          <w:sz w:val="24"/>
          <w:u w:val="single"/>
        </w:rPr>
        <w:t>Leachate</w:t>
      </w:r>
      <w:r>
        <w:rPr>
          <w:color w:val="101010"/>
        </w:rPr>
        <w:t xml:space="preserve">” </w:t>
      </w:r>
      <w:r>
        <w:rPr>
          <w:rFonts w:ascii="Times New Roman;sans-serif" w:hAnsi="Times New Roman;sans-serif"/>
          <w:b w:val="false"/>
          <w:color w:val="101010"/>
          <w:sz w:val="24"/>
        </w:rPr>
        <w:t>means the liquid produced at the Landfill from the decomposition of waste materials in the Landfill.</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37565"/>
                <wp:effectExtent l="0" t="0" r="0" b="0"/>
                <wp:wrapNone/>
                <wp:docPr id="73" name="Frame7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1.27</w:t>
      </w:r>
      <w:r>
        <w:rPr>
          <w:color w:val="080808"/>
        </w:rPr>
        <w:t>“</w:t>
      </w:r>
      <w:r>
        <w:rPr>
          <w:rFonts w:ascii="Times New Roman;sans-serif" w:hAnsi="Times New Roman;sans-serif"/>
          <w:b w:val="false"/>
          <w:color w:val="080808"/>
          <w:sz w:val="24"/>
          <w:u w:val="single"/>
        </w:rPr>
        <w:t>Letter of Credit</w:t>
      </w:r>
      <w:r>
        <w:rPr>
          <w:color w:val="080808"/>
        </w:rPr>
        <w:t xml:space="preserve">” </w:t>
      </w:r>
      <w:r>
        <w:rPr>
          <w:rFonts w:ascii="Times New Roman;sans-serif" w:hAnsi="Times New Roman;sans-serif"/>
          <w:b w:val="false"/>
          <w:color w:val="080808"/>
          <w:sz w:val="24"/>
        </w:rPr>
        <w:t>means an irrevocable standby letter of credit for the Letter of Credit Amount, designating Seller as beneficiary, in form and substance reasonably satisfactory to Seller, issued by a financial institution reasonably acceptable to Seller, including, without limitation, having at least Five Hundred Million Dollars ($500,000,000.00) in capital.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1.28</w:t>
      </w:r>
      <w:r>
        <w:rPr>
          <w:color w:val="080808"/>
        </w:rPr>
        <w:t>“</w:t>
      </w:r>
      <w:r>
        <w:rPr>
          <w:rFonts w:ascii="Times New Roman;sans-serif" w:hAnsi="Times New Roman;sans-serif"/>
          <w:b w:val="false"/>
          <w:color w:val="080808"/>
          <w:sz w:val="24"/>
          <w:u w:val="single"/>
        </w:rPr>
        <w:t>Letter of Credit Amount</w:t>
      </w:r>
      <w:r>
        <w:rPr>
          <w:color w:val="080808"/>
        </w:rPr>
        <w:t xml:space="preserve">” </w:t>
      </w:r>
      <w:r>
        <w:rPr>
          <w:rFonts w:ascii="Times New Roman;sans-serif" w:hAnsi="Times New Roman;sans-serif"/>
          <w:b w:val="false"/>
          <w:color w:val="080808"/>
          <w:sz w:val="24"/>
        </w:rPr>
        <w:t>means Five Million Dollars ($5,000,000.00) for each year between the Effective Date and for each remaining year that this Agreement is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1.29</w:t>
      </w:r>
      <w:r>
        <w:rPr>
          <w:color w:val="070707"/>
        </w:rPr>
        <w:t>“</w:t>
      </w:r>
      <w:r>
        <w:rPr>
          <w:rFonts w:ascii="Times New Roman;sans-serif" w:hAnsi="Times New Roman;sans-serif"/>
          <w:b w:val="false"/>
          <w:color w:val="070707"/>
          <w:sz w:val="24"/>
          <w:u w:val="single"/>
        </w:rPr>
        <w:t>MMBtu</w:t>
      </w:r>
      <w:r>
        <w:rPr>
          <w:color w:val="070707"/>
        </w:rPr>
        <w:t xml:space="preserve">” </w:t>
      </w:r>
      <w:r>
        <w:rPr>
          <w:rFonts w:ascii="Times New Roman;sans-serif" w:hAnsi="Times New Roman;sans-serif"/>
          <w:b w:val="false"/>
          <w:color w:val="101010"/>
          <w:sz w:val="24"/>
        </w:rPr>
        <w:t>means one million British Thermal Units.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1.30</w:t>
      </w:r>
      <w:r>
        <w:rPr>
          <w:color w:val="080808"/>
        </w:rPr>
        <w:t>“</w:t>
      </w:r>
      <w:r>
        <w:rPr>
          <w:rFonts w:ascii="Times New Roman;sans-serif" w:hAnsi="Times New Roman;sans-serif"/>
          <w:b w:val="false"/>
          <w:color w:val="080808"/>
          <w:sz w:val="24"/>
          <w:u w:val="single"/>
        </w:rPr>
        <w:t>Nonmonetary Default</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8.1(b)</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1.31</w:t>
      </w:r>
      <w:r>
        <w:rPr>
          <w:color w:val="080808"/>
        </w:rPr>
        <w:t>“</w:t>
      </w:r>
      <w:r>
        <w:rPr>
          <w:rFonts w:ascii="Times New Roman;sans-serif" w:hAnsi="Times New Roman;sans-serif"/>
          <w:b w:val="false"/>
          <w:color w:val="080808"/>
          <w:sz w:val="24"/>
          <w:u w:val="single"/>
        </w:rPr>
        <w:t>Notice of Default</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8.1(b)</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1.32</w:t>
      </w:r>
      <w:r>
        <w:rPr>
          <w:color w:val="080808"/>
        </w:rPr>
        <w:t>“</w:t>
      </w:r>
      <w:r>
        <w:rPr>
          <w:rFonts w:ascii="Times New Roman;sans-serif" w:hAnsi="Times New Roman;sans-serif"/>
          <w:b w:val="false"/>
          <w:color w:val="080808"/>
          <w:sz w:val="24"/>
          <w:u w:val="single"/>
        </w:rPr>
        <w:t>Payment</w:t>
      </w:r>
      <w:r>
        <w:rPr>
          <w:color w:val="080808"/>
        </w:rPr>
        <w:t xml:space="preserve">” </w:t>
      </w:r>
      <w:r>
        <w:rPr>
          <w:rFonts w:ascii="Times New Roman;sans-serif" w:hAnsi="Times New Roman;sans-serif"/>
          <w:b w:val="false"/>
          <w:color w:val="080808"/>
          <w:sz w:val="24"/>
        </w:rPr>
        <w:t>means any and all amounts owing to any Seller Indemnified Party pursuant to this Agreement or the Site Lease, including, without limitation, any costs, losses, expenses, penalties, fines or damages resulting from a claim, third party claim, damages, obligations to pay the Royalty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1.33</w:t>
      </w:r>
      <w:r>
        <w:rPr>
          <w:color w:val="080808"/>
        </w:rPr>
        <w:t>“</w:t>
      </w:r>
      <w:r>
        <w:rPr>
          <w:rFonts w:ascii="Times New Roman;sans-serif" w:hAnsi="Times New Roman;sans-serif"/>
          <w:b w:val="false"/>
          <w:color w:val="080808"/>
          <w:sz w:val="24"/>
          <w:u w:val="single"/>
        </w:rPr>
        <w:t>Person</w:t>
      </w:r>
      <w:r>
        <w:rPr>
          <w:color w:val="080808"/>
        </w:rPr>
        <w:t xml:space="preserve">” </w:t>
      </w:r>
      <w:r>
        <w:rPr>
          <w:rFonts w:ascii="Times New Roman;sans-serif" w:hAnsi="Times New Roman;sans-serif"/>
          <w:b w:val="false"/>
          <w:color w:val="080808"/>
          <w:sz w:val="24"/>
        </w:rPr>
        <w:t>means any natural person or any association, firm, partnership, limited liability company, joint venture, corporation or other legally recognized entity, whether for profit or not for profit.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1.34</w:t>
      </w:r>
      <w:r>
        <w:rPr>
          <w:color w:val="080808"/>
        </w:rPr>
        <w:t>“</w:t>
      </w:r>
      <w:r>
        <w:rPr>
          <w:rFonts w:ascii="Times New Roman;sans-serif" w:hAnsi="Times New Roman;sans-serif"/>
          <w:b w:val="false"/>
          <w:color w:val="080808"/>
          <w:sz w:val="24"/>
          <w:u w:val="single"/>
        </w:rPr>
        <w:t>Pre-Commercial Operations Period</w:t>
      </w:r>
      <w:r>
        <w:rPr>
          <w:color w:val="080808"/>
        </w:rPr>
        <w:t xml:space="preserve">” </w:t>
      </w:r>
      <w:r>
        <w:rPr>
          <w:rFonts w:ascii="Times New Roman;sans-serif" w:hAnsi="Times New Roman;sans-serif"/>
          <w:b w:val="false"/>
          <w:color w:val="080808"/>
          <w:sz w:val="24"/>
        </w:rPr>
        <w:t>means the period beginning with the first production of electricity by the Facility and ending on the Commercial Operations Date, as specified by the Buyer, during which period Buyer shall be entitled to use, and shall accept from Seller, that amount of Landfill Gas that Buyer determines is necessary for the purpose of startup and testing of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1.35</w:t>
      </w:r>
      <w:r>
        <w:rPr>
          <w:color w:val="080808"/>
        </w:rPr>
        <w:t>“</w:t>
      </w:r>
      <w:r>
        <w:rPr>
          <w:rFonts w:ascii="Times New Roman;sans-serif" w:hAnsi="Times New Roman;sans-serif"/>
          <w:b w:val="false"/>
          <w:color w:val="080808"/>
          <w:sz w:val="24"/>
          <w:u w:val="single"/>
        </w:rPr>
        <w:t>Process</w:t>
      </w:r>
      <w:r>
        <w:rPr>
          <w:color w:val="080808"/>
        </w:rPr>
        <w:t xml:space="preserve">” </w:t>
      </w:r>
      <w:r>
        <w:rPr>
          <w:rFonts w:ascii="Times New Roman;sans-serif" w:hAnsi="Times New Roman;sans-serif"/>
          <w:b w:val="false"/>
          <w:color w:val="080808"/>
          <w:sz w:val="24"/>
        </w:rPr>
        <w:t>means to accept into the Facility and use Landfill Gas for purposes of generating electricity following the Pre-Commercial Operations Period for sale, and specifically excludes flaring of Landfill Gas.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1.36</w:t>
      </w:r>
      <w:r>
        <w:rPr>
          <w:color w:val="080808"/>
        </w:rPr>
        <w:t>“</w:t>
      </w:r>
      <w:r>
        <w:rPr>
          <w:rFonts w:ascii="Times New Roman;sans-serif" w:hAnsi="Times New Roman;sans-serif"/>
          <w:b w:val="false"/>
          <w:color w:val="080808"/>
          <w:sz w:val="24"/>
          <w:u w:val="single"/>
        </w:rPr>
        <w:t>Prohibited Transferee</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12.11(a)</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1.37</w:t>
      </w:r>
      <w:r>
        <w:rPr>
          <w:color w:val="101010"/>
        </w:rPr>
        <w:t>“</w:t>
      </w:r>
      <w:r>
        <w:rPr>
          <w:rFonts w:ascii="Times New Roman;sans-serif" w:hAnsi="Times New Roman;sans-serif"/>
          <w:b w:val="false"/>
          <w:color w:val="101010"/>
          <w:sz w:val="24"/>
          <w:u w:val="single"/>
        </w:rPr>
        <w:t>Recipients</w:t>
      </w:r>
      <w:r>
        <w:rPr>
          <w:color w:val="101010"/>
        </w:rPr>
        <w:t xml:space="preserve">” </w:t>
      </w:r>
      <w:r>
        <w:rPr>
          <w:rFonts w:ascii="Times New Roman;sans-serif" w:hAnsi="Times New Roman;sans-serif"/>
          <w:b w:val="false"/>
          <w:color w:val="101010"/>
          <w:sz w:val="24"/>
        </w:rPr>
        <w:t xml:space="preserve">shall have the meaning set forth in </w:t>
      </w:r>
      <w:r>
        <w:rPr>
          <w:rFonts w:ascii="Times New Roman;sans-serif" w:hAnsi="Times New Roman;sans-serif"/>
          <w:b w:val="false"/>
          <w:color w:val="101010"/>
          <w:sz w:val="24"/>
          <w:u w:val="single"/>
        </w:rPr>
        <w:t>Section 12.15</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1.38</w:t>
      </w:r>
      <w:r>
        <w:rPr>
          <w:color w:val="0D0D0D"/>
        </w:rPr>
        <w:t>“</w:t>
      </w:r>
      <w:r>
        <w:rPr>
          <w:rFonts w:ascii="Times New Roman;sans-serif" w:hAnsi="Times New Roman;sans-serif"/>
          <w:b w:val="false"/>
          <w:color w:val="0D0D0D"/>
          <w:sz w:val="24"/>
          <w:u w:val="single"/>
        </w:rPr>
        <w:t>Renewable Energy Credits/Certificates</w:t>
      </w:r>
      <w:r>
        <w:rPr>
          <w:color w:val="0D0D0D"/>
        </w:rPr>
        <w:t xml:space="preserve">” </w:t>
      </w:r>
      <w:r>
        <w:rPr>
          <w:rFonts w:ascii="Times New Roman;sans-serif" w:hAnsi="Times New Roman;sans-serif"/>
          <w:b w:val="false"/>
          <w:color w:val="0D0D0D"/>
          <w:sz w:val="24"/>
        </w:rPr>
        <w:t>means credits or certificates issued for the economic value of any benefit resulting from the generation of electricity from a renewable fuel source under state or federal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1.39</w:t>
      </w:r>
      <w:r>
        <w:rPr>
          <w:color w:val="080808"/>
        </w:rPr>
        <w:t>“</w:t>
      </w:r>
      <w:r>
        <w:rPr>
          <w:rFonts w:ascii="Times New Roman;sans-serif" w:hAnsi="Times New Roman;sans-serif"/>
          <w:b w:val="false"/>
          <w:color w:val="080808"/>
          <w:sz w:val="24"/>
          <w:u w:val="single"/>
        </w:rPr>
        <w:t>Royalty</w:t>
      </w:r>
      <w:r>
        <w:rPr>
          <w:color w:val="080808"/>
        </w:rPr>
        <w:t xml:space="preserve">” </w:t>
      </w:r>
      <w:r>
        <w:rPr>
          <w:rFonts w:ascii="Times New Roman;sans-serif" w:hAnsi="Times New Roman;sans-serif"/>
          <w:b w:val="false"/>
          <w:color w:val="080808"/>
          <w:sz w:val="24"/>
        </w:rPr>
        <w:t xml:space="preserve">means the payments to Seller described in </w:t>
      </w:r>
      <w:r>
        <w:rPr>
          <w:rFonts w:ascii="Times New Roman;sans-serif" w:hAnsi="Times New Roman;sans-serif"/>
          <w:b w:val="false"/>
          <w:color w:val="080808"/>
          <w:sz w:val="24"/>
          <w:u w:val="single"/>
        </w:rPr>
        <w:t>Section 5.1</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1.40</w:t>
      </w:r>
      <w:r>
        <w:rPr>
          <w:color w:val="101010"/>
        </w:rPr>
        <w:t>“</w:t>
      </w:r>
      <w:r>
        <w:rPr>
          <w:rFonts w:ascii="Times New Roman;sans-serif" w:hAnsi="Times New Roman;sans-serif"/>
          <w:b w:val="false"/>
          <w:color w:val="101010"/>
          <w:sz w:val="24"/>
          <w:u w:val="single"/>
        </w:rPr>
        <w:t>Second Amended and Restated GSPA</w:t>
      </w:r>
      <w:r>
        <w:rPr>
          <w:color w:val="101010"/>
        </w:rPr>
        <w:t xml:space="preserve">” </w:t>
      </w:r>
      <w:r>
        <w:rPr>
          <w:rFonts w:ascii="Times New Roman;sans-serif" w:hAnsi="Times New Roman;sans-serif"/>
          <w:b w:val="false"/>
          <w:color w:val="101010"/>
          <w:sz w:val="24"/>
        </w:rPr>
        <w:t>means that certain Second Amended and Restated Gas Sale and Purchase Agreement by and between Seller and GRS dated as of August 8, 2022.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1.41</w:t>
      </w:r>
      <w:r>
        <w:rPr>
          <w:color w:val="101010"/>
        </w:rPr>
        <w:t>“</w:t>
      </w:r>
      <w:r>
        <w:rPr>
          <w:rFonts w:ascii="Times New Roman;sans-serif" w:hAnsi="Times New Roman;sans-serif"/>
          <w:b w:val="false"/>
          <w:color w:val="101010"/>
          <w:sz w:val="24"/>
          <w:u w:val="single"/>
        </w:rPr>
        <w:t>Second Amended and Restated Site Lease</w:t>
      </w:r>
      <w:r>
        <w:rPr>
          <w:color w:val="101010"/>
        </w:rPr>
        <w:t xml:space="preserve">” </w:t>
      </w:r>
      <w:r>
        <w:rPr>
          <w:rFonts w:ascii="Times New Roman;sans-serif" w:hAnsi="Times New Roman;sans-serif"/>
          <w:b w:val="false"/>
          <w:color w:val="101010"/>
          <w:sz w:val="24"/>
        </w:rPr>
        <w:t>means that certain Second Amended and Restated Site Lease Agreement by and between Seller and GRS effective as of August 8, 2022.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1.42</w:t>
      </w:r>
      <w:r>
        <w:rPr>
          <w:color w:val="101010"/>
        </w:rPr>
        <w:t>“</w:t>
      </w:r>
      <w:r>
        <w:rPr>
          <w:rFonts w:ascii="Times New Roman;sans-serif" w:hAnsi="Times New Roman;sans-serif"/>
          <w:b w:val="false"/>
          <w:color w:val="101010"/>
          <w:sz w:val="24"/>
          <w:u w:val="single"/>
        </w:rPr>
        <w:t>Security Agreement</w:t>
      </w:r>
      <w:r>
        <w:rPr>
          <w:color w:val="101010"/>
        </w:rPr>
        <w:t xml:space="preserve">” </w:t>
      </w:r>
      <w:r>
        <w:rPr>
          <w:rFonts w:ascii="Times New Roman;sans-serif" w:hAnsi="Times New Roman;sans-serif"/>
          <w:b w:val="false"/>
          <w:color w:val="101010"/>
          <w:sz w:val="24"/>
        </w:rPr>
        <w:t xml:space="preserve">means a Security Agreement by and between Buyer and Seller, as contemplated pursuant to </w:t>
      </w:r>
      <w:r>
        <w:rPr>
          <w:rFonts w:ascii="Times New Roman;sans-serif" w:hAnsi="Times New Roman;sans-serif"/>
          <w:b w:val="false"/>
          <w:color w:val="101010"/>
          <w:sz w:val="24"/>
          <w:u w:val="single"/>
        </w:rPr>
        <w:t>Section 6.8</w:t>
      </w:r>
      <w:r>
        <w:rPr>
          <w:rFonts w:ascii="Times New Roman;sans-serif" w:hAnsi="Times New Roman;sans-serif"/>
          <w:b w:val="false"/>
          <w:color w:val="101010"/>
          <w:sz w:val="24"/>
        </w:rPr>
        <w:t xml:space="preserve">, in the form of </w:t>
      </w:r>
      <w:r>
        <w:rPr>
          <w:rFonts w:ascii="Times New Roman;sans-serif" w:hAnsi="Times New Roman;sans-serif"/>
          <w:b w:val="false"/>
          <w:color w:val="101010"/>
          <w:sz w:val="24"/>
          <w:u w:val="single"/>
        </w:rPr>
        <w:t>Exhibit C</w:t>
      </w:r>
      <w:r>
        <w:rPr>
          <w:color w:val="101010"/>
        </w:rPr>
        <w:t xml:space="preserve"> </w:t>
      </w:r>
      <w:r>
        <w:rPr>
          <w:rFonts w:ascii="Times New Roman;sans-serif" w:hAnsi="Times New Roman;sans-serif"/>
          <w:b w:val="false"/>
          <w:color w:val="101010"/>
          <w:sz w:val="24"/>
        </w:rPr>
        <w:t>attached hereto.</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37565"/>
                <wp:effectExtent l="0" t="0" r="0" b="0"/>
                <wp:wrapNone/>
                <wp:docPr id="74" name="Frame7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1.43</w:t>
      </w:r>
      <w:r>
        <w:rPr>
          <w:color w:val="101010"/>
        </w:rPr>
        <w:t>“</w:t>
      </w:r>
      <w:r>
        <w:rPr>
          <w:rFonts w:ascii="Times New Roman;sans-serif" w:hAnsi="Times New Roman;sans-serif"/>
          <w:b w:val="false"/>
          <w:color w:val="101010"/>
          <w:sz w:val="24"/>
          <w:u w:val="single"/>
        </w:rPr>
        <w:t>Seller</w:t>
      </w:r>
      <w:r>
        <w:rPr>
          <w:color w:val="101010"/>
        </w:rPr>
        <w:t xml:space="preserve">” </w:t>
      </w:r>
      <w:r>
        <w:rPr>
          <w:rFonts w:ascii="Times New Roman;sans-serif" w:hAnsi="Times New Roman;sans-serif"/>
          <w:b w:val="false"/>
          <w:color w:val="101010"/>
          <w:sz w:val="24"/>
        </w:rPr>
        <w:t>shall have the meaning set forth in the preamble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1.44</w:t>
      </w:r>
      <w:r>
        <w:rPr>
          <w:color w:val="080808"/>
        </w:rPr>
        <w:t>“</w:t>
      </w:r>
      <w:r>
        <w:rPr>
          <w:rFonts w:ascii="Times New Roman;sans-serif" w:hAnsi="Times New Roman;sans-serif"/>
          <w:b w:val="false"/>
          <w:color w:val="080808"/>
          <w:sz w:val="24"/>
          <w:u w:val="single"/>
        </w:rPr>
        <w:t>Seller Indemnified Parties</w:t>
      </w:r>
      <w:r>
        <w:rPr>
          <w:color w:val="080808"/>
        </w:rPr>
        <w:t xml:space="preserve">” </w:t>
      </w:r>
      <w:r>
        <w:rPr>
          <w:rFonts w:ascii="Times New Roman;sans-serif" w:hAnsi="Times New Roman;sans-serif"/>
          <w:b w:val="false"/>
          <w:color w:val="080808"/>
          <w:sz w:val="24"/>
        </w:rPr>
        <w:t xml:space="preserve">shall have the meaning set forth in </w:t>
      </w:r>
      <w:r>
        <w:rPr>
          <w:rFonts w:ascii="Times New Roman;sans-serif" w:hAnsi="Times New Roman;sans-serif"/>
          <w:b w:val="false"/>
          <w:color w:val="080808"/>
          <w:sz w:val="24"/>
          <w:u w:val="single"/>
        </w:rPr>
        <w:t>Section 6.7</w:t>
      </w:r>
      <w:r>
        <w:rPr>
          <w:rFonts w:ascii="Times New Roman;sans-serif" w:hAnsi="Times New Roman;sans-serif"/>
          <w:b w:val="false"/>
          <w:color w:val="080808"/>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1.45</w:t>
      </w:r>
      <w:r>
        <w:rPr>
          <w:color w:val="080808"/>
        </w:rPr>
        <w:t>“</w:t>
      </w:r>
      <w:r>
        <w:rPr>
          <w:rFonts w:ascii="Times New Roman;sans-serif" w:hAnsi="Times New Roman;sans-serif"/>
          <w:b w:val="false"/>
          <w:color w:val="080808"/>
          <w:sz w:val="24"/>
          <w:u w:val="single"/>
        </w:rPr>
        <w:t>Site</w:t>
      </w:r>
      <w:r>
        <w:rPr>
          <w:color w:val="080808"/>
        </w:rPr>
        <w:t xml:space="preserve">” </w:t>
      </w:r>
      <w:r>
        <w:rPr>
          <w:rFonts w:ascii="Times New Roman;sans-serif" w:hAnsi="Times New Roman;sans-serif"/>
          <w:b w:val="false"/>
          <w:color w:val="080808"/>
          <w:sz w:val="24"/>
        </w:rPr>
        <w:t>means the real property leased to Buyer as identified in, and pursuant to the terms and conditions of, the Site Lease and on which the Facility is operated.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1.46</w:t>
      </w:r>
      <w:r>
        <w:rPr>
          <w:color w:val="080808"/>
        </w:rPr>
        <w:t>“</w:t>
      </w:r>
      <w:r>
        <w:rPr>
          <w:rFonts w:ascii="Times New Roman;sans-serif" w:hAnsi="Times New Roman;sans-serif"/>
          <w:b w:val="false"/>
          <w:color w:val="080808"/>
          <w:sz w:val="24"/>
          <w:u w:val="single"/>
        </w:rPr>
        <w:t>Site Lease</w:t>
      </w:r>
      <w:r>
        <w:rPr>
          <w:color w:val="080808"/>
        </w:rPr>
        <w:t xml:space="preserve">” </w:t>
      </w:r>
      <w:r>
        <w:rPr>
          <w:rFonts w:ascii="Times New Roman;sans-serif" w:hAnsi="Times New Roman;sans-serif"/>
          <w:b w:val="false"/>
          <w:color w:val="080808"/>
          <w:sz w:val="24"/>
        </w:rPr>
        <w:t>means the Third Amended and Restated Site Lease Agreement dated as of the Effective Date under which Buyer, as lessee, leases from Seller, as lessor, the Site located at the Landfill or obtains easement rights to the portion of the surface acreage on which the Facility is located.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1.47</w:t>
      </w:r>
      <w:r>
        <w:rPr>
          <w:color w:val="080808"/>
        </w:rPr>
        <w:t>“</w:t>
      </w:r>
      <w:r>
        <w:rPr>
          <w:rFonts w:ascii="Times New Roman;sans-serif" w:hAnsi="Times New Roman;sans-serif"/>
          <w:b w:val="false"/>
          <w:color w:val="080808"/>
          <w:sz w:val="24"/>
          <w:u w:val="single"/>
        </w:rPr>
        <w:t>Unused Landfill Gas</w:t>
      </w:r>
      <w:r>
        <w:rPr>
          <w:color w:val="080808"/>
        </w:rPr>
        <w:t xml:space="preserve">” </w:t>
      </w:r>
      <w:r>
        <w:rPr>
          <w:rFonts w:ascii="Times New Roman;sans-serif" w:hAnsi="Times New Roman;sans-serif"/>
          <w:b w:val="false"/>
          <w:color w:val="080808"/>
          <w:sz w:val="24"/>
        </w:rPr>
        <w:t>means any Landfill Gas that Buyer does not accept or take delivery of at the Delivery Point.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2</w:t>
        <w:br/>
        <w:t>Purchase and Sale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Purchase, Sale and Use of Landfill Gas</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terms, conditions and limitations contained in </w:t>
      </w:r>
      <w:r>
        <w:rPr>
          <w:rFonts w:ascii="Times New Roman;sans-serif" w:hAnsi="Times New Roman;sans-serif"/>
          <w:b w:val="false"/>
          <w:color w:val="050505"/>
          <w:sz w:val="24"/>
        </w:rPr>
        <w:t xml:space="preserve">this Agreement, and for the consideration described in </w:t>
      </w:r>
      <w:r>
        <w:rPr>
          <w:rFonts w:ascii="Times New Roman;sans-serif" w:hAnsi="Times New Roman;sans-serif"/>
          <w:b w:val="false"/>
          <w:color w:val="050505"/>
          <w:sz w:val="24"/>
          <w:u w:val="single"/>
        </w:rPr>
        <w:t>Article 5</w:t>
      </w:r>
      <w:r>
        <w:rPr>
          <w:rFonts w:ascii="Times New Roman;sans-serif" w:hAnsi="Times New Roman;sans-serif"/>
          <w:b w:val="false"/>
          <w:color w:val="050505"/>
          <w:sz w:val="24"/>
        </w:rPr>
        <w:t xml:space="preserve">, Seller agrees to </w:t>
      </w:r>
      <w:r>
        <w:rPr>
          <w:rFonts w:ascii="Times New Roman;sans-serif" w:hAnsi="Times New Roman;sans-serif"/>
          <w:b w:val="false"/>
          <w:color w:val="000000"/>
          <w:sz w:val="24"/>
        </w:rPr>
        <w:t xml:space="preserve">make available to Buyer, on a first priority basis, before any other uses by Seller (but subject to the Flare Turndown Requirement), </w:t>
      </w:r>
      <w:r>
        <w:rPr>
          <w:rFonts w:ascii="Times New Roman;sans-serif" w:hAnsi="Times New Roman;sans-serif"/>
          <w:b w:val="false"/>
          <w:color w:val="050505"/>
          <w:sz w:val="24"/>
        </w:rPr>
        <w:t xml:space="preserve">all of the Landfill Gas collected by the Collection System that Seller is capable of delivering to the Delivery Point </w:t>
      </w:r>
      <w:r>
        <w:rPr>
          <w:rFonts w:ascii="Times New Roman;sans-serif" w:hAnsi="Times New Roman;sans-serif"/>
          <w:b w:val="false"/>
          <w:color w:val="000000"/>
          <w:sz w:val="24"/>
        </w:rPr>
        <w:t>and</w:t>
      </w:r>
      <w:r>
        <w:rPr>
          <w:rFonts w:ascii="Times New Roman;sans-serif" w:hAnsi="Times New Roman;sans-serif"/>
          <w:b w:val="false"/>
          <w:color w:val="050505"/>
          <w:sz w:val="24"/>
        </w:rPr>
        <w:t xml:space="preserve">, subject to the remaining provisions of this </w:t>
      </w:r>
      <w:r>
        <w:rPr>
          <w:rFonts w:ascii="Times New Roman;sans-serif" w:hAnsi="Times New Roman;sans-serif"/>
          <w:b w:val="false"/>
          <w:color w:val="050505"/>
          <w:sz w:val="24"/>
          <w:u w:val="single"/>
        </w:rPr>
        <w:t>Section 2.1</w:t>
      </w:r>
      <w:r>
        <w:rPr>
          <w:rFonts w:ascii="Times New Roman;sans-serif" w:hAnsi="Times New Roman;sans-serif"/>
          <w:b w:val="false"/>
          <w:color w:val="050505"/>
          <w:sz w:val="24"/>
        </w:rPr>
        <w:t xml:space="preserve">, Buyer agrees to purchase and receive from Seller all such Landfill Gas; </w:t>
      </w:r>
      <w:r>
        <w:rPr>
          <w:rFonts w:ascii="Times New Roman;sans-serif" w:hAnsi="Times New Roman;sans-serif"/>
          <w:b w:val="false"/>
          <w:color w:val="050505"/>
          <w:sz w:val="24"/>
          <w:u w:val="single"/>
        </w:rPr>
        <w:t>provided</w:t>
      </w:r>
      <w:r>
        <w:rPr>
          <w:rFonts w:ascii="Times New Roman;sans-serif" w:hAnsi="Times New Roman;sans-serif"/>
          <w:b w:val="false"/>
          <w:color w:val="050505"/>
          <w:sz w:val="24"/>
        </w:rPr>
        <w:t xml:space="preserve">, </w:t>
      </w:r>
      <w:r>
        <w:rPr>
          <w:rFonts w:ascii="Times New Roman;sans-serif" w:hAnsi="Times New Roman;sans-serif"/>
          <w:b w:val="false"/>
          <w:color w:val="050505"/>
          <w:sz w:val="24"/>
          <w:u w:val="single"/>
        </w:rPr>
        <w:t>however</w:t>
      </w:r>
      <w:r>
        <w:rPr>
          <w:rFonts w:ascii="Times New Roman;sans-serif" w:hAnsi="Times New Roman;sans-serif"/>
          <w:b w:val="false"/>
          <w:color w:val="050505"/>
          <w:sz w:val="24"/>
        </w:rPr>
        <w:t xml:space="preserve">, that: (a) nothing in this Agreement shall be deemed to be a guaranty of any quantity of Landfill Gas to be made available to Buyer; and (b) Buyer agrees to use reasonable efforts to Process all of the Landfill Gas made available to Buyer at the Delivery Point. Buyer agrees to use reasonable efforts </w:t>
      </w:r>
      <w:r>
        <w:rPr>
          <w:rFonts w:ascii="Times New Roman;sans-serif" w:hAnsi="Times New Roman;sans-serif"/>
          <w:b w:val="false"/>
          <w:color w:val="000000"/>
          <w:sz w:val="24"/>
        </w:rPr>
        <w:t>after the Pre-Commercial Operation Period to sell the electricity produced by the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Buyer agrees not to own or lease any flare at the Landfill without Seller’s prior written consent, which consent may be withheld in Seller’s sole and absolute discretion. Seller agrees to make its flare available to combust Unused Landfill Gas. Buyer shall provide Seller with as much advance notice as possible of its required use of Seller’s flare and shall describe the reasons for such use in any such notice, and Buyer shall install equipment to start Seller’s flare automatically if necessary, to flare Landfill Gas not processed by Buyer at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Credits/Benefits</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70707"/>
          <w:sz w:val="24"/>
          <w:u w:val="single"/>
        </w:rPr>
        <w:t>Retained by Seller</w:t>
      </w:r>
      <w:r>
        <w:rPr>
          <w:rFonts w:ascii="Times New Roman;sans-serif" w:hAnsi="Times New Roman;sans-serif"/>
          <w:b w:val="false"/>
          <w:color w:val="070707"/>
          <w:sz w:val="24"/>
        </w:rPr>
        <w:t xml:space="preserve">. Seller shall retain all rights to any tax, emission or </w:t>
      </w:r>
      <w:r>
        <w:rPr>
          <w:rFonts w:ascii="Times New Roman;sans-serif" w:hAnsi="Times New Roman;sans-serif"/>
          <w:b w:val="false"/>
          <w:color w:val="000000"/>
          <w:sz w:val="24"/>
        </w:rPr>
        <w:t xml:space="preserve">other credits, certificates or similar benefits with respect to any and all activities relating (i) to the operations or ownership of the Landfill or (2) to the collection, processing, transportation, delivery, management or control of Landfill Gas prior to transfer of title to Landfill Gas to Buyer at the Delivery Point, including, without limitation, to any voluntary or mandated activities of Seller at the Landfill resulting in any carbon credits, greenhouse gas credits or similar credits or certificates or other economic benefits;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to the contrary in this Agreement, Seller shall be entitled to retain all rights to any tax, emission or other credits or certificates derived from or relating to flared Landfill Gas produced or generated prior to the Delivery Point, regardless of whether title to the Landfill Gas has technically passed to Buyer.</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37565"/>
                <wp:effectExtent l="0" t="0" r="0" b="0"/>
                <wp:wrapNone/>
                <wp:docPr id="75" name="Frame7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50505"/>
          <w:sz w:val="24"/>
          <w:u w:val="single"/>
        </w:rPr>
        <w:t>Retained by Buyer</w:t>
      </w:r>
      <w:r>
        <w:rPr>
          <w:rFonts w:ascii="Times New Roman;sans-serif" w:hAnsi="Times New Roman;sans-serif"/>
          <w:b w:val="false"/>
          <w:color w:val="050505"/>
          <w:sz w:val="24"/>
        </w:rPr>
        <w:t xml:space="preserve">. Buyer shall retain all rights to any tax, emission, or </w:t>
      </w:r>
      <w:r>
        <w:rPr>
          <w:rFonts w:ascii="Times New Roman;sans-serif" w:hAnsi="Times New Roman;sans-serif"/>
          <w:b w:val="false"/>
          <w:color w:val="000000"/>
          <w:sz w:val="24"/>
        </w:rPr>
        <w:t>other credits, certificates or similar benefits related to (i) the operation of the Facility and the sale of electricity generated therefrom or (ii) the processing of Landfill Gas from and after Buyer takes title thereto at the Delivery Point, including, without limitation, Renewable Energy Credits/Certificates, RINs, e-RINS, carbon credits, greenhouse gas credits or similar credits or certificates</w:t>
      </w:r>
      <w:r>
        <w:rPr>
          <w:rFonts w:ascii="Times New Roman;sans-serif" w:hAnsi="Times New Roman;sans-serif"/>
          <w:b w:val="false"/>
          <w:color w:val="050505"/>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50505"/>
          <w:sz w:val="24"/>
          <w:u w:val="single"/>
        </w:rPr>
        <w:t>Jointly Retained</w:t>
      </w:r>
      <w:r>
        <w:rPr>
          <w:rFonts w:ascii="Times New Roman;sans-serif" w:hAnsi="Times New Roman;sans-serif"/>
          <w:b w:val="false"/>
          <w:color w:val="050505"/>
          <w:sz w:val="24"/>
        </w:rPr>
        <w:t xml:space="preserve">. To the extent any tax, emission or other credits, certificates or similar benefits </w:t>
      </w:r>
      <w:r>
        <w:rPr>
          <w:rFonts w:ascii="Times New Roman;sans-serif" w:hAnsi="Times New Roman;sans-serif"/>
          <w:b w:val="false"/>
          <w:color w:val="000000"/>
          <w:sz w:val="24"/>
        </w:rPr>
        <w:t xml:space="preserve">that do not exist as of the Effective Date come into existence, and the allocation of the benefit therefrom cannot be readily determined pursuant to the provisions of </w:t>
      </w:r>
      <w:r>
        <w:rPr>
          <w:rFonts w:ascii="Times New Roman;sans-serif" w:hAnsi="Times New Roman;sans-serif"/>
          <w:b w:val="false"/>
          <w:color w:val="000000"/>
          <w:sz w:val="24"/>
          <w:u w:val="single"/>
        </w:rPr>
        <w:t>Sections 2.2(a)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the benefit of such tax, emission or other credits, certificates or similar benefits shall be shared equally by Seller and Buyer, unless otherwise mutually agreed in writing by Seller and Buyer. Notwithstanding the foregoing, neither party shall claim tax, emission or other credits under this </w:t>
      </w:r>
      <w:r>
        <w:rPr>
          <w:rFonts w:ascii="Times New Roman;sans-serif" w:hAnsi="Times New Roman;sans-serif"/>
          <w:b w:val="false"/>
          <w:color w:val="000000"/>
          <w:sz w:val="24"/>
          <w:u w:val="single"/>
        </w:rPr>
        <w:t>Section 2.2(c)</w:t>
      </w:r>
      <w:r>
        <w:rPr>
          <w:color w:val="000000"/>
        </w:rPr>
        <w:t xml:space="preserve"> </w:t>
      </w:r>
      <w:r>
        <w:rPr>
          <w:rFonts w:ascii="Times New Roman;sans-serif" w:hAnsi="Times New Roman;sans-serif"/>
          <w:b w:val="false"/>
          <w:color w:val="000000"/>
          <w:sz w:val="24"/>
        </w:rPr>
        <w:t xml:space="preserve">if obtaining such tax, emission or other credits would require the other party to lose or reduce any of the tax, emission or other credits or certificates referenced in </w:t>
      </w:r>
      <w:r>
        <w:rPr>
          <w:rFonts w:ascii="Times New Roman;sans-serif" w:hAnsi="Times New Roman;sans-serif"/>
          <w:b w:val="false"/>
          <w:color w:val="000000"/>
          <w:sz w:val="24"/>
          <w:u w:val="single"/>
        </w:rPr>
        <w:t>Section 2.2(a)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2.2(b)</w:t>
      </w:r>
      <w:r>
        <w:rPr>
          <w:color w:val="000000"/>
        </w:rPr>
        <w:t xml:space="preserve"> </w:t>
      </w:r>
      <w:r>
        <w:rPr>
          <w:rFonts w:ascii="Times New Roman;sans-serif" w:hAnsi="Times New Roman;sans-serif"/>
          <w:b w:val="false"/>
          <w:color w:val="000000"/>
          <w:sz w:val="24"/>
        </w:rPr>
        <w:t>above or require the party not receiving such tax, emission or other credits or certificates to purchase, trade, or otherwise acquire tax, emission or other credits or certificates related to the operation of the Landfill or of the Facility to comply with any mandatory scheme or system under which such tax, emission or other credits or certificates could be obtained.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40404"/>
          <w:sz w:val="24"/>
          <w:u w:val="single"/>
        </w:rPr>
        <w:t>Landfill Gas Only</w:t>
      </w:r>
      <w:r>
        <w:rPr>
          <w:rFonts w:ascii="Times New Roman;sans-serif" w:hAnsi="Times New Roman;sans-serif"/>
          <w:b w:val="false"/>
          <w:color w:val="040404"/>
          <w:sz w:val="24"/>
        </w:rPr>
        <w:t xml:space="preserve">. This Agreement and all rights granted to Buyer hereunder </w:t>
      </w:r>
      <w:r>
        <w:rPr>
          <w:rFonts w:ascii="Times New Roman;sans-serif" w:hAnsi="Times New Roman;sans-serif"/>
          <w:b w:val="false"/>
          <w:color w:val="101010"/>
          <w:sz w:val="24"/>
        </w:rPr>
        <w:t>apply exclusively to Landfill Gas, as purchased from Seller and as may be processed by Buyer to generate and sell electricity following the Pre-Commercial Operations Period. Other than such electricity production and sale, Buyer shall not generate or sell any products, byproducts or constituents of the Landfill Gas. Buyer shall have no right or interest in or relating to any other activities at the Landfill in which Seller may be involved. Notwithstanding anything to the contrary set forth in this Agreement, Seller shall have the right to utilize Unused Landfill Gas for any purpose, including commercial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70707"/>
          <w:sz w:val="24"/>
          <w:u w:val="single"/>
        </w:rPr>
        <w:t>Priority of Landfill Operations</w:t>
      </w:r>
      <w:r>
        <w:rPr>
          <w:rFonts w:ascii="Times New Roman;sans-serif" w:hAnsi="Times New Roman;sans-serif"/>
          <w:b w:val="false"/>
          <w:color w:val="070707"/>
          <w:sz w:val="24"/>
        </w:rPr>
        <w:t xml:space="preserve">. Notwithstanding anything herein to the contrary, </w:t>
      </w:r>
      <w:r>
        <w:rPr>
          <w:rFonts w:ascii="Times New Roman;sans-serif" w:hAnsi="Times New Roman;sans-serif"/>
          <w:b w:val="false"/>
          <w:color w:val="080808"/>
          <w:sz w:val="24"/>
        </w:rPr>
        <w:t xml:space="preserve">Buyer understands and agrees that Seller’s primary interest and obligation are the safe and efficient operation of the Landfill and the Collection System, in compliance with Applicable Laws and permit conditions, and that any interest of Buyer in any Landfill Gas shall remain secondary to the operation of the Landfill and the Collection System. For the sole purpose of this </w:t>
      </w:r>
      <w:r>
        <w:rPr>
          <w:rFonts w:ascii="Times New Roman;sans-serif" w:hAnsi="Times New Roman;sans-serif"/>
          <w:b w:val="false"/>
          <w:color w:val="080808"/>
          <w:sz w:val="24"/>
          <w:u w:val="single"/>
        </w:rPr>
        <w:t>Section 2.4</w:t>
      </w:r>
      <w:r>
        <w:rPr>
          <w:rFonts w:ascii="Times New Roman;sans-serif" w:hAnsi="Times New Roman;sans-serif"/>
          <w:b w:val="false"/>
          <w:color w:val="080808"/>
          <w:sz w:val="24"/>
        </w:rPr>
        <w:t xml:space="preserve">, the operation of the Landfill shall be deemed to include, without limitation, the operations of [***], any Affiliate of [***] and any contractor of [***] or its Affiliates (or any affiliated or successor entity engaged in similar or related activities) at the Landfill. Buyer’s rights and interests hereunder shall not interfere with Seller’s compliance with any permits, authorizations, licenses or Applicable Laws related to the Landfill or the Collection System, or with the lawful and safe operation of the Landfill and the Collection System, including, without limitation, the design, division, construction, operation, expansion (vertical or horizontal), maintenance, and monitoring of the Collection System or the Landfill, or the closure, and post- closure of the Landfill; provided that Seller shall, to the extent reasonably possible considering the circumstances and the priority of the operations of the Landfill under this </w:t>
      </w:r>
      <w:r>
        <w:rPr>
          <w:rFonts w:ascii="Times New Roman;sans-serif" w:hAnsi="Times New Roman;sans-serif"/>
          <w:b w:val="false"/>
          <w:color w:val="080808"/>
          <w:sz w:val="24"/>
          <w:u w:val="single"/>
        </w:rPr>
        <w:t>Section 2.4</w:t>
      </w:r>
      <w:r>
        <w:rPr>
          <w:rFonts w:ascii="Times New Roman;sans-serif" w:hAnsi="Times New Roman;sans-serif"/>
          <w:b w:val="false"/>
          <w:color w:val="080808"/>
          <w:sz w:val="24"/>
        </w:rPr>
        <w:t xml:space="preserve">, utilize reasonable efforts to attempt to maintain Buyer’s priority to the delivery of Landfill Gas provided by </w:t>
      </w:r>
      <w:r>
        <w:rPr>
          <w:rFonts w:ascii="Times New Roman;sans-serif" w:hAnsi="Times New Roman;sans-serif"/>
          <w:b w:val="false"/>
          <w:color w:val="080808"/>
          <w:sz w:val="24"/>
          <w:u w:val="single"/>
        </w:rPr>
        <w:t>Section 2.1(a)</w:t>
      </w:r>
      <w:r>
        <w:rPr>
          <w:rFonts w:ascii="Times New Roman;sans-serif" w:hAnsi="Times New Roman;sans-serif"/>
          <w:b w:val="false"/>
          <w:color w:val="080808"/>
          <w:sz w:val="24"/>
        </w:rPr>
        <w:t xml:space="preserve">. </w:t>
      </w:r>
      <w:r>
        <w:rPr>
          <w:rFonts w:ascii="Times New Roman;sans-serif" w:hAnsi="Times New Roman;sans-serif"/>
          <w:b w:val="false"/>
          <w:color w:val="101010"/>
          <w:sz w:val="24"/>
        </w:rPr>
        <w:t xml:space="preserve">Seller shall be free at all times during the Term to take any action Seller deems necessary or desirable, in Seller’s reasonable judgment, in connection with the Landfill, including, without limitation, any action required to comply with any Applicable Law or to respond to community concerns, without regard to the effect of such action on the quantity or quality of Landfill Gas extracted from the Landfill. Seller may operate its blowers and flares independent of Buyer if Seller deems it necessary with respect to the priority of the operations of the Landfill under this </w:t>
      </w:r>
      <w:r>
        <w:rPr>
          <w:rFonts w:ascii="Times New Roman;sans-serif" w:hAnsi="Times New Roman;sans-serif"/>
          <w:b w:val="false"/>
          <w:color w:val="101010"/>
          <w:sz w:val="24"/>
          <w:u w:val="single"/>
        </w:rPr>
        <w:t>Section 2.4</w:t>
      </w:r>
      <w:r>
        <w:rPr>
          <w:rFonts w:ascii="Times New Roman;sans-serif" w:hAnsi="Times New Roman;sans-serif"/>
          <w:b w:val="false"/>
          <w:color w:val="10101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37565"/>
                <wp:effectExtent l="0" t="0" r="0" b="0"/>
                <wp:wrapNone/>
                <wp:docPr id="76" name="Frame7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3</w:t>
        <w:br/>
        <w:t>Term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Term of Agreement</w:t>
      </w:r>
      <w:r>
        <w:rPr>
          <w:rFonts w:ascii="Times New Roman;sans-serif" w:hAnsi="Times New Roman;sans-serif"/>
          <w:b w:val="false"/>
          <w:color w:val="101010"/>
          <w:sz w:val="24"/>
        </w:rPr>
        <w:t xml:space="preserve">. The term of this Agreement shall commence on the Effective Date and, unless terminated in whole or part earlier as provided in </w:t>
      </w:r>
      <w:r>
        <w:rPr>
          <w:rFonts w:ascii="Times New Roman;sans-serif" w:hAnsi="Times New Roman;sans-serif"/>
          <w:b w:val="false"/>
          <w:color w:val="101010"/>
          <w:sz w:val="24"/>
          <w:u w:val="single"/>
        </w:rPr>
        <w:t>Section 3.2</w:t>
      </w:r>
      <w:r>
        <w:rPr>
          <w:color w:val="101010"/>
        </w:rPr>
        <w:t xml:space="preserve"> </w:t>
      </w:r>
      <w:r>
        <w:rPr>
          <w:rFonts w:ascii="Times New Roman;sans-serif" w:hAnsi="Times New Roman;sans-serif"/>
          <w:b w:val="false"/>
          <w:color w:val="101010"/>
          <w:sz w:val="24"/>
        </w:rPr>
        <w:t xml:space="preserve">or </w:t>
      </w:r>
      <w:r>
        <w:rPr>
          <w:rFonts w:ascii="Times New Roman;sans-serif" w:hAnsi="Times New Roman;sans-serif"/>
          <w:b w:val="false"/>
          <w:color w:val="101010"/>
          <w:sz w:val="24"/>
          <w:u w:val="single"/>
        </w:rPr>
        <w:t>Article 8</w:t>
      </w:r>
      <w:r>
        <w:rPr>
          <w:rFonts w:ascii="Times New Roman;sans-serif" w:hAnsi="Times New Roman;sans-serif"/>
          <w:b w:val="false"/>
          <w:color w:val="101010"/>
          <w:sz w:val="24"/>
        </w:rPr>
        <w:t>, shall continue and remain until the earlier of the twentieth (20</w:t>
      </w:r>
      <w:r>
        <w:rPr>
          <w:rFonts w:ascii="Times New Roman;sans-serif" w:hAnsi="Times New Roman;sans-serif"/>
          <w:b w:val="false"/>
          <w:color w:val="101010"/>
          <w:sz w:val="16"/>
        </w:rPr>
        <w:t>th</w:t>
      </w:r>
      <w:r>
        <w:rPr>
          <w:rFonts w:ascii="Times New Roman;sans-serif" w:hAnsi="Times New Roman;sans-serif"/>
          <w:b w:val="false"/>
          <w:color w:val="101010"/>
          <w:sz w:val="24"/>
        </w:rPr>
        <w:t>) anniversary of the Commercial Operations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Early Termination</w:t>
      </w:r>
      <w:r>
        <w:rPr>
          <w:rFonts w:ascii="Times New Roman;sans-serif" w:hAnsi="Times New Roman;sans-serif"/>
          <w:b w:val="false"/>
          <w:color w:val="101010"/>
          <w:sz w:val="24"/>
        </w:rPr>
        <w:t xml:space="preserve">. Notwithstanding </w:t>
      </w:r>
      <w:r>
        <w:rPr>
          <w:rFonts w:ascii="Times New Roman;sans-serif" w:hAnsi="Times New Roman;sans-serif"/>
          <w:b w:val="false"/>
          <w:color w:val="101010"/>
          <w:sz w:val="24"/>
          <w:u w:val="single"/>
        </w:rPr>
        <w:t>Section 3.1</w:t>
      </w:r>
      <w:r>
        <w:rPr>
          <w:rFonts w:ascii="Times New Roman;sans-serif" w:hAnsi="Times New Roman;sans-serif"/>
          <w:b w:val="false"/>
          <w:color w:val="101010"/>
          <w:sz w:val="24"/>
        </w:rPr>
        <w:t>, either Party may terminate this Agreement prior to the end of the term by providing written notice to the non-terminating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at any time if Buyer has been unable to achieve the Commercial Operations Date by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xml:space="preserve">) anniversary of the Effective Date, and such failure is not the result of a Seller Event of Default or an event of Force Majeure, in each case for which written notice thereof has been provided to Seller pursuant to </w:t>
      </w:r>
      <w:r>
        <w:rPr>
          <w:rFonts w:ascii="Times New Roman;sans-serif" w:hAnsi="Times New Roman;sans-serif"/>
          <w:b w:val="false"/>
          <w:color w:val="000000"/>
          <w:sz w:val="24"/>
          <w:u w:val="single"/>
        </w:rPr>
        <w:t>Section 12.3</w:t>
      </w:r>
      <w:r>
        <w:rPr>
          <w:rFonts w:ascii="Times New Roman;sans-serif" w:hAnsi="Times New Roman;sans-serif"/>
          <w:b w:val="false"/>
          <w:color w:val="000000"/>
          <w:sz w:val="24"/>
        </w:rPr>
        <w:t>;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if, following the Commercial Operations Date, the Facility fails to produce any electricity for a period of more than one hundred twenty (120) consecutive days or three hundred forty (340) cumulative days (whether consecutive or non-consecutive days) in any period of One Thousand Eight Hundred Twenty-Five (1,825) days, including, without limitation, with respect to damage or destruction of the Facility, and such failure is not the result of </w:t>
      </w:r>
      <w:r>
        <w:rPr>
          <w:rFonts w:ascii="Times New Roman;sans-serif" w:hAnsi="Times New Roman;sans-serif"/>
          <w:b w:val="false"/>
          <w:color w:val="080808"/>
          <w:sz w:val="24"/>
        </w:rPr>
        <w:t xml:space="preserve">[***] </w:t>
      </w:r>
      <w:r>
        <w:rPr>
          <w:rFonts w:ascii="Times New Roman;sans-serif" w:hAnsi="Times New Roman;sans-serif"/>
          <w:b w:val="false"/>
          <w:color w:val="000000"/>
          <w:sz w:val="24"/>
        </w:rPr>
        <w:t xml:space="preserve">Event of Default or an event of Force Majeure, in each case for which written notice thereof pursuant to </w:t>
      </w:r>
      <w:r>
        <w:rPr>
          <w:rFonts w:ascii="Times New Roman;sans-serif" w:hAnsi="Times New Roman;sans-serif"/>
          <w:b w:val="false"/>
          <w:color w:val="000000"/>
          <w:sz w:val="24"/>
          <w:u w:val="single"/>
        </w:rPr>
        <w:t>Section 12.3</w:t>
      </w:r>
      <w:r>
        <w:rPr>
          <w:color w:val="000000"/>
        </w:rPr>
        <w:t xml:space="preserve"> </w:t>
      </w:r>
      <w:r>
        <w:rPr>
          <w:rFonts w:ascii="Times New Roman;sans-serif" w:hAnsi="Times New Roman;sans-serif"/>
          <w:b w:val="false"/>
          <w:color w:val="000000"/>
          <w:sz w:val="24"/>
        </w:rPr>
        <w:t>has been provided to Seller pursuant to the terms and conditions of this Agreement.</w:t>
      </w:r>
    </w:p>
    <w:p>
      <w:pPr>
        <w:pStyle w:val="TextBody"/>
        <w:bidi w:val="0"/>
        <w:spacing w:lineRule="auto" w:line="240" w:before="0" w:after="240"/>
        <w:jc w:val="both"/>
        <w:rPr/>
      </w:pPr>
      <w:r>
        <w:rPr>
          <w:rFonts w:ascii="Times New Roman;sans-serif" w:hAnsi="Times New Roman;sans-serif"/>
          <w:b w:val="false"/>
          <w:color w:val="000000"/>
          <w:sz w:val="24"/>
        </w:rPr>
        <w:t xml:space="preserve">The termination right provided for in </w:t>
      </w:r>
      <w:r>
        <w:rPr>
          <w:rFonts w:ascii="Times New Roman;sans-serif" w:hAnsi="Times New Roman;sans-serif"/>
          <w:b w:val="false"/>
          <w:color w:val="000000"/>
          <w:sz w:val="24"/>
          <w:u w:val="single"/>
        </w:rPr>
        <w:t>Section 3.2(b)</w:t>
      </w:r>
      <w:r>
        <w:rPr>
          <w:color w:val="000000"/>
        </w:rPr>
        <w:t xml:space="preserve"> </w:t>
      </w:r>
      <w:r>
        <w:rPr>
          <w:rFonts w:ascii="Times New Roman;sans-serif" w:hAnsi="Times New Roman;sans-serif"/>
          <w:b w:val="false"/>
          <w:color w:val="000000"/>
          <w:sz w:val="24"/>
        </w:rPr>
        <w:t xml:space="preserve">shall not apply in the event that the interruption in production of electricity is the result of catastrophic damage to or destruction of the Facility and (A) Buyer notifies Seller in writing of its intent to rebuild the Facility within sixty </w:t>
      </w:r>
      <w:r>
        <w:rPr>
          <w:rFonts w:ascii="Times New Roman;sans-serif" w:hAnsi="Times New Roman;sans-serif"/>
          <w:b w:val="false"/>
          <w:color w:val="070707"/>
          <w:sz w:val="24"/>
        </w:rPr>
        <w:t xml:space="preserve">(60) days of such damage or destruction, uses reasonable efforts to rebuild the Facility and provides monthly written updates to Seller of its progress toward the rebuild of the Facility, and (B) Buyer continues to pay Seller pursuant to </w:t>
      </w:r>
      <w:r>
        <w:rPr>
          <w:rFonts w:ascii="Times New Roman;sans-serif" w:hAnsi="Times New Roman;sans-serif"/>
          <w:b w:val="false"/>
          <w:color w:val="070707"/>
          <w:sz w:val="24"/>
          <w:u w:val="single"/>
        </w:rPr>
        <w:t>Section 5.1</w:t>
      </w:r>
      <w:r>
        <w:rPr>
          <w:color w:val="070707"/>
        </w:rPr>
        <w:t xml:space="preserve"> </w:t>
      </w:r>
      <w:r>
        <w:rPr>
          <w:rFonts w:ascii="Times New Roman;sans-serif" w:hAnsi="Times New Roman;sans-serif"/>
          <w:b w:val="false"/>
          <w:color w:val="070707"/>
          <w:sz w:val="24"/>
        </w:rPr>
        <w:t xml:space="preserve">of this Agreement; </w:t>
      </w:r>
      <w:r>
        <w:rPr>
          <w:rFonts w:ascii="Times New Roman;sans-serif" w:hAnsi="Times New Roman;sans-serif"/>
          <w:b w:val="false"/>
          <w:color w:val="070707"/>
          <w:sz w:val="24"/>
          <w:u w:val="single"/>
        </w:rPr>
        <w:t>provided</w:t>
      </w:r>
      <w:r>
        <w:rPr>
          <w:rFonts w:ascii="Times New Roman;sans-serif" w:hAnsi="Times New Roman;sans-serif"/>
          <w:b w:val="false"/>
          <w:color w:val="070707"/>
          <w:sz w:val="24"/>
        </w:rPr>
        <w:t xml:space="preserve">, </w:t>
      </w:r>
      <w:r>
        <w:rPr>
          <w:rFonts w:ascii="Times New Roman;sans-serif" w:hAnsi="Times New Roman;sans-serif"/>
          <w:b w:val="false"/>
          <w:color w:val="070707"/>
          <w:sz w:val="24"/>
          <w:u w:val="single"/>
        </w:rPr>
        <w:t>further</w:t>
      </w:r>
      <w:r>
        <w:rPr>
          <w:rFonts w:ascii="Times New Roman;sans-serif" w:hAnsi="Times New Roman;sans-serif"/>
          <w:b w:val="false"/>
          <w:color w:val="070707"/>
          <w:sz w:val="24"/>
        </w:rPr>
        <w:t>, regardless of clauses (A) and (B), Seller may terminate this Agreement upon the second (2</w:t>
      </w:r>
      <w:r>
        <w:rPr>
          <w:rFonts w:ascii="Times New Roman;sans-serif" w:hAnsi="Times New Roman;sans-serif"/>
          <w:b w:val="false"/>
          <w:color w:val="070707"/>
          <w:sz w:val="16"/>
        </w:rPr>
        <w:t>nd</w:t>
      </w:r>
      <w:r>
        <w:rPr>
          <w:rFonts w:ascii="Times New Roman;sans-serif" w:hAnsi="Times New Roman;sans-serif"/>
          <w:b w:val="false"/>
          <w:color w:val="070707"/>
          <w:sz w:val="24"/>
        </w:rPr>
        <w:t>) anniversary of the date such damage or destruction of the Facility occurred.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4</w:t>
        <w:br/>
        <w:t>Delivery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Delivery Point</w:t>
      </w:r>
      <w:r>
        <w:rPr>
          <w:rFonts w:ascii="Times New Roman;sans-serif" w:hAnsi="Times New Roman;sans-serif"/>
          <w:b w:val="false"/>
          <w:color w:val="101010"/>
          <w:sz w:val="24"/>
        </w:rPr>
        <w:t xml:space="preserve">. All Landfill Gas extracted from the Landfill and made available to Buyer pursuant to this Agreement shall be made available at the Delivery Point described in writing and attached to this Agreement as </w:t>
      </w:r>
      <w:r>
        <w:rPr>
          <w:rFonts w:ascii="Times New Roman;sans-serif" w:hAnsi="Times New Roman;sans-serif"/>
          <w:b w:val="false"/>
          <w:color w:val="101010"/>
          <w:sz w:val="24"/>
          <w:u w:val="single"/>
        </w:rPr>
        <w:t>Exhibit B</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80808"/>
          <w:sz w:val="24"/>
          <w:u w:val="single"/>
        </w:rPr>
        <w:t>Title/Risk of Loss</w:t>
      </w:r>
      <w:r>
        <w:rPr>
          <w:rFonts w:ascii="Times New Roman;sans-serif" w:hAnsi="Times New Roman;sans-serif"/>
          <w:b w:val="false"/>
          <w:color w:val="080808"/>
          <w:sz w:val="24"/>
        </w:rPr>
        <w:t xml:space="preserve">. Title to Landfill Gas extracted from the Landfill and made </w:t>
      </w:r>
      <w:r>
        <w:rPr>
          <w:rFonts w:ascii="Times New Roman;sans-serif" w:hAnsi="Times New Roman;sans-serif"/>
          <w:b w:val="false"/>
          <w:color w:val="101010"/>
          <w:sz w:val="24"/>
        </w:rPr>
        <w:t>available to Buyer pursuant to this Agreement shall pass to and be absolutely vested in Buyer at the Delivery Point and liability for and the risk of loss of such Landfill Gas shall follow title.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70707"/>
          <w:sz w:val="24"/>
          <w:u w:val="single"/>
        </w:rPr>
        <w:t>Flow</w:t>
      </w:r>
      <w:r>
        <w:rPr>
          <w:rFonts w:ascii="Times New Roman;sans-serif" w:hAnsi="Times New Roman;sans-serif"/>
          <w:b w:val="false"/>
          <w:color w:val="070707"/>
          <w:sz w:val="24"/>
        </w:rPr>
        <w:t xml:space="preserve">. Buyer and Seller shall meet regularly, but in any event not less than semi- </w:t>
      </w:r>
      <w:r>
        <w:rPr>
          <w:rFonts w:ascii="Times New Roman;sans-serif" w:hAnsi="Times New Roman;sans-serif"/>
          <w:b w:val="false"/>
          <w:color w:val="101010"/>
          <w:sz w:val="24"/>
        </w:rPr>
        <w:t>annually, as required to review the output, including quality and quantity, of Landfill Gas and the capacity of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80808"/>
          <w:sz w:val="24"/>
          <w:u w:val="single"/>
        </w:rPr>
        <w:t>Deleterious Substances</w:t>
      </w:r>
      <w:r>
        <w:rPr>
          <w:rFonts w:ascii="Times New Roman;sans-serif" w:hAnsi="Times New Roman;sans-serif"/>
          <w:b w:val="false"/>
          <w:color w:val="080808"/>
          <w:sz w:val="24"/>
        </w:rPr>
        <w:t xml:space="preserve">. The parties recognize that Landfill Gas may contain or </w:t>
      </w:r>
      <w:r>
        <w:rPr>
          <w:rFonts w:ascii="Times New Roman;sans-serif" w:hAnsi="Times New Roman;sans-serif"/>
          <w:b w:val="false"/>
          <w:color w:val="101010"/>
          <w:sz w:val="24"/>
        </w:rPr>
        <w:t>be delivered with corrosive, deleterious, or otherwise harmful substances of all types. Seller shall have no obligation to pay costs for repair or replacement of the Facility caused by such substances and Buyer shall accept the risk of such substances.</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37565"/>
                <wp:effectExtent l="0" t="0" r="0" b="0"/>
                <wp:wrapNone/>
                <wp:docPr id="77" name="Frame7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101010"/>
          <w:sz w:val="24"/>
          <w:u w:val="single"/>
        </w:rPr>
        <w:t>No Guaranty of Quality or Quantity of Landfill Gas</w:t>
      </w:r>
      <w:r>
        <w:rPr>
          <w:rFonts w:ascii="Times New Roman;sans-serif" w:hAnsi="Times New Roman;sans-serif"/>
          <w:b w:val="false"/>
          <w:color w:val="101010"/>
          <w:sz w:val="24"/>
        </w:rPr>
        <w:t>. Notwithstanding anything in this Agreement to the contrary, nothing in this Agreement shall be deemed to be a guaranty by Seller of the quality or quantity of any Landfill Gas to be made available to Buyer.</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5</w:t>
        <w:br/>
        <w:t>Royalty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90909"/>
          <w:sz w:val="24"/>
          <w:u w:val="single"/>
        </w:rPr>
        <w:t>Royalty Amount</w:t>
      </w:r>
      <w:r>
        <w:rPr>
          <w:rFonts w:ascii="Times New Roman;sans-serif" w:hAnsi="Times New Roman;sans-serif"/>
          <w:b w:val="false"/>
          <w:color w:val="090909"/>
          <w:sz w:val="24"/>
        </w:rPr>
        <w:t>. Starting on the first day of the Pre-Commercial Operations Period</w:t>
      </w:r>
      <w:r>
        <w:rPr>
          <w:rFonts w:ascii="Times New Roman;sans-serif" w:hAnsi="Times New Roman;sans-serif"/>
          <w:b w:val="false"/>
          <w:color w:val="101010"/>
          <w:sz w:val="24"/>
        </w:rPr>
        <w:t xml:space="preserve">, Buyer shall pay to Seller, for each calendar quarter for the term of this Agreement and prorated for any partial calendar quarters, the amount of </w:t>
      </w:r>
      <w:r>
        <w:rPr>
          <w:rFonts w:ascii="Times New Roman;sans-serif" w:hAnsi="Times New Roman;sans-serif"/>
          <w:b w:val="false"/>
          <w:color w:val="080808"/>
          <w:sz w:val="24"/>
        </w:rPr>
        <w:t xml:space="preserve">[***] </w:t>
      </w:r>
      <w:r>
        <w:rPr>
          <w:rFonts w:ascii="Times New Roman;sans-serif" w:hAnsi="Times New Roman;sans-serif"/>
          <w:b w:val="false"/>
          <w:color w:val="101010"/>
          <w:sz w:val="24"/>
        </w:rPr>
        <w:t>in immediately available funds (the “</w:t>
      </w:r>
      <w:r>
        <w:rPr>
          <w:rFonts w:ascii="Times New Roman;sans-serif" w:hAnsi="Times New Roman;sans-serif"/>
          <w:b w:val="false"/>
          <w:color w:val="101010"/>
          <w:sz w:val="24"/>
          <w:u w:val="single"/>
        </w:rPr>
        <w:t>Royalty</w:t>
      </w:r>
      <w:r>
        <w:rPr>
          <w:color w:val="101010"/>
        </w:rPr>
        <w:t>”</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Time for Royalty Payments</w:t>
      </w:r>
      <w:r>
        <w:rPr>
          <w:rFonts w:ascii="Times New Roman;sans-serif" w:hAnsi="Times New Roman;sans-serif"/>
          <w:b w:val="false"/>
          <w:color w:val="101010"/>
          <w:sz w:val="24"/>
        </w:rPr>
        <w:t xml:space="preserve">. Following the first Royalty payment made by Buyer to Seller pursuant to </w:t>
      </w:r>
      <w:r>
        <w:rPr>
          <w:rFonts w:ascii="Times New Roman;sans-serif" w:hAnsi="Times New Roman;sans-serif"/>
          <w:b w:val="false"/>
          <w:color w:val="101010"/>
          <w:sz w:val="24"/>
          <w:u w:val="single"/>
        </w:rPr>
        <w:t>Section 5.1</w:t>
      </w:r>
      <w:r>
        <w:rPr>
          <w:rFonts w:ascii="Times New Roman;sans-serif" w:hAnsi="Times New Roman;sans-serif"/>
          <w:b w:val="false"/>
          <w:color w:val="101010"/>
          <w:sz w:val="24"/>
        </w:rPr>
        <w:t>, Buyer shall, before the fifteenth (15</w:t>
      </w:r>
      <w:r>
        <w:rPr>
          <w:rFonts w:ascii="Times New Roman;sans-serif" w:hAnsi="Times New Roman;sans-serif"/>
          <w:b w:val="false"/>
          <w:color w:val="101010"/>
          <w:sz w:val="16"/>
        </w:rPr>
        <w:t>th</w:t>
      </w:r>
      <w:r>
        <w:rPr>
          <w:rFonts w:ascii="Times New Roman;sans-serif" w:hAnsi="Times New Roman;sans-serif"/>
          <w:b w:val="false"/>
          <w:color w:val="101010"/>
          <w:sz w:val="24"/>
        </w:rPr>
        <w:t xml:space="preserve">) </w:t>
      </w:r>
      <w:r>
        <w:rPr>
          <w:rFonts w:ascii="Times New Roman;sans-serif" w:hAnsi="Times New Roman;sans-serif"/>
          <w:b w:val="false"/>
          <w:color w:val="030303"/>
          <w:sz w:val="24"/>
        </w:rPr>
        <w:t xml:space="preserve">day of the first month next succeeding the end of the calendar quarter following such payment and each subsequent calendar quarter payment, pay to Seller the Royalty due pursuant to </w:t>
      </w:r>
      <w:r>
        <w:rPr>
          <w:rFonts w:ascii="Times New Roman;sans-serif" w:hAnsi="Times New Roman;sans-serif"/>
          <w:b w:val="false"/>
          <w:color w:val="030303"/>
          <w:sz w:val="24"/>
          <w:u w:val="single"/>
        </w:rPr>
        <w:t>Section 5.1</w:t>
      </w:r>
      <w:r>
        <w:rPr>
          <w:color w:val="030303"/>
        </w:rPr>
        <w:t xml:space="preserve"> </w:t>
      </w:r>
      <w:r>
        <w:rPr>
          <w:rFonts w:ascii="Times New Roman;sans-serif" w:hAnsi="Times New Roman;sans-serif"/>
          <w:b w:val="false"/>
          <w:color w:val="030303"/>
          <w:sz w:val="24"/>
        </w:rPr>
        <w:t>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10101"/>
          <w:sz w:val="24"/>
          <w:u w:val="single"/>
        </w:rPr>
        <w:t>Interest</w:t>
      </w:r>
      <w:r>
        <w:rPr>
          <w:rFonts w:ascii="Times New Roman;sans-serif" w:hAnsi="Times New Roman;sans-serif"/>
          <w:b w:val="false"/>
          <w:color w:val="010101"/>
          <w:sz w:val="24"/>
        </w:rPr>
        <w:t xml:space="preserve">. All sums payable hereunder that are not timely paid as set forth herein </w:t>
      </w:r>
      <w:r>
        <w:rPr>
          <w:rFonts w:ascii="Times New Roman;sans-serif" w:hAnsi="Times New Roman;sans-serif"/>
          <w:b w:val="false"/>
          <w:color w:val="030303"/>
          <w:sz w:val="24"/>
        </w:rPr>
        <w:t>shall bear interest calculated from the date when due until such sums are paid at one percent (1.0%) per annum above the fluctuating rate of interest announced publicly by Wells Fargo Bank, N.A., from time to time as its reference rate. Interest shall be calculated on the basis of a thirty (30) day month and a three hundred sixty (360) day year. In no event shall the rate of interest charged hereunder exceed the maximum rate allowed by the Applicable Law.</w:t>
      </w:r>
    </w:p>
    <w:p>
      <w:pPr>
        <w:pStyle w:val="TextBody"/>
        <w:bidi w:val="0"/>
        <w:spacing w:lineRule="auto" w:line="240"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4"/>
        </w:rPr>
        <w:br/>
        <w:t>General Obligations, Warranties, and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Permits and Approvals</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Promptly after execution of, and pursuant to, this Agreement, Buyer shall obtain, at its sole cost and expense, all necessary environmental impact studies, statements or reports, zoning and land use approvals, permits, licenses and utilities for the installation and construction of the Facility and shall comply with all Applicable Laws; provided that all applications and filings with Government Entities, and all material communications with Government Entities with respect to any such applications and filings, shall be subject to Seller’s prior written approval, such approval Seller shall not unreasonably delay or withhold. At all times during the term of this Agreement, Buyer shall, at its sole cost and expense, obtain and maintain in effect all permits, authorizations, easements, and rights of way required in connection with the installation, construction, expansion, modification or addition to, or the operation, repair or maintenance of the Facility, and Buyer shall comply with all conditions of any and all permits, licenses and other governmental and regulatory approvals required for Buyer’s use of the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Buyer shall provide Seller with reasonable advance notice of any hearings or other proceedings regarding Buyer’s permits, authorizations, easements and rights of way, and Seller may elect, at its sole cost and expense, to participate in any such hearings, or proceedings, so long as Seller does not take any position adverse to Buyer or the Facility, in written comments submitted to, or verbal comments made at, such hearing or proceeding; provided Seller may take any position adverse to Buyer or the Facility, in written comments submitted to, or verbal comments made at, such hearing or proceeding, if Buyer is not in compliance with the terms and conditions of this Agreement or the Site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Buyer shall provide Seller with a reasonable opportunity to comment upon any draft environmental impact reports or studies required in connection with any permits,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37565"/>
                <wp:effectExtent l="0" t="0" r="0" b="0"/>
                <wp:wrapNone/>
                <wp:docPr id="78" name="Frame7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authorizations or easements related to the installation, construction or expansion of, modification or addition to, or operation, repair or maintenance of the Facility. Buyer shall consider any comments submitted by Seller before the finalization of any such reports or studies. Each party hereto agrees to make available to the other party hereto copies of all environmental information </w:t>
      </w:r>
      <w:r>
        <w:rPr>
          <w:rFonts w:ascii="Times New Roman;sans-serif" w:hAnsi="Times New Roman;sans-serif"/>
          <w:b w:val="false"/>
          <w:color w:val="040404"/>
          <w:sz w:val="24"/>
        </w:rPr>
        <w:t>reports, environmental impact reports, air impact assessment studies, environmental applications filed and other available data in such party’s possession relating to the Landfill or the Facility, which materials are reasonably necessary for the other party to possess for the purposes of complying with their obligations under this Agreement. Any such information provided to a party shall be treated by that party as Confidential Information pursuant to the terms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Design and Construction of the Facility</w:t>
      </w:r>
      <w:r>
        <w:rPr>
          <w:rFonts w:ascii="Times New Roman;sans-serif" w:hAnsi="Times New Roman;sans-serif"/>
          <w:b w:val="false"/>
          <w:color w:val="101010"/>
          <w:sz w:val="24"/>
        </w:rPr>
        <w:t>. Buyer shall design, construct, and operate the Facility on the Site. Prior to the commencement of any construction, Buyer shall, at its sole cost and expense, engage a qualified engineer to prepare plans and specifications in sufficient detail to show the design, character, and appearance of the Facility, which shall be submitted to Seller for review. Such plans and specifications shall consider and comply with all Applicable Laws and requirements, including, without limitation, for noise, aesthetics, appearance, odor, emissions, vibration and security. Buyer shall have twenty (20) business days after receipt of Seller’s objections to such plans and specifications to revise the plans and specifications to resolve those objections that are reasonable. After the final plans and specifications have been approved, Buyer may authorize reasonable changes thereto, provided that they do not materially alter the noise, emissions, design, character, capacity, aesthetics, and/or appearance of the Facility. Until the Commercial Operations Date, Buyer shall report to Seller monthly on the status of the construction of the Facility. Seller’s review and approval (which shall not be unreasonably withheld, delayed or conditioned) of Buyer’s plans and specifications shall not alter any obligations or responsibilities of Buyer under this Agreement, nor shall such review and approval create any warranties as to the design, suitability, capability, or expected performance of the Facility or operations. Notwithstanding Seller’s right to review and comment on the plans for the Facility, all proprietary data, drawings, plans, specifications and reports developed by Buyer and related to the Facility shall remain the intellectual property of Buyer. Buyer shall provide Seller with copies of all permits, licenses or approvals granted to Buyer relating to the Facility and planned business operations as of the Commercial Operations Date and thereafter upon the request of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40404"/>
          <w:sz w:val="24"/>
          <w:u w:val="single"/>
        </w:rPr>
        <w:t>Seller’s Maintenance of Collection System</w:t>
      </w:r>
      <w:r>
        <w:rPr>
          <w:rFonts w:ascii="Times New Roman;sans-serif" w:hAnsi="Times New Roman;sans-serif"/>
          <w:b w:val="false"/>
          <w:color w:val="040404"/>
          <w:sz w:val="24"/>
        </w:rPr>
        <w:t>. A</w:t>
      </w:r>
      <w:r>
        <w:rPr>
          <w:rFonts w:ascii="Times New Roman;sans-serif" w:hAnsi="Times New Roman;sans-serif"/>
          <w:b w:val="false"/>
          <w:color w:val="101010"/>
          <w:sz w:val="24"/>
        </w:rPr>
        <w:t>t its own expense and regardless of who may be the operator or maintainer of the Collection System, Seller shall maintain, operate, and preserve the Collection System in good working order and condition, ordinary wear and tear excepted, and in conformity with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90909"/>
          <w:sz w:val="24"/>
          <w:u w:val="single"/>
        </w:rPr>
        <w:t>Buyer’s Maintenance of Facility</w:t>
      </w:r>
      <w:r>
        <w:rPr>
          <w:rFonts w:ascii="Times New Roman;sans-serif" w:hAnsi="Times New Roman;sans-serif"/>
          <w:b w:val="false"/>
          <w:color w:val="090909"/>
          <w:sz w:val="24"/>
        </w:rPr>
        <w:t xml:space="preserve">. In no way limiting the provisions of </w:t>
      </w:r>
      <w:r>
        <w:rPr>
          <w:rFonts w:ascii="Times New Roman;sans-serif" w:hAnsi="Times New Roman;sans-serif"/>
          <w:b w:val="false"/>
          <w:color w:val="090909"/>
          <w:sz w:val="24"/>
          <w:u w:val="single"/>
        </w:rPr>
        <w:t>Section 2.4</w:t>
      </w:r>
      <w:r>
        <w:rPr>
          <w:rFonts w:ascii="Times New Roman;sans-serif" w:hAnsi="Times New Roman;sans-serif"/>
          <w:b w:val="false"/>
          <w:color w:val="090909"/>
          <w:sz w:val="24"/>
        </w:rPr>
        <w:t xml:space="preserve">, </w:t>
      </w:r>
      <w:r>
        <w:rPr>
          <w:rFonts w:ascii="Times New Roman;sans-serif" w:hAnsi="Times New Roman;sans-serif"/>
          <w:b w:val="false"/>
          <w:color w:val="101010"/>
          <w:sz w:val="24"/>
        </w:rPr>
        <w:t xml:space="preserve">Buyer shall, at its own expense and regardless of who may be the operator or maintainer of the Facility, maintain, operate, improve and preserve the Facility and the related leased premises at all times in good working order and a neat and clean condition, ordinary wear and tear excepted, in conformity with Applicable Laws, rules, regulations, and permitting requirements; </w:t>
      </w:r>
      <w:r>
        <w:rPr>
          <w:rFonts w:ascii="Times New Roman;sans-serif" w:hAnsi="Times New Roman;sans-serif"/>
          <w:b w:val="false"/>
          <w:color w:val="101010"/>
          <w:sz w:val="24"/>
          <w:u w:val="single"/>
        </w:rPr>
        <w:t>provided</w:t>
      </w:r>
      <w:r>
        <w:rPr>
          <w:rFonts w:ascii="Times New Roman;sans-serif" w:hAnsi="Times New Roman;sans-serif"/>
          <w:b w:val="false"/>
          <w:color w:val="101010"/>
          <w:sz w:val="24"/>
        </w:rPr>
        <w:t xml:space="preserve">, </w:t>
      </w:r>
      <w:r>
        <w:rPr>
          <w:rFonts w:ascii="Times New Roman;sans-serif" w:hAnsi="Times New Roman;sans-serif"/>
          <w:b w:val="false"/>
          <w:color w:val="101010"/>
          <w:sz w:val="24"/>
          <w:u w:val="single"/>
        </w:rPr>
        <w:t>further</w:t>
      </w:r>
      <w:r>
        <w:rPr>
          <w:rFonts w:ascii="Times New Roman;sans-serif" w:hAnsi="Times New Roman;sans-serif"/>
          <w:b w:val="false"/>
          <w:color w:val="101010"/>
          <w:sz w:val="24"/>
        </w:rPr>
        <w:t>, that Buyer’s operation of the Facility will also address any environmental impact on the Landfill and adjoining properties with respect to noise, odor, site aesthetics and security. In no way limiting the foregoing, Buyer agrees that under no circumstances will it allow the free venting of Landfill Gas at any time after Buyer takes title to Landfill Gas, except in the event of an emergency, in which case such free venting shall occur only in accordance with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80808"/>
          <w:sz w:val="24"/>
          <w:u w:val="single"/>
        </w:rPr>
        <w:t>Condensate</w:t>
      </w:r>
      <w:r>
        <w:rPr>
          <w:rFonts w:ascii="Times New Roman;sans-serif" w:hAnsi="Times New Roman;sans-serif"/>
          <w:b w:val="false"/>
          <w:color w:val="080808"/>
          <w:sz w:val="24"/>
        </w:rPr>
        <w:t xml:space="preserve">. Subject to the provisions of </w:t>
      </w:r>
      <w:r>
        <w:rPr>
          <w:rFonts w:ascii="Times New Roman;sans-serif" w:hAnsi="Times New Roman;sans-serif"/>
          <w:b w:val="false"/>
          <w:color w:val="080808"/>
          <w:sz w:val="24"/>
          <w:u w:val="single"/>
        </w:rPr>
        <w:t>Section 2.4</w:t>
      </w:r>
      <w:r>
        <w:rPr>
          <w:rFonts w:ascii="Times New Roman;sans-serif" w:hAnsi="Times New Roman;sans-serif"/>
          <w:b w:val="false"/>
          <w:color w:val="080808"/>
          <w:sz w:val="24"/>
        </w:rPr>
        <w:t xml:space="preserve">, Buyer may utilize any </w:t>
      </w:r>
      <w:r>
        <w:rPr>
          <w:rFonts w:ascii="Times New Roman;sans-serif" w:hAnsi="Times New Roman;sans-serif"/>
          <w:b w:val="false"/>
          <w:color w:val="101010"/>
          <w:sz w:val="24"/>
        </w:rPr>
        <w:t xml:space="preserve">system that Seller has in place for disposal of Leachate or Condensate produced by Seller for Condensate produced at the Facility, provided that (a) such utilization by Buyer does not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37565"/>
                <wp:effectExtent l="0" t="0" r="0" b="0"/>
                <wp:wrapNone/>
                <wp:docPr id="79" name="Frame7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101010"/>
          <w:sz w:val="24"/>
        </w:rPr>
        <w:t xml:space="preserve">interfere with Seller’s ability to dispose of its Leachate or Condensate, (b) all such materials disposed of by Buyer meet the disposal parameters applicable to Seller’s Leachate and </w:t>
      </w:r>
      <w:r>
        <w:rPr>
          <w:rFonts w:ascii="Times New Roman;sans-serif" w:hAnsi="Times New Roman;sans-serif"/>
          <w:b w:val="false"/>
          <w:color w:val="040404"/>
          <w:sz w:val="24"/>
        </w:rPr>
        <w:t>Condensate, and (c) any added incremental costs incurred by Seller as a result of Buyer’s utilization of Seller’s Leachate/Condensate disposal system shall be borne by Buyer, including, without limitation, disposal fees and capital costs incurred to accommodate such Condensate.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80808"/>
          <w:sz w:val="24"/>
          <w:u w:val="single"/>
        </w:rPr>
        <w:t>Taxes</w:t>
      </w:r>
      <w:r>
        <w:rPr>
          <w:rFonts w:ascii="Times New Roman;sans-serif" w:hAnsi="Times New Roman;sans-serif"/>
          <w:b w:val="false"/>
          <w:color w:val="080808"/>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80808"/>
          <w:sz w:val="24"/>
        </w:rPr>
        <w:t xml:space="preserve">All taxes now or hereafter imposed upon the production, severance, </w:t>
      </w:r>
      <w:r>
        <w:rPr>
          <w:rFonts w:ascii="Times New Roman;sans-serif" w:hAnsi="Times New Roman;sans-serif"/>
          <w:b w:val="false"/>
          <w:color w:val="000000"/>
          <w:sz w:val="24"/>
        </w:rPr>
        <w:t>gathering, sale or delivery of Landfill Gas, or upon the business or privilege of producing, severing, gathering, selling or delivering Landfill Gas, and all taxes imposed in any other manner so as to constitute a charge upon Landfill Gas delivered or made available by Seller to Buyer in all cases relating to activities prior to transfer of title of the Landfill Gas to Buyer, shall be paid by Seller. In the event Buyer is required by any Government Entity having jurisdiction to remit such tax, then, at Buyer’s election, the amount thereof shall be deducted from any sums becoming due hereunder to Seller or promptly refunded by Seller to Buyer. Nothing contained in this Section shall be construed as applying to any tax imposed on Buyer after title and/or possession of Landfill Gas shall have passed to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taxes now or hereafter imposed upon or with respect to the Facility, upon the use of Landfill Gas following the Delivery Point, upon the production or sale of electricity</w:t>
      </w:r>
      <w:r>
        <w:rPr>
          <w:rFonts w:ascii="Times New Roman;sans-serif" w:hAnsi="Times New Roman;sans-serif"/>
          <w:b w:val="false"/>
          <w:color w:val="040404"/>
          <w:sz w:val="24"/>
        </w:rPr>
        <w:t>, or upon the business or privilege of producing, severing, gathering, selling or delivering electricity, and all taxes imposed in any other manner so as to constitute a charge upon Landfill Gas delivered or made available by Seller to Buyer in all cases relating to activities following transfer of title of the Landfill Gas to Buyer, shall be paid by Buyer. In the event Seller is required by any Government Entity having jurisdiction to remit such tax, then the amount of such tax shall be promptly refunded by Seller to Buyer.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101010"/>
          <w:sz w:val="24"/>
          <w:u w:val="single"/>
        </w:rPr>
        <w:t>Indemnification</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80808"/>
          <w:sz w:val="24"/>
        </w:rPr>
        <w:t xml:space="preserve">To the fullest extent permitted by law, Buyer and Seller, each as indemnitor, shall indemnify the other </w:t>
      </w:r>
      <w:r>
        <w:rPr>
          <w:rFonts w:ascii="Times New Roman;sans-serif" w:hAnsi="Times New Roman;sans-serif"/>
          <w:b w:val="false"/>
          <w:color w:val="000000"/>
          <w:sz w:val="24"/>
        </w:rPr>
        <w:t>and its Affiliates, and their respective directors, officers, partners, shareholders, employees, agents, representatives, co-venturers, successors, permitted assigns, contractors or servants (collectively, the “</w:t>
      </w:r>
      <w:r>
        <w:rPr>
          <w:rFonts w:ascii="Times New Roman;sans-serif" w:hAnsi="Times New Roman;sans-serif"/>
          <w:b w:val="false"/>
          <w:color w:val="000000"/>
          <w:sz w:val="24"/>
          <w:u w:val="single"/>
        </w:rPr>
        <w:t>Indemnified Parties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80808"/>
          <w:sz w:val="24"/>
        </w:rPr>
        <w:t xml:space="preserve">against and hold the Indemnified Parties harmless from any and all claims, costs, losses, expenses, suits, actions, proceedings, damages, penalties, fines, regulatory actions or requirements, and liabilities (including reasonable attorneys’ fees) for (a) damage to or destruction of property, real or personal, or for injury or death to any person, arising out of, resulting from or in connection with the performance or nonperformance of obligations under and pursuant to this Agreement (including, without limitation, the installation, maintenance and operation of measuring facilities, pipelines or other apparatus or equipment) by the applicable indemnitor or any of its Affiliates or any of their respective contractors, subcontractors, employees, representatives or agents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Indemnifying</w:t>
      </w:r>
      <w:r>
        <w:rPr>
          <w:color w:val="000000"/>
        </w:rPr>
        <w:t xml:space="preserv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 or (b) any breach of representation or warranty set forth in this Agreement by the applicable indemnitor</w:t>
      </w:r>
      <w:r>
        <w:rPr>
          <w:rFonts w:ascii="Times New Roman;sans-serif" w:hAnsi="Times New Roman;sans-serif"/>
          <w:b w:val="false"/>
          <w:color w:val="080808"/>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80808"/>
          <w:sz w:val="24"/>
        </w:rPr>
        <w:t xml:space="preserve">Buyer shall indemnify Seller </w:t>
      </w:r>
      <w:r>
        <w:rPr>
          <w:rFonts w:ascii="Times New Roman;sans-serif" w:hAnsi="Times New Roman;sans-serif"/>
          <w:b w:val="false"/>
          <w:color w:val="000000"/>
          <w:sz w:val="24"/>
        </w:rPr>
        <w:t xml:space="preserve">and its Affiliates, and their respective directors, officers, partners, shareholders, employees, agents, representatives, co-venturers, successors, permitted assigns, contractors or servants </w:t>
      </w:r>
      <w:r>
        <w:rPr>
          <w:rFonts w:ascii="Times New Roman;sans-serif" w:hAnsi="Times New Roman;sans-serif"/>
          <w:b w:val="false"/>
          <w:color w:val="080808"/>
          <w:sz w:val="24"/>
        </w:rPr>
        <w:t>(the “</w:t>
      </w:r>
      <w:r>
        <w:rPr>
          <w:rFonts w:ascii="Times New Roman;sans-serif" w:hAnsi="Times New Roman;sans-serif"/>
          <w:b w:val="false"/>
          <w:color w:val="080808"/>
          <w:sz w:val="24"/>
          <w:u w:val="single"/>
        </w:rPr>
        <w:t>Seller Indemnified Parties</w:t>
      </w:r>
      <w:r>
        <w:rPr>
          <w:color w:val="080808"/>
        </w:rPr>
        <w:t>”</w:t>
      </w:r>
      <w:r>
        <w:rPr>
          <w:rFonts w:ascii="Times New Roman;sans-serif" w:hAnsi="Times New Roman;sans-serif"/>
          <w:b w:val="false"/>
          <w:color w:val="080808"/>
          <w:sz w:val="24"/>
        </w:rPr>
        <w:t xml:space="preserve">) against and hold the Seller </w:t>
      </w:r>
      <w:r>
        <w:rPr>
          <w:rFonts w:ascii="Times New Roman;sans-serif" w:hAnsi="Times New Roman;sans-serif"/>
          <w:b w:val="false"/>
          <w:color w:val="000000"/>
          <w:sz w:val="24"/>
        </w:rPr>
        <w:t xml:space="preserve">Indemnified Parties </w:t>
      </w:r>
      <w:r>
        <w:rPr>
          <w:rFonts w:ascii="Times New Roman;sans-serif" w:hAnsi="Times New Roman;sans-serif"/>
          <w:b w:val="false"/>
          <w:color w:val="080808"/>
          <w:sz w:val="24"/>
        </w:rPr>
        <w:t xml:space="preserve">harmless from any and all claims, costs, losses, expenses, suits, actions, proceedings, damages and liabilities (including reasonable attorneys’ fees) with respect to any (a) environmental contamination at or from the Site or any easements or rights of way resulting from the possession or use thereof by Buyer or any of its Affiliates or any of their respective contractors, subcontractors, employees, representatives or agents and (b) any odor or emission emanating from the Site or the Facility or with respect to the Landfill Gas following the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37565"/>
                <wp:effectExtent l="0" t="0" r="0" b="0"/>
                <wp:wrapNone/>
                <wp:docPr id="80" name="Frame8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80808"/>
          <w:sz w:val="24"/>
        </w:rPr>
      </w:pPr>
      <w:r>
        <w:rPr>
          <w:rFonts w:ascii="Times New Roman;sans-serif" w:hAnsi="Times New Roman;sans-serif"/>
          <w:b w:val="false"/>
          <w:color w:val="080808"/>
          <w:sz w:val="24"/>
        </w:rPr>
        <w:t>Delivery Point. For the avoidance of doubt, Buyer shall have no obligation pursuant to this Agreement for any odor or emission not emanating from the Site or the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101010"/>
          <w:sz w:val="24"/>
          <w:u w:val="single"/>
        </w:rPr>
        <w:t>Buyer’s Security</w:t>
      </w:r>
      <w:r>
        <w:rPr>
          <w:rFonts w:ascii="Times New Roman;sans-serif" w:hAnsi="Times New Roman;sans-serif"/>
          <w:b w:val="false"/>
          <w:color w:val="101010"/>
          <w:sz w:val="24"/>
        </w:rPr>
        <w:t>. At least thirty (30) days prior to the first day of the Pre- Commercial Operations Period, Buyer shall provide and maintain security in favor of Seller, at Buyer’s expense, to secure Payment (the “</w:t>
      </w:r>
      <w:r>
        <w:rPr>
          <w:rFonts w:ascii="Times New Roman;sans-serif" w:hAnsi="Times New Roman;sans-serif"/>
          <w:b w:val="false"/>
          <w:color w:val="101010"/>
          <w:sz w:val="24"/>
          <w:u w:val="single"/>
        </w:rPr>
        <w:t>Buyer Security</w:t>
      </w:r>
      <w:r>
        <w:rPr>
          <w:color w:val="101010"/>
        </w:rPr>
        <w:t>”</w:t>
      </w:r>
      <w:r>
        <w:rPr>
          <w:rFonts w:ascii="Times New Roman;sans-serif" w:hAnsi="Times New Roman;sans-serif"/>
          <w:b w:val="false"/>
          <w:color w:val="101010"/>
          <w:sz w:val="24"/>
        </w:rPr>
        <w:t>). Buyer Security may either be in the form of a Security Agreement or the Letter of Credit.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Buyer elects to provide a Security Agreement, Seller shall provide Seller with a first priority lien and security interest in the Buyer Collateral as provided by the Security Agreement. Buyer shall notify Seller promptly upon gaining knowledge (i) of any event causing loss or significant change in circumstances causing material reduction in the value of the Buyer Collateral and the amount of such loss or reduction, or (ii) that the fair market value of the Buyer Collateral in an arm’s length sale to a third party is reasonably likely to be less than Five Million Dollars ($5,000,000.00). If the Buyer Security is in the form of a security interest in Buyer Collateral and Seller has a reasonable belief that the value of the Buyer Collateral is less than Five Million Dollars ($5,000,000.00), Buyer shall provide, after notice from Seller and within no later than ten (10) days of such notice, reasonable assurances of the value of the Buyer Collateral. If Seller, acting reasonably, is not satisfied with the assurances of value provided by Buyer, Seller may engage a third party, neutral, appraiser to conduct an appraisal of the Buyer Collateral and Buyer shall cooperate in connection therewith. If such appraisal confirms that the value of the Buyer Collateral is equal to or greater than Five Million Dollars ($5,000,000.00), Seller shall be solely responsible for the costs of the appraisal conducted by such third party. If the appraisal finds that the Buyer Collateral has a value less than Five Million Dollars ($5,000,000.00), Buyer shall be solely responsible for the cost of the appraisal, Buyer shall pay or reimburse Seller within ten (10) days of request for the cost of the appraisal and Buyer shall modify and/or enhance the Buyer Security to provide a value of at least Five Million Dollars ($5,000,000.00) and provide Seller evidence thereof within ten (10) days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Buyer elects not to provide a Security Agreement, then: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it shall provide a Letter of Credit to Seller in the Letter of Credit </w:t>
      </w:r>
      <w:r>
        <w:rPr>
          <w:rFonts w:ascii="Times New Roman;sans-serif" w:hAnsi="Times New Roman;sans-serif"/>
          <w:b w:val="false"/>
          <w:color w:val="080808"/>
          <w:sz w:val="24"/>
        </w:rPr>
        <w:t>Amount.</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The issuer of the Letter of Credit shall have and maintain a credit rating equivalent to BBB- (or better) from Standard &amp; Poors and Baa3 (or better) from Moodys. If such credit rating is BBB- or Baa3, the issuer must not be on credit watch by any rating agency. If the issuer of the Letter of Credit fails to maintain such credit ratings or is on such credit watch, Buyer shall promptly notify Seller in writing and provide a Letter of Credit from a new issuer </w:t>
      </w:r>
      <w:r>
        <w:rPr>
          <w:rFonts w:ascii="Times New Roman;sans-serif" w:hAnsi="Times New Roman;sans-serif"/>
          <w:b w:val="false"/>
          <w:color w:val="080808"/>
          <w:sz w:val="24"/>
        </w:rPr>
        <w:t>satisfying the requirements of this section.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(iii)</w:t>
      </w:r>
      <w:r>
        <w:rPr>
          <w:rFonts w:ascii="Times New Roman;sans-serif" w:hAnsi="Times New Roman;sans-serif"/>
          <w:b w:val="false"/>
          <w:color w:val="080808"/>
          <w:sz w:val="24"/>
        </w:rPr>
        <w:t>The Letter of Credit must be for a minimum term of three hundred sixty (360) days. Buyer shall give Seller at least thirty (30) days advance written notice prior to any expiration or earlier termination of the Letter of Credit. Buyer shall cause the renewal or extension of the Letter of Credit for additional consecutive terms of three hundred sixty (360) days or more (or, if shorter, the remainder of the Term) more than thirty (30) days prior to each expiration date of the Letter of Credit. If the Letter of Credit is not renewed or extended at least thirty (30) days prior to its expiration date or otherwise is terminated early, Seller shall have the right to draw immediately upon the Letter of Credit and to place the amounts so drawn in an escrow account until and unless Buyer provides a substitute Letter of Credit or until utilized to satisfy such amounts due as contemplated by this section.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(iv)</w:t>
      </w:r>
      <w:r>
        <w:rPr>
          <w:rFonts w:ascii="Times New Roman;sans-serif" w:hAnsi="Times New Roman;sans-serif"/>
          <w:b w:val="false"/>
          <w:color w:val="080808"/>
          <w:sz w:val="24"/>
        </w:rPr>
        <w:t xml:space="preserve">Assuming there are no requests for Payment that have not been fully satisfied, no later than thirty (30) days following written notice from Buyer it has the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37565"/>
                <wp:effectExtent l="0" t="0" r="0" b="0"/>
                <wp:wrapNone/>
                <wp:docPr id="81" name="Frame8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80808"/>
          <w:sz w:val="24"/>
        </w:rPr>
      </w:pPr>
      <w:r>
        <w:rPr>
          <w:rFonts w:ascii="Times New Roman;sans-serif" w:hAnsi="Times New Roman;sans-serif"/>
          <w:b w:val="false"/>
          <w:color w:val="080808"/>
          <w:sz w:val="24"/>
        </w:rPr>
        <w:t>removed the Facility and restored the Site pursuant to the terms and conditions of this Agreement and the Site Lease: (Y) Seller shall return the Buyer Security to Buyer if it is a Letter of Credit; or (Z) make any and all necessary filings, to the reasonable satisfaction of Buyer, to terminate its security interest in the Buyer Collateral. The Letter of Credit shall not be returned, or the security interest terminated, if Seller has drawn from the Letter of Credit prior to removal of the Facility or within such thirty (30) days.</w:t>
      </w:r>
    </w:p>
    <w:p>
      <w:pPr>
        <w:pStyle w:val="TextBody"/>
        <w:bidi w:val="0"/>
        <w:spacing w:lineRule="auto" w:line="240" w:before="0" w:after="240"/>
        <w:ind w:left="0" w:right="0" w:firstLine="2160"/>
        <w:jc w:val="both"/>
        <w:rPr/>
      </w:pPr>
      <w:r>
        <w:rPr>
          <w:rFonts w:ascii="Times New Roman;sans-serif" w:hAnsi="Times New Roman;sans-serif"/>
          <w:b w:val="false"/>
          <w:color w:val="000000"/>
          <w:sz w:val="24"/>
        </w:rPr>
        <w:t>(v)</w:t>
      </w:r>
      <w:r>
        <w:rPr>
          <w:rFonts w:ascii="Times New Roman;sans-serif" w:hAnsi="Times New Roman;sans-serif"/>
          <w:b w:val="false"/>
          <w:color w:val="080808"/>
          <w:sz w:val="24"/>
        </w:rPr>
        <w:t>In the event of any Payments owing from Buyer or any of their Affiliates to any Seller Indemnified Party pursuant to this Agreement or the Site Lease, resulting in an Event of Default hereunder or in an Event of Default (as defined in the Site Lease) that, to the extent an opportunity to cure is applicable, has not been cured within the applicable time periods permitted under this Agreement or the Site Lease, as applicable, Seller, may in its discretion as a non-exclusive remedy: (Y) take any actions allowed under the Security Agreement, including, without limitation, entry upon the Site and removal and sale of the Buyer Collateral or (Z) draw from the Letter of Credit, to satisfy such 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101010"/>
          <w:sz w:val="24"/>
          <w:u w:val="single"/>
        </w:rPr>
        <w:t>Inspection of Books and Records; Accounting</w:t>
      </w:r>
      <w:r>
        <w:rPr>
          <w:rFonts w:ascii="Times New Roman;sans-serif" w:hAnsi="Times New Roman;sans-serif"/>
          <w:b w:val="false"/>
          <w:color w:val="101010"/>
          <w:sz w:val="24"/>
        </w:rPr>
        <w:t xml:space="preserve">. Each party hereto shall have the right to inspect, audit, copy and verify the books, charts and records of the other party pertaining to the operations and the transactions that are the subject matter of this Agreement, at the office of the other party where such records are maintained, during normal business hours upon five (5) </w:t>
      </w:r>
      <w:r>
        <w:rPr>
          <w:rFonts w:ascii="Times New Roman;sans-serif" w:hAnsi="Times New Roman;sans-serif"/>
          <w:b w:val="false"/>
          <w:color w:val="040404"/>
          <w:sz w:val="24"/>
        </w:rPr>
        <w:t xml:space="preserve">calendar days advance written notice. Each party agrees to keep its books and records of account so pertaining to this Agreement in accordance with generally accepted accounting principles and practices in the industry. If either party finds at any time within two (2) years after the date of any payment made hereunder that there has been an overpayment or underpayment to Seller or Buyer, the party finding the error shall promptly notify the other party in writing detailing the amount and explanation of the error. In the event of an underpayment to Seller, Buyer shall pay the amount due within fifteen (15) days after the receipt of the bill correcting such error, with interest in the manner provided in </w:t>
      </w:r>
      <w:r>
        <w:rPr>
          <w:rFonts w:ascii="Times New Roman;sans-serif" w:hAnsi="Times New Roman;sans-serif"/>
          <w:b w:val="false"/>
          <w:color w:val="040404"/>
          <w:sz w:val="24"/>
          <w:u w:val="single"/>
        </w:rPr>
        <w:t>Section 5.3</w:t>
      </w:r>
      <w:r>
        <w:rPr>
          <w:rFonts w:ascii="Times New Roman;sans-serif" w:hAnsi="Times New Roman;sans-serif"/>
          <w:b w:val="false"/>
          <w:color w:val="040404"/>
          <w:sz w:val="24"/>
        </w:rPr>
        <w:t>. In the event of an overpayment to Seller, Buyer may only offset such overpayment against future payments due to Seller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070707"/>
          <w:sz w:val="24"/>
          <w:u w:val="single"/>
        </w:rPr>
        <w:t>Quarterly Reports</w:t>
      </w:r>
      <w:r>
        <w:rPr>
          <w:rFonts w:ascii="Times New Roman;sans-serif" w:hAnsi="Times New Roman;sans-serif"/>
          <w:b w:val="false"/>
          <w:color w:val="070707"/>
          <w:sz w:val="24"/>
        </w:rPr>
        <w:t xml:space="preserve">. </w:t>
      </w:r>
      <w:r>
        <w:rPr>
          <w:rFonts w:ascii="Times New Roman;sans-serif" w:hAnsi="Times New Roman;sans-serif"/>
          <w:b w:val="false"/>
          <w:color w:val="101010"/>
          <w:sz w:val="24"/>
        </w:rPr>
        <w:t xml:space="preserve">Buyer agrees to provide quarterly written or electronic reports to Seller regarding the status of the Facility, its output and any anticipated changes therein. In </w:t>
      </w:r>
      <w:r>
        <w:rPr>
          <w:rFonts w:ascii="Times New Roman;sans-serif" w:hAnsi="Times New Roman;sans-serif"/>
          <w:b w:val="false"/>
          <w:color w:val="090909"/>
          <w:sz w:val="24"/>
        </w:rPr>
        <w:t xml:space="preserve">addition, the parties agree to hold direct communications on at least quarterly basis to discuss Buyer’s reports and current and projected landfill operations at the Landfill. In addition, Buyer agrees to provide to Seller promptly, but in any case, within no less than five (5) business days after receiving a request therefor, with any information available to Buyer with respect to (a) its operations or (b) the Landfill Gas being made available to Buyer that Seller requests for reporting or compliance purposes with respect to Seller’s operations at or obligations relating to the Landfill. If Buyer believes that any information requested by Seller is confidential or proprietary in nature, it shall notify Seller of that fact, and Seller shall maintain the confidentiality of such information pursuant to the provisions of </w:t>
      </w:r>
      <w:r>
        <w:rPr>
          <w:rFonts w:ascii="Times New Roman;sans-serif" w:hAnsi="Times New Roman;sans-serif"/>
          <w:b w:val="false"/>
          <w:color w:val="090909"/>
          <w:sz w:val="24"/>
          <w:u w:val="single"/>
        </w:rPr>
        <w:t>Section 11.15</w:t>
      </w:r>
      <w:r>
        <w:rPr>
          <w:color w:val="090909"/>
        </w:rPr>
        <w:t xml:space="preserve"> </w:t>
      </w:r>
      <w:r>
        <w:rPr>
          <w:rFonts w:ascii="Times New Roman;sans-serif" w:hAnsi="Times New Roman;sans-serif"/>
          <w:b w:val="false"/>
          <w:color w:val="090909"/>
          <w:sz w:val="24"/>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101010"/>
          <w:sz w:val="24"/>
          <w:u w:val="single"/>
        </w:rPr>
        <w:t>Electronic Information</w:t>
      </w:r>
      <w:r>
        <w:rPr>
          <w:rFonts w:ascii="Times New Roman;sans-serif" w:hAnsi="Times New Roman;sans-serif"/>
          <w:b w:val="false"/>
          <w:color w:val="101010"/>
          <w:sz w:val="24"/>
        </w:rPr>
        <w:t>. In no way limiting any other provisions of this Agreement, Buyer agrees to give Seller internet or electronic access to all data and materials relating to the performance of the Facility that are made available to any Energy Customers. Nothing in this Section shall require Buyer to disclose proprietary or trade secret information or cause Buyer to incur unreasonable costs as determined by Buyer in its reasonable discretion. In addition, Buyer agrees to provide to Seller promptly, but in any case, within no less than five (5) business days after receiving a request therefor, with any information available to Buyer with respect to (a) its operations or (b) the Landfill Gas being made available to Buyer that Seller requests for reporting or compliance purposes with respect to Seller’s operations at or obligations relating to the Landfill. If Buyer believes that any information requested by Seller is confidential or proprietary in nature, it shall notify Seller of that fact, and Seller shall maintain the confidentiality of such information pursuant to the provisions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7565"/>
                <wp:effectExtent l="0" t="0" r="0" b="0"/>
                <wp:wrapNone/>
                <wp:docPr id="82" name="Frame8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101010"/>
          <w:sz w:val="24"/>
          <w:u w:val="single"/>
        </w:rPr>
        <w:t>Air Emission Permitting</w:t>
      </w:r>
      <w:r>
        <w:rPr>
          <w:rFonts w:ascii="Times New Roman;sans-serif" w:hAnsi="Times New Roman;sans-serif"/>
          <w:b w:val="false"/>
          <w:color w:val="101010"/>
          <w:sz w:val="24"/>
        </w:rPr>
        <w:t>. Both parties agree that they will not voluntarily take the position that the activities of Seller and Buyer at the Landfill should be treated as a combined or single source. In addition to any other right or remedy of the parties, if any Government Entity, pursuant to its application or interpretation of any Applicable Laws, or otherwise, is successful in asserting the position that activities of Seller and Buyer at the Landfill will be treated as a combined or single source for purposes of air permitting of air emission, the parties, in their discretion, may attempt to renegotiate in good faith, and for a specified time, the terms and conditions of this Agreement to account for the increased burden of such regulatory activity on the parties. In the event such renegotiations are unsuccessful, Seller may terminate this Agreement effective upon ten (10) days written notice to Buyer; provided, if within such ten (10) day period Buyer agrees in writing to pay Seller all cost and expenses Seller incurs with respect to such treatment as a combined or single source, such termination shall be null and void.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101010"/>
          <w:sz w:val="24"/>
          <w:u w:val="single"/>
        </w:rPr>
        <w:t>Non-Dedication of Facilities</w:t>
      </w:r>
      <w:r>
        <w:rPr>
          <w:rFonts w:ascii="Times New Roman;sans-serif" w:hAnsi="Times New Roman;sans-serif"/>
          <w:b w:val="false"/>
          <w:color w:val="101010"/>
          <w:sz w:val="24"/>
        </w:rPr>
        <w:t>. Unless otherwise required by Applicable Law, neither party shall dedicate any part of any facility owned or operated by it at or related to the Landfill for the production of electricity to the public generally and indiscriminately, for the exercise of a public franchise, or in the exercise of a public utility function.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7</w:t>
        <w:br/>
        <w:t>Measurement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Metering and Measurement</w:t>
      </w:r>
      <w:r>
        <w:rPr>
          <w:rFonts w:ascii="Times New Roman;sans-serif" w:hAnsi="Times New Roman;sans-serif"/>
          <w:b w:val="false"/>
          <w:color w:val="101010"/>
          <w:sz w:val="24"/>
        </w:rPr>
        <w:t xml:space="preserve">. Buyer shall install and maintain the equipment necessary to measure the volume of the Landfill Gas delivered by Seller to Buyer at the Delivery Point, as well as any other information with respect to the Landfill Gas that Seller is required by </w:t>
      </w:r>
      <w:r>
        <w:rPr>
          <w:rFonts w:ascii="Times New Roman;sans-serif" w:hAnsi="Times New Roman;sans-serif"/>
          <w:b w:val="false"/>
          <w:color w:val="070707"/>
          <w:sz w:val="24"/>
        </w:rPr>
        <w:t>Applicable Law to capture, monitor or report.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Calibration</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Buyer shall calibrate the equipment utilized to satisfy the terms of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at least once every six (6) months or more frequently as may be necessary to obtain accurate measurements or as required by Applicable Law. Buyer shall give Seller at least three (3) business days’ prior written notice of the time and date for such calibration so that Seller may have, if Seller so elects, a representative present at any such calibration.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Each party shall have the right to have its representatives and agents present at any installing, reading, cleaning, changing, repairing, inspecting, testing, calibrating, or adjusting done in connection with the equipment utilized to satisfy the terms of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If, for any reason, the equipment utilized to satisfy the terms of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is out of service or out of repair so that the quantity of Landfill Gas delivered through such equipment cannot be ascertained or computed from the readings thereof, then the quantity of Landfill Gas so delivered during the period such equipment is out of service or out of repair shall be estimated and agreed upon by Buyer and Seller by means of extrapolation for the period in question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101010"/>
          <w:sz w:val="24"/>
          <w:u w:val="single"/>
        </w:rPr>
        <w:t>Specific Metering Issues</w:t>
      </w:r>
      <w:r>
        <w:rPr>
          <w:rFonts w:ascii="Times New Roman;sans-serif" w:hAnsi="Times New Roman;sans-serif"/>
          <w:b w:val="false"/>
          <w:color w:val="101010"/>
          <w:sz w:val="24"/>
        </w:rPr>
        <w:t>. For purposes of this Agreement, atmospheric pressure is assumed, unless otherwise established by the standard gas measurement procedures in the industry, to be 14.74 psia. In addition, the specific gravity and the gross heating value of the gas flowing through the meter(s) may be determined by “on-site” sampling and laboratory analysis or by any other method that is of standard industry practice. The unit of measurement is one cubic foot at a pressure base of 14.74 psia and at a temperature base of sixty (60) degrees Fahrenheit. Meter measurements shall be computed by Buyer into such units in accordance with the ideal gas laws for volume variations due to metered pressure and corrected for deviation using average values of recorded specific gravity and flowing temperature.</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7565"/>
                <wp:effectExtent l="0" t="0" r="0" b="0"/>
                <wp:wrapNone/>
                <wp:docPr id="83" name="Frame8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Article 8</w:t>
        <w:br/>
        <w:t xml:space="preserve">Default and </w:t>
      </w:r>
      <w:r>
        <w:rPr>
          <w:rFonts w:ascii="Times New Roman;sans-serif" w:hAnsi="Times New Roman;sans-serif"/>
          <w:b/>
          <w:color w:val="040404"/>
          <w:sz w:val="24"/>
        </w:rPr>
        <w:t>Damages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40404"/>
          <w:sz w:val="24"/>
          <w:u w:val="single"/>
        </w:rPr>
        <w:t>Event of Default</w:t>
      </w:r>
      <w:r>
        <w:rPr>
          <w:rFonts w:ascii="Times New Roman;sans-serif" w:hAnsi="Times New Roman;sans-serif"/>
          <w:b w:val="false"/>
          <w:color w:val="040404"/>
          <w:sz w:val="24"/>
        </w:rPr>
        <w:t xml:space="preserve">. The occurrence of any of the following events or conditions </w:t>
      </w:r>
      <w:r>
        <w:rPr>
          <w:rFonts w:ascii="Times New Roman;sans-serif" w:hAnsi="Times New Roman;sans-serif"/>
          <w:b w:val="false"/>
          <w:color w:val="101010"/>
          <w:sz w:val="24"/>
        </w:rPr>
        <w:t>shall constitute an event of default (an “</w:t>
      </w:r>
      <w:r>
        <w:rPr>
          <w:rFonts w:ascii="Times New Roman;sans-serif" w:hAnsi="Times New Roman;sans-serif"/>
          <w:b w:val="false"/>
          <w:color w:val="101010"/>
          <w:sz w:val="24"/>
          <w:u w:val="single"/>
        </w:rPr>
        <w:t>Event of Default</w:t>
      </w:r>
      <w:r>
        <w:rPr>
          <w:color w:val="101010"/>
        </w:rPr>
        <w:t>”</w:t>
      </w:r>
      <w:r>
        <w:rPr>
          <w:rFonts w:ascii="Times New Roman;sans-serif" w:hAnsi="Times New Roman;sans-serif"/>
          <w:b w:val="false"/>
          <w:color w:val="101010"/>
          <w:sz w:val="24"/>
        </w:rPr>
        <w:t>)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Seller fails to receive from Buyer when due and payable any payment or amount due under this Agreement within ten (10) days after giving written notice to Buyer of the nonpayment.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40404"/>
          <w:sz w:val="24"/>
        </w:rPr>
        <w:t xml:space="preserve">Failure of either party to satisfy and perform, in any material respect, any </w:t>
      </w:r>
      <w:r>
        <w:rPr>
          <w:rFonts w:ascii="Times New Roman;sans-serif" w:hAnsi="Times New Roman;sans-serif"/>
          <w:b w:val="false"/>
          <w:color w:val="000000"/>
          <w:sz w:val="24"/>
        </w:rPr>
        <w:t>of the obligations (other than such obligations covered by items (a), (c), (d), (e), (f), (g) or (h) of this Section 8.1) imposed on it by the terms, covenants or promises of this Agreement, and such failure is not cured to the other party’s reasonable satisfaction within sixty (60) days after written notice to the defaulting party (“</w:t>
      </w:r>
      <w:r>
        <w:rPr>
          <w:rFonts w:ascii="Times New Roman;sans-serif" w:hAnsi="Times New Roman;sans-serif"/>
          <w:b w:val="false"/>
          <w:color w:val="000000"/>
          <w:sz w:val="24"/>
          <w:u w:val="single"/>
        </w:rPr>
        <w:t>Notice of Default</w:t>
      </w:r>
      <w:r>
        <w:rPr>
          <w:color w:val="000000"/>
        </w:rPr>
        <w:t>”</w:t>
      </w:r>
      <w:r>
        <w:rPr>
          <w:rFonts w:ascii="Times New Roman;sans-serif" w:hAnsi="Times New Roman;sans-serif"/>
          <w:b w:val="false"/>
          <w:color w:val="000000"/>
          <w:sz w:val="24"/>
        </w:rPr>
        <w:t xml:space="preserve">) specifying the nature of the failure. Notwithstanding the foregoing, if the failure is beyond the reasonable control of the defaulting party, is of a nature that cannot reasonably be cured within such sixty (60) day period, but is </w:t>
      </w:r>
      <w:r>
        <w:rPr>
          <w:rFonts w:ascii="Times New Roman;sans-serif" w:hAnsi="Times New Roman;sans-serif"/>
          <w:b w:val="false"/>
          <w:color w:val="070707"/>
          <w:sz w:val="24"/>
        </w:rPr>
        <w:t>curable, and cannot be cured by the payment of money (a “</w:t>
      </w:r>
      <w:r>
        <w:rPr>
          <w:rFonts w:ascii="Times New Roman;sans-serif" w:hAnsi="Times New Roman;sans-serif"/>
          <w:b w:val="false"/>
          <w:color w:val="070707"/>
          <w:sz w:val="24"/>
          <w:u w:val="single"/>
        </w:rPr>
        <w:t>Nonmonetary Default</w:t>
      </w:r>
      <w:r>
        <w:rPr>
          <w:color w:val="070707"/>
        </w:rPr>
        <w:t>”</w:t>
      </w:r>
      <w:r>
        <w:rPr>
          <w:rFonts w:ascii="Times New Roman;sans-serif" w:hAnsi="Times New Roman;sans-serif"/>
          <w:b w:val="false"/>
          <w:color w:val="070707"/>
          <w:sz w:val="24"/>
        </w:rPr>
        <w:t>), then, so long as the defaulting party has begun all reasonable efforts to cure such failure and within sixty (60) days after the Notice of Default is diligently pursuing the curing of the failure, the defaulting party shall have a period of one hundred eighty (180) days from receipt of such Notice of Default within which to cure the Nonmonetary Default. Lack of finances or lack of financial resources of the party claiming that a failure is a Nonmonetary Default shall never excuse the payment of money nor cause a failure to constitute a Nonmonetary Default, nor shall it be considered an event of Force Majeure.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the provisions of subsection (b) above, if any breach or default by Buyer under this Agreement subjects Seller to any risk of loss, liabilities, legal actions, penalties, fines, etc., with respect to any permits or authorizations relating to Seller’s </w:t>
      </w:r>
      <w:r>
        <w:rPr>
          <w:rFonts w:ascii="Times New Roman;sans-serif" w:hAnsi="Times New Roman;sans-serif"/>
          <w:b w:val="false"/>
          <w:color w:val="050505"/>
          <w:sz w:val="24"/>
        </w:rPr>
        <w:t xml:space="preserve">primary activities as provided in </w:t>
      </w:r>
      <w:r>
        <w:rPr>
          <w:rFonts w:ascii="Times New Roman;sans-serif" w:hAnsi="Times New Roman;sans-serif"/>
          <w:b w:val="false"/>
          <w:color w:val="050505"/>
          <w:sz w:val="24"/>
          <w:u w:val="single"/>
        </w:rPr>
        <w:t>Section 2.4</w:t>
      </w:r>
      <w:r>
        <w:rPr>
          <w:rFonts w:ascii="Times New Roman;sans-serif" w:hAnsi="Times New Roman;sans-serif"/>
          <w:b w:val="false"/>
          <w:color w:val="050505"/>
          <w:sz w:val="24"/>
        </w:rPr>
        <w:t>, Buyer’s right to cure shall be for a period equal to the lesser of ten (10) business days or such lesser period as may be mandated by any applicable Government Entity with respect to Seller’s obligation to cure or rectify any violations relating to its permits or other authorizations. Any Notice of Default given pursuant to this Section shall include a specific reference to this subsection.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70707"/>
          <w:sz w:val="24"/>
        </w:rPr>
        <w:t xml:space="preserve">(i) Either party becomes insolvent or unable to pay its debts when due; </w:t>
      </w:r>
      <w:r>
        <w:rPr>
          <w:rFonts w:ascii="Times New Roman;sans-serif" w:hAnsi="Times New Roman;sans-serif"/>
          <w:b w:val="false"/>
          <w:color w:val="000000"/>
          <w:sz w:val="24"/>
        </w:rPr>
        <w:t>generally fails to pay its debts when due; files a petition in any bankruptcy, reorganization, winding up, or liquidation proceeding or other proceeding analogous in purpose or effect relating to such party; applies for or consents to the appointment of a receiver, trustee, or other custodian for the bankruptcy, reorganization, winding up or liquidation of such party; makes an assignment for the benefit of creditors; or admits in writing that it is unable to pay its debts; or (ii) any court order or judgment is entered confirming the bankruptcy or insolvency of Buyer or Seller, or approving any reorganization, winding up or liquidation of Buyer or Seller or a substantial portion of its assets; or (iii) there is instituted against Buyer or Seller any bankruptcy, reorganization, winding up or liquidation proceeding, or other proceeding analogous in purpose or effect, and the same is not dismissed within ninety (90) days after the institution thereof, or (iv) a receiver, trustee or other custodian is appointed for any part of the assets of Buyer or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 event of default has occurred and not been cured under the Site Lease or the Security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7565"/>
                <wp:effectExtent l="0" t="0" r="0" b="0"/>
                <wp:wrapNone/>
                <wp:docPr id="84" name="Frame8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Any breach of a party’s representations and warranties in this Agreement that is not cured to the other party’s reasonable satisfaction within sixty (60) days after written notice to the breaching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failure of Buyer to timely provide the Buyer Security.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reasonable determination by Seller that Buyer’s record of compliance with all Applicable Laws, regardless of the determination or lack thereof by any Government Entity, shall prevent or materially delay Seller’s receiving or maintaining any necessary permits, licenses, authorizations, or approvals to operate or expand the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80808"/>
          <w:sz w:val="24"/>
          <w:u w:val="single"/>
        </w:rPr>
        <w:t>Seller’s Remedies</w:t>
      </w:r>
      <w:r>
        <w:rPr>
          <w:rFonts w:ascii="Times New Roman;sans-serif" w:hAnsi="Times New Roman;sans-serif"/>
          <w:b w:val="false"/>
          <w:color w:val="080808"/>
          <w:sz w:val="24"/>
        </w:rPr>
        <w:t xml:space="preserve">. At any time after an Event of Default by Buyer has occurred </w:t>
      </w:r>
      <w:r>
        <w:rPr>
          <w:rFonts w:ascii="Times New Roman;sans-serif" w:hAnsi="Times New Roman;sans-serif"/>
          <w:b w:val="false"/>
          <w:color w:val="101010"/>
          <w:sz w:val="24"/>
        </w:rPr>
        <w:t xml:space="preserve">and not been cured as provided in </w:t>
      </w:r>
      <w:r>
        <w:rPr>
          <w:rFonts w:ascii="Times New Roman;sans-serif" w:hAnsi="Times New Roman;sans-serif"/>
          <w:b w:val="false"/>
          <w:color w:val="101010"/>
          <w:sz w:val="24"/>
          <w:u w:val="single"/>
        </w:rPr>
        <w:t>Section 8.1</w:t>
      </w:r>
      <w:r>
        <w:rPr>
          <w:color w:val="101010"/>
        </w:rPr>
        <w:t xml:space="preserve"> </w:t>
      </w:r>
      <w:r>
        <w:rPr>
          <w:rFonts w:ascii="Times New Roman;sans-serif" w:hAnsi="Times New Roman;sans-serif"/>
          <w:b w:val="false"/>
          <w:color w:val="101010"/>
          <w:sz w:val="24"/>
        </w:rPr>
        <w:t xml:space="preserve">(if applicable), Seller may without obligation do </w:t>
      </w:r>
      <w:r>
        <w:rPr>
          <w:rFonts w:ascii="Times New Roman;sans-serif" w:hAnsi="Times New Roman;sans-serif"/>
          <w:b w:val="false"/>
          <w:color w:val="070707"/>
          <w:sz w:val="24"/>
        </w:rPr>
        <w:t>any one or more of the following (all such remedies being cumulative):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Terminate this Agreement and cease to deliver Landfill Gas to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Remove all or part of the Collection System and/or any additions, </w:t>
      </w:r>
      <w:r>
        <w:rPr>
          <w:rFonts w:ascii="Times New Roman;sans-serif" w:hAnsi="Times New Roman;sans-serif"/>
          <w:b w:val="false"/>
          <w:color w:val="080808"/>
          <w:sz w:val="24"/>
        </w:rPr>
        <w:t>improvements, equipment and fixtures of Seller on the Landfill.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Sell Landfill Gas to any Person or utilize such Landfill Gas, including for commercial purposes.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70707"/>
          <w:sz w:val="24"/>
        </w:rPr>
        <w:t xml:space="preserve">Proceed to protect and enforce any or all its rights and remedies under </w:t>
      </w:r>
      <w:r>
        <w:rPr>
          <w:rFonts w:ascii="Times New Roman;sans-serif" w:hAnsi="Times New Roman;sans-serif"/>
          <w:b w:val="false"/>
          <w:color w:val="000000"/>
          <w:sz w:val="24"/>
        </w:rPr>
        <w:t>this Agreement and to exercise any or all other rights and remedies available to it at law, in equity or by statute.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101010"/>
          <w:sz w:val="24"/>
          <w:u w:val="single"/>
        </w:rPr>
        <w:t>Buyer’s Remedies</w:t>
      </w:r>
      <w:r>
        <w:rPr>
          <w:rFonts w:ascii="Times New Roman;sans-serif" w:hAnsi="Times New Roman;sans-serif"/>
          <w:b w:val="false"/>
          <w:color w:val="101010"/>
          <w:sz w:val="24"/>
        </w:rPr>
        <w:t xml:space="preserve">. At any time after an Event of Default by Seller has occurred </w:t>
      </w:r>
      <w:r>
        <w:rPr>
          <w:rFonts w:ascii="Times New Roman;sans-serif" w:hAnsi="Times New Roman;sans-serif"/>
          <w:b w:val="false"/>
          <w:color w:val="090909"/>
          <w:sz w:val="24"/>
        </w:rPr>
        <w:t xml:space="preserve">and not been cured as provided in </w:t>
      </w:r>
      <w:r>
        <w:rPr>
          <w:rFonts w:ascii="Times New Roman;sans-serif" w:hAnsi="Times New Roman;sans-serif"/>
          <w:b w:val="false"/>
          <w:color w:val="090909"/>
          <w:sz w:val="24"/>
          <w:u w:val="single"/>
        </w:rPr>
        <w:t>Section 8.1</w:t>
      </w:r>
      <w:r>
        <w:rPr>
          <w:rFonts w:ascii="Times New Roman;sans-serif" w:hAnsi="Times New Roman;sans-serif"/>
          <w:b w:val="false"/>
          <w:color w:val="090909"/>
          <w:sz w:val="24"/>
        </w:rPr>
        <w:t xml:space="preserve">, Buyer may without obligation do any one or more of the following </w:t>
      </w:r>
      <w:r>
        <w:rPr>
          <w:rFonts w:ascii="Times New Roman;sans-serif" w:hAnsi="Times New Roman;sans-serif"/>
          <w:b w:val="false"/>
          <w:color w:val="101010"/>
          <w:sz w:val="24"/>
        </w:rPr>
        <w:t>(all such remedies being cumulative)</w:t>
      </w:r>
      <w:r>
        <w:rPr>
          <w:rFonts w:ascii="Times New Roman;sans-serif" w:hAnsi="Times New Roman;sans-serif"/>
          <w:b w:val="false"/>
          <w:color w:val="090909"/>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Terminate this Agreement and cease to purchase Landfill Gas from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Remove all or part of the Facility and/or any additions, improvements, equipment and fixtures or property of Buyer on the property leased pursuant to the Site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Remain on and in possession of the premises subject to the Site Lease through the term of the Site Lease and continue to operate and sell electricity from the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Proceed to protect and enforce any or all of its rights and remedies under this Agreement and to exercise any and all rights and remedies available to it at law, in equity or by statute.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9</w:t>
        <w:br/>
        <w:t>Arbitration/Dispute Resolution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Arbitration/Dispute Resolution</w:t>
      </w:r>
      <w:r>
        <w:rPr>
          <w:rFonts w:ascii="Times New Roman;sans-serif" w:hAnsi="Times New Roman;sans-serif"/>
          <w:b w:val="false"/>
          <w:color w:val="101010"/>
          <w:sz w:val="24"/>
        </w:rPr>
        <w:t xml:space="preserve">. Except with respect to any claim seeking injunctive relief or specific performance, any controversy, claim, dispute, determination or </w:t>
      </w:r>
      <w:r>
        <w:rPr>
          <w:rFonts w:ascii="Times New Roman;sans-serif" w:hAnsi="Times New Roman;sans-serif"/>
          <w:b w:val="false"/>
          <w:color w:val="070707"/>
          <w:sz w:val="24"/>
        </w:rPr>
        <w:t xml:space="preserve">misunderstanding arising out of or relating to this Agreement, or the breach thereof, not otherwise resolved by written agreement of the parties within thirty (30) days from the date of written notice of such dispute by either party to the other party, shall be submitted to arbitration in accordance with the then current rules of the American Arbitration Association. The request for arbitration shall be made within a reasonable time after the dispute or claim arises, and in no event after it would be barred by an applicable statute of limitations. The requesting party shall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7565"/>
                <wp:effectExtent l="0" t="0" r="0" b="0"/>
                <wp:wrapNone/>
                <wp:docPr id="85" name="Frame8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70707"/>
          <w:sz w:val="24"/>
        </w:rPr>
      </w:pPr>
      <w:r>
        <w:rPr>
          <w:rFonts w:ascii="Times New Roman;sans-serif" w:hAnsi="Times New Roman;sans-serif"/>
          <w:b w:val="false"/>
          <w:color w:val="070707"/>
          <w:sz w:val="24"/>
        </w:rPr>
        <w:t>appoint one arbitrator in the writing requesting arbitration; the responding party shall appoint one arbitrator within fifteen (15) days thereafter. The two arbitrators so selected shall then appoint a third arbitrator within ten (10) days. If any party fails to appoint its arbitrator, or the two arbitrators fail to agree on a third arbitrator within the specified time periods, then the other party, or the requesting party if the failure is with the two arbitrators, shall request that the then Presiding Judge of the Superior Court of the State of Arizona, County of Maricopa, make such appointment. The parties agree that the American Arbitration Association Commercial Arbitration Rules are modified as follows: the procedures set forth in the Federal Rules of Civil Procedure applicable in the State of Arizona will govern the arbitration, including those relating to disclosures and listing of witnesses and exhibits, initiation and completion of discovery, and dispositive motions. Judgment upon the award rendered by the arbitrator(s) may be entered in any court having jurisdiction thereof. Unless otherwise mutually agreed by the parties, arbitration hearings shall be held in the city of Phoenix, Arizona. All time periods set by the rules shall be adhered to by all parties and arbitrators. The arbitrators shall be expressly limited by any limitation on damages provided by this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10</w:t>
        <w:br/>
        <w:t>Representations and Warranties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Buyer Representations</w:t>
      </w:r>
      <w:r>
        <w:rPr>
          <w:rFonts w:ascii="Times New Roman;sans-serif" w:hAnsi="Times New Roman;sans-serif"/>
          <w:b w:val="false"/>
          <w:color w:val="101010"/>
          <w:sz w:val="24"/>
        </w:rPr>
        <w:t>. Buyer hereby represents and warrants to Seller as of the Effective Date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Buyer is a limited liability company duly organized, validly existing, and in good standing under the laws of the State of Delaware and is qualified to do business in the State of Massachusetts. Buyer has the power and lawful authority to enter into and perform its obligations under this Agreement and any other documents required by this Agreement to be delivered by Buyer.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The execution, delivery, and performance by Buyer of and under this Agreement and any related agreements have been duly authorized by all necessary corporate action on its behalf, and do not and will not violate any provision of its organizational documents or result in a material breach of or constitute a material default under any agreement, indenture, or instrument of which it is a party or by which it or its properties may be bound or affected.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There are no actions, suits, or proceedings pending or, to the best of Buyer’s knowledge, threatened against Buyer or any of its properties before any court or governmental department, commission, board, bureau, agency, or instrumentality that, if determined adversely to it, would have a material adverse effect on the transactions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Execution</w:t>
      </w:r>
      <w:r>
        <w:rPr>
          <w:rFonts w:ascii="Times New Roman;sans-serif" w:hAnsi="Times New Roman;sans-serif"/>
          <w:b w:val="false"/>
          <w:color w:val="000000"/>
          <w:sz w:val="24"/>
        </w:rPr>
        <w:t>. Buyer has duly executed and delivered this Agreement, and (assuming due authorization, execution and delivery by Seller) this Agreement constitutes a legal, valid and binding obligation of Buyer enforceable against Buyer in accordance with its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 Lender Consent</w:t>
      </w:r>
      <w:r>
        <w:rPr>
          <w:rFonts w:ascii="Times New Roman;sans-serif" w:hAnsi="Times New Roman;sans-serif"/>
          <w:b w:val="false"/>
          <w:color w:val="000000"/>
          <w:sz w:val="24"/>
        </w:rPr>
        <w:t>. There is no consent or approval necessary from, and no notice required to be provided to, any Person providing senior or subordinated construction, interim, or long-term debt or refinancing to Buyer or any of its Affiliates for or in connection with the development, construction, the Facility procurement, installation or operation of the Facility. There is no collateral assignment of this Agreement, or the rights and benefits under this Agreement, to any Person in connection with any such debt or refinancing.</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7565"/>
                <wp:effectExtent l="0" t="0" r="0" b="0"/>
                <wp:wrapNone/>
                <wp:docPr id="86" name="Frame8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Seller Representations</w:t>
      </w:r>
      <w:r>
        <w:rPr>
          <w:rFonts w:ascii="Times New Roman;sans-serif" w:hAnsi="Times New Roman;sans-serif"/>
          <w:b w:val="false"/>
          <w:color w:val="101010"/>
          <w:sz w:val="24"/>
        </w:rPr>
        <w:t>. Seller hereby represents and warrants to Buyer as of the Effective Date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Seller is a corporation duly organized, validly existing, and in good standing under the laws of the State of Massachusetts. Seller has the power and lawful authority to enter into and perform its obligations under this Agreement and any other documents required by this Agreement to be delivered by Seller.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Authorization</w:t>
      </w:r>
      <w:r>
        <w:rPr>
          <w:rFonts w:ascii="Times New Roman;sans-serif" w:hAnsi="Times New Roman;sans-serif"/>
          <w:b w:val="false"/>
          <w:color w:val="000000"/>
          <w:sz w:val="24"/>
        </w:rPr>
        <w:t>. The execution, delivery, and performance by Seller of and under this Agreement and any related agreements have been duly authorized by all necessary corporate action on its behalf, and do not and will not violate any provision of its organizational documents or result in a material breach of or constitute a material default under any agreement, indenture, or instrument of which it is a party or by which it or its properties may be bound or affected.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There are no actions, suits, or proceedings pending or, to the best of Seller’s knowledge, threatened against Seller or any of its properties before any court or governmental department, commission, board, bureau, agency, or instrumentality that, if determined adversely to Seller, would have a material adverse effect on the transactions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Execution</w:t>
      </w:r>
      <w:r>
        <w:rPr>
          <w:rFonts w:ascii="Times New Roman;sans-serif" w:hAnsi="Times New Roman;sans-serif"/>
          <w:b w:val="false"/>
          <w:color w:val="000000"/>
          <w:sz w:val="24"/>
        </w:rPr>
        <w:t>. Seller has duly executed and delivered this Agreement, and (assuming due authorization, execution and delivery by Buyer) this Agreement constitutes a legal, valid and binding obligation of Seller enforceable against Seller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101010"/>
          <w:sz w:val="24"/>
          <w:u w:val="single"/>
        </w:rPr>
        <w:t>Representations and Warranties - General</w:t>
      </w:r>
      <w:r>
        <w:rPr>
          <w:rFonts w:ascii="Times New Roman;sans-serif" w:hAnsi="Times New Roman;sans-serif"/>
          <w:b w:val="false"/>
          <w:color w:val="101010"/>
          <w:sz w:val="24"/>
        </w:rPr>
        <w:t>. Each party acknowledges that its representations and warranties as set forth above will be relied upon by the other in entering into and performing under this Agreement. The representations and warranties contained in this Article shall survive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101010"/>
          <w:sz w:val="24"/>
          <w:u w:val="single"/>
        </w:rPr>
        <w:t>DISCLAIMER OF REPRESENTATIONS AND WARRANTIES</w:t>
      </w:r>
      <w:r>
        <w:rPr>
          <w:rFonts w:ascii="Times New Roman;sans-serif" w:hAnsi="Times New Roman;sans-serif"/>
          <w:b w:val="false"/>
          <w:color w:val="101010"/>
          <w:sz w:val="24"/>
        </w:rPr>
        <w:t>. THE REPRESENTATIONS AND WARRANTIES MADE BY THE PARTIES IN THIS AGREEMENT ARE IN LIEU OF AND ARE EXCLUSIVE OF ALL OTHER REPRESENTATIONS AND WARRANTIES, INCLUDING ANY IMPLIED WARRANTIES OF MERCHANTABILITY, SUITABILITY OR FITNESS FOR ANY PARTICULAR PURPOSE OR ANY OTHER IMPLIED WARRANTY. EACH PARTY HEREBY DISCLAIMS ANY SUCH OTHER OR IMPLIED REPRESENTATIONS OR WARRANTIES, NOTWITHSTANDING THE DELIVERY OR DISCLOSURE BY A PARTY OR ITS DIRECTORS, OFFICERS, EMPLOYEES, AGENTS OR REPRESENTATIVES OF ANY DOCUMENTATION OR OTHER INFORMATION.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11</w:t>
        <w:br/>
        <w:t>Force Majeure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rPr>
        <w:t xml:space="preserve">If either party is rendered unable, wholly or in part, by the occurrence of a Force Majeure event to carry out its obligations under this Agreement, that party shall give to the other party prompt written notice of the Force Majeure event, which notice shall include a description of the nature of the Force Majeure event, its cause and possible consequences, its direct impact on the party’s inability to perform all or any part of its obligations under this Agreement, the expected duration of the event, and the steps being taken or proposed to be taken by the affected party to </w:t>
      </w:r>
      <w:r>
        <w:rPr>
          <w:rFonts w:ascii="Times New Roman;sans-serif" w:hAnsi="Times New Roman;sans-serif"/>
          <w:b w:val="false"/>
          <w:color w:val="090909"/>
          <w:sz w:val="24"/>
        </w:rPr>
        <w:t xml:space="preserve">overcome the event; thereupon, the obligations of the party giving the notice shall be suspended (a) during, but no longer than, the continuance of the Force Majeure event, and (b) only with respect to the party’s specific obligations hereunder affected by the Force Majeure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37565"/>
                <wp:effectExtent l="0" t="0" r="0" b="0"/>
                <wp:wrapNone/>
                <wp:docPr id="87" name="Frame8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90909"/>
          <w:sz w:val="24"/>
        </w:rPr>
      </w:pPr>
      <w:r>
        <w:rPr>
          <w:rFonts w:ascii="Times New Roman;sans-serif" w:hAnsi="Times New Roman;sans-serif"/>
          <w:b w:val="false"/>
          <w:color w:val="090909"/>
          <w:sz w:val="24"/>
        </w:rPr>
        <w:t>event; provided that if the Force Majeure event continues for more than twelve (12) consecutive months, the party that has not asserted Force Majeure may terminate this Agreement without liability to the other party, except for payments due to such date and any breach or default of this Agreement prior to the effective date of such termination, upon giving written notice to the other party. The party claiming Force Majeure shall promptly notify the other party of the termination of such event.</w:t>
      </w:r>
    </w:p>
    <w:p>
      <w:pPr>
        <w:pStyle w:val="TextBody"/>
        <w:bidi w:val="0"/>
        <w:spacing w:lineRule="auto" w:line="240" w:before="0" w:after="240"/>
        <w:jc w:val="center"/>
        <w:rPr/>
      </w:pPr>
      <w:r>
        <w:rPr>
          <w:rFonts w:ascii="Times New Roman;sans-serif" w:hAnsi="Times New Roman;sans-serif"/>
          <w:b/>
          <w:color w:val="000000"/>
          <w:sz w:val="24"/>
        </w:rPr>
        <w:t>Article 12</w:t>
      </w:r>
      <w:r>
        <w:rPr>
          <w:rFonts w:ascii="Times New Roman;sans-serif" w:hAnsi="Times New Roman;sans-serif"/>
          <w:b/>
          <w:color w:val="000000"/>
          <w:sz w:val="24"/>
        </w:rPr>
        <w:b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101010"/>
          <w:sz w:val="24"/>
          <w:u w:val="single"/>
        </w:rPr>
        <w:t>Amendment</w:t>
      </w:r>
      <w:r>
        <w:rPr>
          <w:rFonts w:ascii="Times New Roman;sans-serif" w:hAnsi="Times New Roman;sans-serif"/>
          <w:b w:val="false"/>
          <w:color w:val="101010"/>
          <w:sz w:val="24"/>
        </w:rPr>
        <w:t xml:space="preserve">. This Agreement may only be modified, amended or supplemented </w:t>
      </w:r>
      <w:r>
        <w:rPr>
          <w:rFonts w:ascii="Times New Roman;sans-serif" w:hAnsi="Times New Roman;sans-serif"/>
          <w:b w:val="false"/>
          <w:color w:val="030303"/>
          <w:sz w:val="24"/>
        </w:rPr>
        <w:t>by an instrument in writing executed by Buyer and Seller.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101010"/>
          <w:sz w:val="24"/>
          <w:u w:val="single"/>
        </w:rPr>
        <w:t>Governing Law; Venue</w:t>
      </w:r>
      <w:r>
        <w:rPr>
          <w:rFonts w:ascii="Times New Roman;sans-serif" w:hAnsi="Times New Roman;sans-serif"/>
          <w:b w:val="false"/>
          <w:color w:val="101010"/>
          <w:sz w:val="24"/>
        </w:rPr>
        <w:t>. This Agreement shall be construed in accordance with and governed by the laws of the State of Arizona as applied to agreements among Arizona residents entered into and to be performed entirely within Arizona, without application of any conflicts of laws. Each party to this Agreement consents to the jurisdiction over it of the courts of the State of Arizona in the City of Phoenix.</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101010"/>
          <w:sz w:val="24"/>
          <w:u w:val="single"/>
        </w:rPr>
        <w:t>Notices</w:t>
      </w:r>
      <w:r>
        <w:rPr>
          <w:rFonts w:ascii="Times New Roman;sans-serif" w:hAnsi="Times New Roman;sans-serif"/>
          <w:b w:val="false"/>
          <w:color w:val="101010"/>
          <w:sz w:val="24"/>
        </w:rPr>
        <w:t>. All notices or other communications required or permitted under this Agreement shall be in writing and may be given by depositing the same in the United States mail, addressed to the party to be notified, postage prepaid and registered or certified with return receipt requested, by overnight courier or by delivering the same in person to such party. Notice shall be deemed given and effective the day personally delivered, the day after being sent by overnight courier, subject to signature verification, and three (3) business days after the deposit in the United States mail of a writing addressed and sent as provided below or when actually received, if earlier. Any party may change the address for notice by notifying the other parties of such change in accordance with this Section. Such notice shall be addressed as follows: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to Buyer, addressed to it at:</w:t>
      </w:r>
    </w:p>
    <w:p>
      <w:pPr>
        <w:pStyle w:val="TextBody"/>
        <w:bidi w:val="0"/>
        <w:spacing w:lineRule="auto" w:line="240" w:before="0" w:after="240"/>
        <w:jc w:val="both"/>
        <w:rPr/>
      </w:pPr>
      <w:r>
        <w:rPr>
          <w:rFonts w:ascii="Times New Roman;sans-serif" w:hAnsi="Times New Roman;sans-serif"/>
          <w:b w:val="false"/>
          <w:color w:val="000000"/>
          <w:sz w:val="24"/>
        </w:rPr>
        <w:t>OPAL Fuels LLC</w:t>
        <w:br/>
      </w:r>
      <w:r>
        <w:rPr>
          <w:rFonts w:ascii="Times New Roman;sans-serif" w:hAnsi="Times New Roman;sans-serif"/>
          <w:b w:val="false"/>
          <w:color w:val="070707"/>
          <w:sz w:val="24"/>
        </w:rPr>
        <w:t>One North Lexington Ave., Suite 1450</w:t>
        <w:br/>
        <w:t>White Plains, New York 10601</w:t>
      </w:r>
    </w:p>
    <w:p>
      <w:pPr>
        <w:pStyle w:val="TextBody"/>
        <w:bidi w:val="0"/>
        <w:spacing w:lineRule="auto" w:line="240" w:before="0" w:after="240"/>
        <w:jc w:val="both"/>
        <w:rPr/>
      </w:pPr>
      <w:r>
        <w:rPr>
          <w:rFonts w:ascii="Times New Roman;sans-serif" w:hAnsi="Times New Roman;sans-serif"/>
          <w:b w:val="false"/>
          <w:color w:val="040404"/>
          <w:sz w:val="24"/>
        </w:rPr>
        <w:t>with a copy to:</w:t>
        <w:br/>
      </w:r>
      <w:r>
        <w:rPr>
          <w:rFonts w:ascii="Times New Roman;sans-serif" w:hAnsi="Times New Roman;sans-serif"/>
          <w:b w:val="false"/>
          <w:color w:val="090909"/>
          <w:sz w:val="24"/>
        </w:rPr>
        <w:t xml:space="preserve">OPAL Fuels LLC </w:t>
        <w:br/>
        <w:t>5087 Junction Road</w:t>
        <w:br/>
        <w:t xml:space="preserve">Lockport, NY 14094 </w:t>
        <w:br/>
        <w:t>Attn: General Counsel</w:t>
        <w:br/>
        <w:t xml:space="preserve">E-mail: noticeofficer@opalfuels.com </w:t>
      </w:r>
    </w:p>
    <w:p>
      <w:pPr>
        <w:pStyle w:val="TextBody"/>
        <w:bidi w:val="0"/>
        <w:spacing w:lineRule="auto" w:line="240" w:before="0" w:after="240"/>
        <w:jc w:val="both"/>
        <w:rPr/>
      </w:pPr>
      <w:r>
        <w:rPr>
          <w:rFonts w:ascii="Times New Roman;sans-serif" w:hAnsi="Times New Roman;sans-serif"/>
          <w:b w:val="false"/>
          <w:color w:val="090909"/>
          <w:sz w:val="24"/>
        </w:rPr>
        <w:t xml:space="preserve">If </w:t>
      </w:r>
      <w:r>
        <w:rPr>
          <w:rFonts w:ascii="Times New Roman;sans-serif" w:hAnsi="Times New Roman;sans-serif"/>
          <w:b w:val="false"/>
          <w:color w:val="000000"/>
          <w:sz w:val="24"/>
        </w:rPr>
        <w:t>to</w:t>
      </w:r>
      <w:r>
        <w:rPr>
          <w:color w:val="090909"/>
        </w:rPr>
        <w:t xml:space="preserve"> </w:t>
      </w:r>
      <w:r>
        <w:rPr>
          <w:rFonts w:ascii="Times New Roman;sans-serif" w:hAnsi="Times New Roman;sans-serif"/>
          <w:b w:val="false"/>
          <w:color w:val="090909"/>
          <w:sz w:val="24"/>
        </w:rPr>
        <w:t>Seller, addressed to it at:</w:t>
      </w:r>
    </w:p>
    <w:p>
      <w:pPr>
        <w:pStyle w:val="TextBody"/>
        <w:bidi w:val="0"/>
        <w:spacing w:lineRule="auto" w:line="240" w:before="0" w:after="240"/>
        <w:jc w:val="both"/>
        <w:rPr>
          <w:rFonts w:ascii="Times New Roman;sans-serif" w:hAnsi="Times New Roman;sans-serif"/>
          <w:b w:val="false"/>
          <w:color w:val="090909"/>
          <w:sz w:val="24"/>
        </w:rPr>
      </w:pPr>
      <w:r>
        <w:rPr>
          <w:rFonts w:ascii="Times New Roman;sans-serif" w:hAnsi="Times New Roman;sans-serif"/>
          <w:b w:val="false"/>
          <w:color w:val="090909"/>
          <w:sz w:val="24"/>
        </w:rPr>
        <w:t>[***]</w:t>
      </w:r>
    </w:p>
    <w:p>
      <w:pPr>
        <w:pStyle w:val="TextBody"/>
        <w:bidi w:val="0"/>
        <w:spacing w:lineRule="auto" w:line="240" w:before="0" w:after="240"/>
        <w:jc w:val="both"/>
        <w:rPr>
          <w:rFonts w:ascii="Times New Roman;sans-serif" w:hAnsi="Times New Roman;sans-serif"/>
          <w:b w:val="false"/>
          <w:color w:val="070707"/>
          <w:sz w:val="24"/>
        </w:rPr>
      </w:pPr>
      <w:r>
        <w:rPr>
          <w:rFonts w:ascii="Times New Roman;sans-serif" w:hAnsi="Times New Roman;sans-serif"/>
          <w:b w:val="false"/>
          <w:color w:val="070707"/>
          <w:sz w:val="24"/>
        </w:rPr>
        <w:t>with copies to:</w:t>
      </w:r>
    </w:p>
    <w:p>
      <w:pPr>
        <w:pStyle w:val="TextBody"/>
        <w:bidi w:val="0"/>
        <w:spacing w:lineRule="auto" w:line="240" w:before="0" w:after="240"/>
        <w:jc w:val="both"/>
        <w:rPr>
          <w:rFonts w:ascii="Times New Roman;sans-serif" w:hAnsi="Times New Roman;sans-serif"/>
          <w:b w:val="false"/>
          <w:color w:val="080808"/>
          <w:sz w:val="24"/>
        </w:rPr>
      </w:pPr>
      <w:r>
        <w:rPr>
          <w:rFonts w:ascii="Times New Roman;sans-serif" w:hAnsi="Times New Roman;sans-serif"/>
          <w:b w:val="false"/>
          <w:color w:val="080808"/>
          <w:sz w:val="24"/>
        </w:rPr>
        <w:t>[***]</w:t>
      </w:r>
    </w:p>
    <w:p>
      <w:pPr>
        <w:pStyle w:val="TextBody"/>
        <w:bidi w:val="0"/>
        <w:spacing w:lineRule="auto" w:line="240" w:before="0" w:after="240"/>
        <w:jc w:val="both"/>
        <w:rPr>
          <w:rFonts w:ascii="Times New Roman;sans-serif" w:hAnsi="Times New Roman;sans-serif"/>
          <w:b w:val="false"/>
          <w:color w:val="080808"/>
          <w:sz w:val="24"/>
        </w:rPr>
      </w:pPr>
      <w:r>
        <w:rPr>
          <w:rFonts w:ascii="Times New Roman;sans-serif" w:hAnsi="Times New Roman;sans-serif"/>
          <w:b w:val="false"/>
          <w:color w:val="080808"/>
          <w:sz w:val="24"/>
        </w:rPr>
        <w:t>and</w:t>
      </w:r>
    </w:p>
    <w:p>
      <w:pPr>
        <w:pStyle w:val="TextBody"/>
        <w:bidi w:val="0"/>
        <w:spacing w:lineRule="auto" w:line="240" w:before="0" w:after="240"/>
        <w:jc w:val="both"/>
        <w:rPr>
          <w:rFonts w:ascii="Times New Roman;sans-serif" w:hAnsi="Times New Roman;sans-serif"/>
          <w:b w:val="false"/>
          <w:color w:val="080808"/>
          <w:sz w:val="24"/>
        </w:rPr>
      </w:pPr>
      <w:r>
        <w:rPr>
          <w:rFonts w:ascii="Times New Roman;sans-serif" w:hAnsi="Times New Roman;sans-serif"/>
          <w:b w:val="false"/>
          <w:color w:val="080808"/>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37565"/>
                <wp:effectExtent l="0" t="0" r="0" b="0"/>
                <wp:wrapNone/>
                <wp:docPr id="88" name="Frame8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101010"/>
          <w:sz w:val="24"/>
          <w:u w:val="single"/>
        </w:rPr>
        <w:t>Headings</w:t>
      </w:r>
      <w:r>
        <w:rPr>
          <w:rFonts w:ascii="Times New Roman;sans-serif" w:hAnsi="Times New Roman;sans-serif"/>
          <w:b w:val="false"/>
          <w:color w:val="101010"/>
          <w:sz w:val="24"/>
        </w:rPr>
        <w:t>. Headings or captions herein are merely for convenience and are not a part of this Agreement and shall not in any way modify or affect the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101010"/>
          <w:sz w:val="24"/>
          <w:u w:val="single"/>
        </w:rPr>
        <w:t>Attorneys’ Fees</w:t>
      </w:r>
      <w:r>
        <w:rPr>
          <w:rFonts w:ascii="Times New Roman;sans-serif" w:hAnsi="Times New Roman;sans-serif"/>
          <w:b w:val="false"/>
          <w:color w:val="101010"/>
          <w:sz w:val="24"/>
        </w:rPr>
        <w:t>. In the event of any action at law or in equity between the parties arising from or in connection with this Agreement, the prevailing party shall be entitled, in addition to such other relief as may be granted, its reasonable attorneys’ fees, expert witness fees, litigation or arbitration related expenses, and court costs in such litigation or proceeding, to be fixed by the court, and the amount of such costs and expenses shall be added to the amount of such judgment. In the event any dispute is arbitrated, fees and costs referred to in this Section shall be awarded in the discretion of the arbitrator(s). For purposes of this Section, the term “</w:t>
      </w:r>
      <w:r>
        <w:rPr>
          <w:rFonts w:ascii="Times New Roman;sans-serif" w:hAnsi="Times New Roman;sans-serif"/>
          <w:b w:val="false"/>
          <w:color w:val="101010"/>
          <w:sz w:val="24"/>
          <w:u w:val="single"/>
        </w:rPr>
        <w:t>prevailing party</w:t>
      </w:r>
      <w:r>
        <w:rPr>
          <w:color w:val="101010"/>
        </w:rPr>
        <w:t xml:space="preserve">” </w:t>
      </w:r>
      <w:r>
        <w:rPr>
          <w:rFonts w:ascii="Times New Roman;sans-serif" w:hAnsi="Times New Roman;sans-serif"/>
          <w:b w:val="false"/>
          <w:color w:val="101010"/>
          <w:sz w:val="24"/>
        </w:rPr>
        <w:t>means the net winner of the dispute, taking into account the claims pursued, the claims on which the pursuing party was successful, the amount of money sought, the amount of money awarded, and offsets or counterclaims pursued (successfully or unsuccessfully) by the other party. If a written settlement offer is rejected and the judgment or award finally obtained is equal to or more favorable to the offeror than an offer made in writing to settle, the offeror is deemed to be the successful party from the date of the offer forward.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101010"/>
          <w:sz w:val="24"/>
          <w:u w:val="single"/>
        </w:rPr>
        <w:t>No Waiver</w:t>
      </w:r>
      <w:r>
        <w:rPr>
          <w:rFonts w:ascii="Times New Roman;sans-serif" w:hAnsi="Times New Roman;sans-serif"/>
          <w:b w:val="false"/>
          <w:color w:val="101010"/>
          <w:sz w:val="24"/>
        </w:rPr>
        <w:t>. No delay or omission to exercise any right or power shall be construed to be a waiver of any default or acquiescence therein or a waiver of any right or power, and every such right and power may be exercised from time to time and as often as may be deemed expedient. Either party’s acceptance of any performance due hereunder that does not comply strictly with the terms hereof shall not be deemed to be waiver of any right of such party to strict performance by the other party. Acceptance of past due amounts or partial payments shall not constitute a waiver of full and timely payment of any sums due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101010"/>
          <w:sz w:val="24"/>
          <w:u w:val="single"/>
        </w:rPr>
        <w:t>Electronic Signatures; Counterparts</w:t>
      </w:r>
      <w:r>
        <w:rPr>
          <w:rFonts w:ascii="Times New Roman;sans-serif" w:hAnsi="Times New Roman;sans-serif"/>
          <w:b w:val="false"/>
          <w:color w:val="101010"/>
          <w:sz w:val="24"/>
        </w:rPr>
        <w:t>. Electronic signatures (including .pdf) of the parties hereto shall be acceptable for all purposes. This Agreement may be executed in two or more originals, electronic counterparts, each of which shall be deemed an original and all of which together shall constitute but one and the same instrument.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101010"/>
          <w:sz w:val="24"/>
          <w:u w:val="single"/>
        </w:rPr>
        <w:t>Severability</w:t>
      </w:r>
      <w:r>
        <w:rPr>
          <w:rFonts w:ascii="Times New Roman;sans-serif" w:hAnsi="Times New Roman;sans-serif"/>
          <w:b w:val="false"/>
          <w:color w:val="101010"/>
          <w:sz w:val="24"/>
        </w:rPr>
        <w:t>. If any term or provision of this Agreement should be held invalid or unenforceable, the parties to this Agreement shall endeavor to replace such invalid terms or provisions by valid terms and provisions that correspond to the best of their original economic and general intentions. The invalidity or unenforceability of any term or provision hereof shall not be deemed to render the other terms or provisions hereof invalid or unenforceable.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101010"/>
          <w:sz w:val="24"/>
          <w:u w:val="single"/>
        </w:rPr>
        <w:t>Entire Agreement</w:t>
      </w:r>
      <w:r>
        <w:rPr>
          <w:rFonts w:ascii="Times New Roman;sans-serif" w:hAnsi="Times New Roman;sans-serif"/>
          <w:b w:val="false"/>
          <w:color w:val="101010"/>
          <w:sz w:val="24"/>
        </w:rPr>
        <w:t xml:space="preserve">. This Agreement and the Site Lease are expressly acknowledged to constitute the entire agreement between Buyer and Seller relating to the subject matter hereof and to supersede all prior written and oral agreements and understandings and all contemporaneous oral representations or warranties in connection therewith; </w:t>
      </w:r>
      <w:r>
        <w:rPr>
          <w:rFonts w:ascii="Times New Roman;sans-serif" w:hAnsi="Times New Roman;sans-serif"/>
          <w:b w:val="false"/>
          <w:color w:val="101010"/>
          <w:sz w:val="24"/>
          <w:u w:val="single"/>
        </w:rPr>
        <w:t>provided</w:t>
      </w:r>
      <w:r>
        <w:rPr>
          <w:rFonts w:ascii="Times New Roman;sans-serif" w:hAnsi="Times New Roman;sans-serif"/>
          <w:b w:val="false"/>
          <w:color w:val="101010"/>
          <w:sz w:val="24"/>
        </w:rPr>
        <w:t xml:space="preserve">, </w:t>
      </w:r>
      <w:r>
        <w:rPr>
          <w:rFonts w:ascii="Times New Roman;sans-serif" w:hAnsi="Times New Roman;sans-serif"/>
          <w:b w:val="false"/>
          <w:color w:val="101010"/>
          <w:sz w:val="24"/>
          <w:u w:val="single"/>
        </w:rPr>
        <w:t>however</w:t>
      </w:r>
      <w:r>
        <w:rPr>
          <w:rFonts w:ascii="Times New Roman;sans-serif" w:hAnsi="Times New Roman;sans-serif"/>
          <w:b w:val="false"/>
          <w:color w:val="101010"/>
          <w:sz w:val="24"/>
        </w:rPr>
        <w:t>, and notwithstanding anything to the contrary set forth in this Agreement or the Site Lease, each of the parties hereto shall remain responsible and liable for any breach or default occurring prior to the Effective Date under the Second Amended and Restated GSPA and the Second Amended and Restated Site Lease. Neither Buyer nor Seller have made and do not make any representations or warranties, expressed or implied, except as herein specifically set forth, and Buyer and Seller hereby expressly acknowledge that no such representations or warranties have been made by the other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1.10</w:t>
      </w:r>
      <w:r>
        <w:rPr>
          <w:rFonts w:ascii="Times New Roman;sans-serif" w:hAnsi="Times New Roman;sans-serif"/>
          <w:b w:val="false"/>
          <w:color w:val="101010"/>
          <w:sz w:val="24"/>
          <w:u w:val="single"/>
        </w:rPr>
        <w:t>Compliance with Laws</w:t>
      </w:r>
      <w:r>
        <w:rPr>
          <w:rFonts w:ascii="Times New Roman;sans-serif" w:hAnsi="Times New Roman;sans-serif"/>
          <w:b w:val="false"/>
          <w:color w:val="101010"/>
          <w:sz w:val="24"/>
        </w:rPr>
        <w:t>. Each party to this Agreement shall comply with any and all Applicable Laws that affect such party’s duties, obligations and performance pursuant to this Agreement. Seller and Buyer shall timely make any necessary regulatory filings and make copies of such filings available to the other party.</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37565"/>
                <wp:effectExtent l="0" t="0" r="0" b="0"/>
                <wp:wrapNone/>
                <wp:docPr id="89" name="Frame8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101010"/>
          <w:sz w:val="24"/>
          <w:u w:val="single"/>
        </w:rPr>
        <w:t>Successors and Assigns</w:t>
      </w:r>
      <w:r>
        <w:rPr>
          <w:rFonts w:ascii="Times New Roman;sans-serif" w:hAnsi="Times New Roman;sans-serif"/>
          <w:b w:val="false"/>
          <w:color w:val="10101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70707"/>
          <w:sz w:val="24"/>
          <w:u w:val="single"/>
        </w:rPr>
        <w:t>In General</w:t>
      </w:r>
      <w:r>
        <w:rPr>
          <w:rFonts w:ascii="Times New Roman;sans-serif" w:hAnsi="Times New Roman;sans-serif"/>
          <w:b w:val="false"/>
          <w:color w:val="070707"/>
          <w:sz w:val="24"/>
        </w:rPr>
        <w:t xml:space="preserve">. This Agreement and all of the terms, conditions and </w:t>
      </w:r>
      <w:r>
        <w:rPr>
          <w:rFonts w:ascii="Times New Roman;sans-serif" w:hAnsi="Times New Roman;sans-serif"/>
          <w:b w:val="false"/>
          <w:color w:val="000000"/>
          <w:sz w:val="24"/>
        </w:rPr>
        <w:t xml:space="preserve">limitations contained herein shall be binding upon and inure to the benefit of the parties hereto and their respective successors and permitted assigns;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except as otherwise provided herein, neither party hereto shall assign this Agreement, nor any interest, rights or obligations herein without first obtaining the written consent of the other party hereto, which consent shall not be unreasonably withheld or delayed; provided that Seller may assign all of its rights, duties and obligations hereunder to a third party purchaser of (i) the Landfill, (ii) Seller, or (iii) substantially all of the assets of Seller without the consent of Buyer (provided that with respect to (i) and (iii) any such purchaser agrees in a writing in form and substance reasonably satisfactory to Buyer to assume all of Seller’s duties and obligations hereunder). Notwithstanding anything herein to the contrary, and in no way limiting the foregoing, Buyer acknowledges and agrees that Seller’s refusal to consent to a proposed assignment by Buyer shall not be deemed unreasonable if, among other things: (W) Seller, or any of its Affiliates, has a significant or material history of litigation or disputes involving the proposed assignee or any of its Affiliates; (X) the proposed assignee is, or is an Affiliate of, a competitor of Seller, its parent company or Affiliates, in the waste disposal or waste hauling business; (Y) the proposed assignee is not considered creditworthy by Seller in its reasonable judgment, which, at a minimum, means having financial </w:t>
      </w:r>
      <w:r>
        <w:rPr>
          <w:rFonts w:ascii="Times New Roman;sans-serif" w:hAnsi="Times New Roman;sans-serif"/>
          <w:b w:val="false"/>
          <w:color w:val="050505"/>
          <w:sz w:val="24"/>
        </w:rPr>
        <w:t xml:space="preserve">capability that is not less than the financial capability of Buyer as of the Effective Date of this Agreement; or (Z) the proposed assignee does not, in Seller’s reasonable judgment, have the requisite technical experience relating to the assumption of Buyer’s obligations hereunder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Prohibited</w:t>
      </w:r>
      <w:r>
        <w:rPr>
          <w:color w:val="000000"/>
        </w:rPr>
        <w:t xml:space="preserve">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50505"/>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 xml:space="preserve">Collateral </w:t>
      </w:r>
      <w:r>
        <w:rPr>
          <w:rFonts w:ascii="Times New Roman;sans-serif" w:hAnsi="Times New Roman;sans-serif"/>
          <w:b w:val="false"/>
          <w:color w:val="040404"/>
          <w:sz w:val="24"/>
          <w:u w:val="single"/>
        </w:rPr>
        <w:t>Assignment</w:t>
      </w:r>
      <w:r>
        <w:rPr>
          <w:rFonts w:ascii="Times New Roman;sans-serif" w:hAnsi="Times New Roman;sans-serif"/>
          <w:b w:val="false"/>
          <w:color w:val="040404"/>
          <w:sz w:val="24"/>
        </w:rPr>
        <w:t xml:space="preserve">. Notwithstanding anything to the contrary set forth in this Agreement, </w:t>
      </w:r>
      <w:r>
        <w:rPr>
          <w:rFonts w:ascii="Times New Roman;sans-serif" w:hAnsi="Times New Roman;sans-serif"/>
          <w:b w:val="false"/>
          <w:color w:val="000000"/>
          <w:sz w:val="24"/>
        </w:rPr>
        <w:t>Buyer may not assign this Agreement as collateral for financing from one or more lenders, or any security agent of such lender(s) without the prior written consent of Seller, such consent to be in Seller’s sole discretion.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90909"/>
          <w:sz w:val="24"/>
          <w:u w:val="single"/>
        </w:rPr>
        <w:t>Assignment to Affiliate of Buyer</w:t>
      </w:r>
      <w:r>
        <w:rPr>
          <w:rFonts w:ascii="Times New Roman;sans-serif" w:hAnsi="Times New Roman;sans-serif"/>
          <w:b w:val="false"/>
          <w:color w:val="090909"/>
          <w:sz w:val="24"/>
        </w:rPr>
        <w:t xml:space="preserve">. Notwithstanding the foregoing, Buyer </w:t>
      </w:r>
      <w:r>
        <w:rPr>
          <w:rFonts w:ascii="Times New Roman;sans-serif" w:hAnsi="Times New Roman;sans-serif"/>
          <w:b w:val="false"/>
          <w:color w:val="000000"/>
          <w:sz w:val="24"/>
        </w:rPr>
        <w:t>may assign this Agreement to an Affiliate of Buyer, without the consent of Seller as long as (i) the Affiliate/assignee is not a Prohibited Transferee</w:t>
      </w:r>
      <w:r>
        <w:rPr>
          <w:rFonts w:ascii="Times New Roman;sans-serif" w:hAnsi="Times New Roman;sans-serif"/>
          <w:b w:val="false"/>
          <w:color w:val="050505"/>
          <w:sz w:val="24"/>
        </w:rPr>
        <w:t xml:space="preserve">, and </w:t>
      </w:r>
      <w:r>
        <w:rPr>
          <w:rFonts w:ascii="Times New Roman;sans-serif" w:hAnsi="Times New Roman;sans-serif"/>
          <w:b w:val="false"/>
          <w:color w:val="000000"/>
          <w:sz w:val="24"/>
        </w:rPr>
        <w:t xml:space="preserve">(ii) Buyer guarantees the performance hereunder of any such Affiliate/assignee;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if at any time an Affiliate/assignee no longer qualifies as an Affiliate of Buyer, </w:t>
      </w:r>
      <w:r>
        <w:rPr>
          <w:rFonts w:ascii="Times New Roman;sans-serif" w:hAnsi="Times New Roman;sans-serif"/>
          <w:b w:val="false"/>
          <w:color w:val="050505"/>
          <w:sz w:val="24"/>
        </w:rPr>
        <w:t xml:space="preserve">the provisions of this </w:t>
      </w:r>
      <w:r>
        <w:rPr>
          <w:rFonts w:ascii="Times New Roman;sans-serif" w:hAnsi="Times New Roman;sans-serif"/>
          <w:b w:val="false"/>
          <w:color w:val="050505"/>
          <w:sz w:val="24"/>
          <w:u w:val="single"/>
        </w:rPr>
        <w:t>Section 12.11</w:t>
      </w:r>
      <w:r>
        <w:rPr>
          <w:color w:val="050505"/>
        </w:rPr>
        <w:t xml:space="preserve"> </w:t>
      </w:r>
      <w:r>
        <w:rPr>
          <w:rFonts w:ascii="Times New Roman;sans-serif" w:hAnsi="Times New Roman;sans-serif"/>
          <w:b w:val="false"/>
          <w:color w:val="050505"/>
          <w:sz w:val="24"/>
        </w:rPr>
        <w:t>shall apply</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90909"/>
          <w:sz w:val="24"/>
          <w:u w:val="single"/>
        </w:rPr>
        <w:t xml:space="preserve">Change </w:t>
      </w:r>
      <w:r>
        <w:rPr>
          <w:rFonts w:ascii="Times New Roman;sans-serif" w:hAnsi="Times New Roman;sans-serif"/>
          <w:b w:val="false"/>
          <w:color w:val="000000"/>
          <w:sz w:val="24"/>
          <w:u w:val="single"/>
        </w:rPr>
        <w:t>of Control</w:t>
      </w:r>
      <w:r>
        <w:rPr>
          <w:rFonts w:ascii="Times New Roman;sans-serif" w:hAnsi="Times New Roman;sans-serif"/>
          <w:b w:val="false"/>
          <w:color w:val="000000"/>
          <w:sz w:val="24"/>
        </w:rPr>
        <w:t xml:space="preserve">. For purposes of this Agreement and except as provided in the immediately following sentence, a change in direct or indirect </w:t>
      </w:r>
      <w:r>
        <w:rPr>
          <w:rFonts w:ascii="Times New Roman;sans-serif" w:hAnsi="Times New Roman;sans-serif"/>
          <w:b w:val="false"/>
          <w:color w:val="050505"/>
          <w:sz w:val="24"/>
        </w:rPr>
        <w:t xml:space="preserve">control of Buyer shall be deemed to be an assignment of Buyer’s rights and obligations under this Agreement and subject to the provisions of this </w:t>
      </w:r>
      <w:r>
        <w:rPr>
          <w:rFonts w:ascii="Times New Roman;sans-serif" w:hAnsi="Times New Roman;sans-serif"/>
          <w:b w:val="false"/>
          <w:color w:val="050505"/>
          <w:sz w:val="24"/>
          <w:u w:val="single"/>
        </w:rPr>
        <w:t>Section 12.11</w:t>
      </w:r>
      <w:r>
        <w:rPr>
          <w:color w:val="050505"/>
        </w:rPr>
        <w:t xml:space="preserve"> </w:t>
      </w:r>
      <w:r>
        <w:rPr>
          <w:rFonts w:ascii="Times New Roman;sans-serif" w:hAnsi="Times New Roman;sans-serif"/>
          <w:b w:val="false"/>
          <w:color w:val="050505"/>
          <w:sz w:val="24"/>
        </w:rPr>
        <w:t>(a “</w:t>
      </w:r>
      <w:r>
        <w:rPr>
          <w:rFonts w:ascii="Times New Roman;sans-serif" w:hAnsi="Times New Roman;sans-serif"/>
          <w:b w:val="false"/>
          <w:color w:val="050505"/>
          <w:sz w:val="24"/>
          <w:u w:val="single"/>
        </w:rPr>
        <w:t>Deemed Assignment</w:t>
      </w:r>
      <w:r>
        <w:rPr>
          <w:color w:val="050505"/>
        </w:rPr>
        <w:t>”</w:t>
      </w:r>
      <w:r>
        <w:rPr>
          <w:rFonts w:ascii="Times New Roman;sans-serif" w:hAnsi="Times New Roman;sans-serif"/>
          <w:b w:val="false"/>
          <w:color w:val="050505"/>
          <w:sz w:val="24"/>
        </w:rPr>
        <w:t>), except where such Deemed Assignment is to (i) an Affiliate of Buyer that is not a Prohibited Transferee, or (ii) a financial institution exercising its rights with respect to equity interests of Buyer or one or more of its Affiliates pursuant to a security agreement and such financial institution is not a Prohibited Transferee (provided that any subsequent a</w:t>
      </w:r>
      <w:r>
        <w:rPr>
          <w:rFonts w:ascii="Times New Roman;sans-serif" w:hAnsi="Times New Roman;sans-serif"/>
          <w:b w:val="false"/>
          <w:color w:val="080808"/>
          <w:sz w:val="24"/>
        </w:rPr>
        <w:t xml:space="preserve">ssignment of this Agreement, or any interest, rights or obligations herein, caused by such financial institution or any subsequent </w:t>
      </w:r>
      <w:r>
        <w:rPr>
          <w:rFonts w:ascii="Times New Roman;sans-serif" w:hAnsi="Times New Roman;sans-serif"/>
          <w:b w:val="false"/>
          <w:color w:val="000000"/>
          <w:sz w:val="24"/>
        </w:rPr>
        <w:t xml:space="preserve">change in direct or indirect </w:t>
      </w:r>
      <w:r>
        <w:rPr>
          <w:rFonts w:ascii="Times New Roman;sans-serif" w:hAnsi="Times New Roman;sans-serif"/>
          <w:b w:val="false"/>
          <w:color w:val="050505"/>
          <w:sz w:val="24"/>
        </w:rPr>
        <w:t xml:space="preserve">control of Buyer caused </w:t>
      </w:r>
      <w:r>
        <w:rPr>
          <w:rFonts w:ascii="Times New Roman;sans-serif" w:hAnsi="Times New Roman;sans-serif"/>
          <w:b w:val="false"/>
          <w:color w:val="080808"/>
          <w:sz w:val="24"/>
        </w:rPr>
        <w:t xml:space="preserve">by such financial institution, </w:t>
      </w:r>
      <w:r>
        <w:rPr>
          <w:rFonts w:ascii="Times New Roman;sans-serif" w:hAnsi="Times New Roman;sans-serif"/>
          <w:b w:val="false"/>
          <w:color w:val="050505"/>
          <w:sz w:val="24"/>
        </w:rPr>
        <w:t xml:space="preserve">shall each be deemed to be an assignment of Buyer’s rights and obligations and subject to the provisions of this </w:t>
      </w:r>
      <w:r>
        <w:rPr>
          <w:rFonts w:ascii="Times New Roman;sans-serif" w:hAnsi="Times New Roman;sans-serif"/>
          <w:b w:val="false"/>
          <w:color w:val="050505"/>
          <w:sz w:val="24"/>
          <w:u w:val="single"/>
        </w:rPr>
        <w:t>Section 12.11</w:t>
      </w:r>
      <w:r>
        <w:rPr>
          <w:rFonts w:ascii="Times New Roman;sans-serif" w:hAnsi="Times New Roman;sans-serif"/>
          <w:b w:val="false"/>
          <w:color w:val="050505"/>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50505"/>
          <w:sz w:val="24"/>
        </w:rPr>
        <w:t xml:space="preserve">For further clarity and the avoidance of doubt, (i) </w:t>
      </w:r>
      <w:r>
        <w:rPr>
          <w:rFonts w:ascii="Times New Roman;sans-serif" w:hAnsi="Times New Roman;sans-serif"/>
          <w:b w:val="false"/>
          <w:color w:val="000000"/>
          <w:sz w:val="24"/>
        </w:rPr>
        <w:t xml:space="preserve">the assignment, sale or transfer of the equity of any entity holding ownership interests of Buyer shall </w:t>
      </w:r>
      <w:r>
        <w:rPr>
          <w:rFonts w:ascii="Times New Roman;sans-serif" w:hAnsi="Times New Roman;sans-serif"/>
          <w:b w:val="false"/>
          <w:color w:val="050505"/>
          <w:sz w:val="24"/>
        </w:rPr>
        <w:t xml:space="preserve">constitute a Deemed Assignment and shall </w:t>
      </w:r>
      <w:r>
        <w:rPr>
          <w:rFonts w:ascii="Times New Roman;sans-serif" w:hAnsi="Times New Roman;sans-serif"/>
          <w:b w:val="false"/>
          <w:color w:val="000000"/>
          <w:sz w:val="24"/>
        </w:rPr>
        <w:t xml:space="preserve">be subject to the provisions of this </w:t>
      </w:r>
      <w:r>
        <w:rPr>
          <w:rFonts w:ascii="Times New Roman;sans-serif" w:hAnsi="Times New Roman;sans-serif"/>
          <w:b w:val="false"/>
          <w:color w:val="000000"/>
          <w:sz w:val="24"/>
          <w:u w:val="single"/>
        </w:rPr>
        <w:t>Section 12.11</w:t>
      </w:r>
      <w:r>
        <w:rPr>
          <w:rFonts w:ascii="Times New Roman;sans-serif" w:hAnsi="Times New Roman;sans-serif"/>
          <w:b w:val="false"/>
          <w:color w:val="050505"/>
          <w:sz w:val="24"/>
        </w:rPr>
        <w:t xml:space="preserve">, and (ii) the assignment, sale or transfer of the equity of any entity that is publicly traded on a stock exchange in the United States or Europe and that indirectly holds ownership interests in Buyer through one or more subsidiaries, shall not constitute a Deemed Assignment and shall not be subject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37565"/>
                <wp:effectExtent l="0" t="0" r="0" b="0"/>
                <wp:wrapNone/>
                <wp:docPr id="90" name="Frame9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50505"/>
          <w:sz w:val="24"/>
        </w:rPr>
        <w:t xml:space="preserve">provisions of this </w:t>
      </w:r>
      <w:r>
        <w:rPr>
          <w:rFonts w:ascii="Times New Roman;sans-serif" w:hAnsi="Times New Roman;sans-serif"/>
          <w:b w:val="false"/>
          <w:color w:val="050505"/>
          <w:sz w:val="24"/>
          <w:u w:val="single"/>
        </w:rPr>
        <w:t>Section 12.11</w:t>
      </w:r>
      <w:r>
        <w:rPr>
          <w:rFonts w:ascii="Times New Roman;sans-serif" w:hAnsi="Times New Roman;sans-serif"/>
          <w:b w:val="false"/>
          <w:color w:val="050505"/>
          <w:sz w:val="24"/>
        </w:rPr>
        <w:t xml:space="preserve">; </w:t>
      </w:r>
      <w:r>
        <w:rPr>
          <w:rFonts w:ascii="Times New Roman;sans-serif" w:hAnsi="Times New Roman;sans-serif"/>
          <w:b w:val="false"/>
          <w:color w:val="050505"/>
          <w:sz w:val="24"/>
          <w:u w:val="single"/>
        </w:rPr>
        <w:t>provided</w:t>
      </w:r>
      <w:r>
        <w:rPr>
          <w:rFonts w:ascii="Times New Roman;sans-serif" w:hAnsi="Times New Roman;sans-serif"/>
          <w:b w:val="false"/>
          <w:color w:val="050505"/>
          <w:sz w:val="24"/>
        </w:rPr>
        <w:t xml:space="preserve">, </w:t>
      </w:r>
      <w:r>
        <w:rPr>
          <w:rFonts w:ascii="Times New Roman;sans-serif" w:hAnsi="Times New Roman;sans-serif"/>
          <w:b w:val="false"/>
          <w:color w:val="050505"/>
          <w:sz w:val="24"/>
          <w:u w:val="single"/>
        </w:rPr>
        <w:t>however</w:t>
      </w:r>
      <w:r>
        <w:rPr>
          <w:rFonts w:ascii="Times New Roman;sans-serif" w:hAnsi="Times New Roman;sans-serif"/>
          <w:b w:val="false"/>
          <w:color w:val="050505"/>
          <w:sz w:val="24"/>
        </w:rPr>
        <w:t>, that within fifteen (15) business days of any request by Seller, Buyer shall provide reasonable evidence of OPAL Fuels LLC or an Affiliate of OPAL Fuels LLC possession of the power to direct or cause the direction of day-to-day management and policies of the Buyer, such as a copy of a management services agreement, operating agreement or similar documentation between Buyer or a Buyer Affiliate concerning the Facility. In submitting such information, Buyer may redact any information that is confidential to other party or parties to such agreements.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101010"/>
          <w:sz w:val="24"/>
          <w:u w:val="single"/>
        </w:rPr>
        <w:t>Interpretation</w:t>
      </w:r>
      <w:r>
        <w:rPr>
          <w:rFonts w:ascii="Times New Roman;sans-serif" w:hAnsi="Times New Roman;sans-serif"/>
          <w:b w:val="false"/>
          <w:color w:val="101010"/>
          <w:sz w:val="24"/>
        </w:rPr>
        <w:t>. The terms and provisions are not to be construed more liberally in favor of, nor more strictly against, either party. To the extent the mutual covenants of the parties under this Agreement create obligations that extend beyond the termination or expiration of this Agreement, the applicable provisions of this Agreement shall be deemed to survive such termination or expiration for the limited purpose of enforcing such covenants and obligations in accordance with the terms of this Agreement. All schedules and exhibits attached hereto are incorporated herein by this reference.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1.13</w:t>
      </w:r>
      <w:r>
        <w:rPr>
          <w:rFonts w:ascii="Times New Roman;sans-serif" w:hAnsi="Times New Roman;sans-serif"/>
          <w:b w:val="false"/>
          <w:color w:val="101010"/>
          <w:sz w:val="24"/>
          <w:u w:val="single"/>
        </w:rPr>
        <w:t>Further Assurances</w:t>
      </w:r>
      <w:r>
        <w:rPr>
          <w:rFonts w:ascii="Times New Roman;sans-serif" w:hAnsi="Times New Roman;sans-serif"/>
          <w:b w:val="false"/>
          <w:color w:val="101010"/>
          <w:sz w:val="24"/>
        </w:rPr>
        <w:t>. The parties shall perform all such acts (including, without limitation, executing and delivering instruments and documents) as reasonably may be necessary to fully effectuate the intent and each and all of the purposes of this Agreement, including consents to any assignments, transfers, subleases, or easements permitted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1.14</w:t>
      </w:r>
      <w:r>
        <w:rPr>
          <w:rFonts w:ascii="Times New Roman;sans-serif" w:hAnsi="Times New Roman;sans-serif"/>
          <w:b w:val="false"/>
          <w:color w:val="101010"/>
          <w:sz w:val="24"/>
          <w:u w:val="single"/>
        </w:rPr>
        <w:t>No Partnership</w:t>
      </w:r>
      <w:r>
        <w:rPr>
          <w:rFonts w:ascii="Times New Roman;sans-serif" w:hAnsi="Times New Roman;sans-serif"/>
          <w:b w:val="false"/>
          <w:color w:val="101010"/>
          <w:sz w:val="24"/>
        </w:rPr>
        <w:t>. Nothing contained in this Agreement shall be construed to create any association, trust, partnership, or joint venture or impose a trust or partnership, duty, obligation, or liability or an agency relationship on, or with regard to, either party. Neither party hereto shall have the right to bind or obligate the other in any way or manner unless otherwise provided for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1.15</w:t>
      </w:r>
      <w:r>
        <w:rPr>
          <w:rFonts w:ascii="Times New Roman;sans-serif" w:hAnsi="Times New Roman;sans-serif"/>
          <w:b w:val="false"/>
          <w:color w:val="101010"/>
          <w:sz w:val="24"/>
          <w:u w:val="single"/>
        </w:rPr>
        <w:t>Confidential Information</w:t>
      </w:r>
      <w:r>
        <w:rPr>
          <w:rFonts w:ascii="Times New Roman;sans-serif" w:hAnsi="Times New Roman;sans-serif"/>
          <w:b w:val="false"/>
          <w:color w:val="101010"/>
          <w:sz w:val="24"/>
        </w:rPr>
        <w:t>. Except as required by Applicable Law, neither party shall, without the prior written consent of the disclosing party, disclose (regardless of the form of disclosure) any Confidential Information (as hereinafter defined) to any third parties other than consultants, agents, representatives, actual or potential financiers, or employees of the receiving party (“</w:t>
      </w:r>
      <w:r>
        <w:rPr>
          <w:rFonts w:ascii="Times New Roman;sans-serif" w:hAnsi="Times New Roman;sans-serif"/>
          <w:b w:val="false"/>
          <w:color w:val="101010"/>
          <w:sz w:val="24"/>
          <w:u w:val="single"/>
        </w:rPr>
        <w:t>Recipients</w:t>
      </w:r>
      <w:r>
        <w:rPr>
          <w:color w:val="101010"/>
        </w:rPr>
        <w:t>”</w:t>
      </w:r>
      <w:r>
        <w:rPr>
          <w:rFonts w:ascii="Times New Roman;sans-serif" w:hAnsi="Times New Roman;sans-serif"/>
          <w:b w:val="false"/>
          <w:color w:val="101010"/>
          <w:sz w:val="24"/>
        </w:rPr>
        <w:t>) who (a) shall keep such Confidential Information confidential, and (b) need access to such Confidential Information to assist the receiving party in the exercise of its rights and the performance of its obligations under this Agreement. The receiving party shall notify any Recipients of the confidential nature of the Confidential Information, and the receiving party hereby agrees to be responsible for any breach of the terms of this Section by any Recipients of Confidential Information from the receiving party. “</w:t>
      </w:r>
      <w:r>
        <w:rPr>
          <w:rFonts w:ascii="Times New Roman;sans-serif" w:hAnsi="Times New Roman;sans-serif"/>
          <w:b w:val="false"/>
          <w:color w:val="101010"/>
          <w:sz w:val="24"/>
          <w:u w:val="single"/>
        </w:rPr>
        <w:t>Confidential Information</w:t>
      </w:r>
      <w:r>
        <w:rPr>
          <w:color w:val="101010"/>
        </w:rPr>
        <w:t xml:space="preserve">” </w:t>
      </w:r>
      <w:r>
        <w:rPr>
          <w:rFonts w:ascii="Times New Roman;sans-serif" w:hAnsi="Times New Roman;sans-serif"/>
          <w:b w:val="false"/>
          <w:color w:val="101010"/>
          <w:sz w:val="24"/>
        </w:rPr>
        <w:t xml:space="preserve">shall mean this Agreement and the terms and conditions hereof and all data developed or collected by one party and provided to the other party or its agents (i) in connection with the Landfill, Seller’s facilities and/or operation, or the Facility and/or operations, or (ii) as a result of any of the rights granted to, or obligations undertaken by, either party pursuant to this Agreement, whether or not designated as confidential, but shall not include information to the extent such information (1) is in the public domain at the time of disclosure, or (2) following disclosure, becomes generally known or available through no action or omission on the part of the receiving party, or (3) is known, or becomes known to the receiving party from a source other than the disclosing party or its representatives provided that disclosure by such source is not in breach of a confidentiality agreement with the disclosing party, or (4) is legally required to be disclosed by judicial or other governmental action; </w:t>
      </w:r>
      <w:r>
        <w:rPr>
          <w:rFonts w:ascii="Times New Roman;sans-serif" w:hAnsi="Times New Roman;sans-serif"/>
          <w:b w:val="false"/>
          <w:color w:val="101010"/>
          <w:sz w:val="24"/>
          <w:u w:val="single"/>
        </w:rPr>
        <w:t>provided</w:t>
      </w:r>
      <w:r>
        <w:rPr>
          <w:rFonts w:ascii="Times New Roman;sans-serif" w:hAnsi="Times New Roman;sans-serif"/>
          <w:b w:val="false"/>
          <w:color w:val="101010"/>
          <w:sz w:val="24"/>
        </w:rPr>
        <w:t xml:space="preserve">, </w:t>
      </w:r>
      <w:r>
        <w:rPr>
          <w:rFonts w:ascii="Times New Roman;sans-serif" w:hAnsi="Times New Roman;sans-serif"/>
          <w:b w:val="false"/>
          <w:color w:val="101010"/>
          <w:sz w:val="24"/>
          <w:u w:val="single"/>
        </w:rPr>
        <w:t>however</w:t>
      </w:r>
      <w:r>
        <w:rPr>
          <w:rFonts w:ascii="Times New Roman;sans-serif" w:hAnsi="Times New Roman;sans-serif"/>
          <w:b w:val="false"/>
          <w:color w:val="101010"/>
          <w:sz w:val="24"/>
        </w:rPr>
        <w:t xml:space="preserve">, that the receiving party shall make reasonable efforts to resist disclosure of such information, and further provided, that prompt notice of any judicial or other governmental action shall have been given to the disclosing party and that the disclosing party shall be afforded the opportunity (consistent with the legal obligations of the receiving party) to exhaust all reasonable legal remedies to maintain the Confidential Information in confidence. In no way limiting the foregoing, Buyer acknowledges and agrees that data collected or extrapolated by Buyer pursuant to its duties and obligations hereunder with respect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37565"/>
                <wp:effectExtent l="0" t="0" r="0" b="0"/>
                <wp:wrapNone/>
                <wp:docPr id="91" name="Frame9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101010"/>
          <w:sz w:val="24"/>
        </w:rPr>
      </w:pPr>
      <w:r>
        <w:rPr>
          <w:rFonts w:ascii="Times New Roman;sans-serif" w:hAnsi="Times New Roman;sans-serif"/>
          <w:b w:val="false"/>
          <w:color w:val="101010"/>
          <w:sz w:val="24"/>
        </w:rPr>
        <w:t>Collection System, the Landfill, or Seller’s operations shall remain confidential for all purposes of this Agreement other than the limited disclosure required by Buyer or Seller for regulatory purposes. In the event that there is a breach by either party of the provisions of this Section, the disclosing party shall be entitled to a temporary and permanent injunction to restrain the receiving party from disclosing in whole or in part any Confidential Information, as prohibited hereunder, and the disclosing party shall be entitled to reimbursement for all costs and expenses, including reasonable attorney’s fees, in connection therewith. Nothing in this Section shall be construed as prohibiting the disclosing party from pursuing such other remedies available to it for such breach including the recovery of damages from the receiving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1.16</w:t>
      </w:r>
      <w:r>
        <w:rPr>
          <w:rFonts w:ascii="Times New Roman;sans-serif" w:hAnsi="Times New Roman;sans-serif"/>
          <w:b w:val="false"/>
          <w:color w:val="101010"/>
          <w:sz w:val="24"/>
          <w:u w:val="single"/>
        </w:rPr>
        <w:t>Third Party Beneficiaries</w:t>
      </w:r>
      <w:r>
        <w:rPr>
          <w:rFonts w:ascii="Times New Roman;sans-serif" w:hAnsi="Times New Roman;sans-serif"/>
          <w:b w:val="false"/>
          <w:color w:val="101010"/>
          <w:sz w:val="24"/>
        </w:rPr>
        <w:t xml:space="preserve">. This Agreement is intended to be solely for the benefit of the parties hereto and their successors and permitted assignees and is not intended to and shall not confer any rights or benefits on any other third party not a signatory hereto, except as provided in </w:t>
      </w:r>
      <w:r>
        <w:rPr>
          <w:rFonts w:ascii="Times New Roman;sans-serif" w:hAnsi="Times New Roman;sans-serif"/>
          <w:b w:val="false"/>
          <w:color w:val="101010"/>
          <w:sz w:val="24"/>
          <w:u w:val="single"/>
        </w:rPr>
        <w:t>Section 6.7</w:t>
      </w:r>
      <w:r>
        <w:rPr>
          <w:rFonts w:ascii="Times New Roman;sans-serif" w:hAnsi="Times New Roman;sans-serif"/>
          <w:b w:val="false"/>
          <w:color w:val="10101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1.17</w:t>
      </w:r>
      <w:r>
        <w:rPr>
          <w:rFonts w:ascii="Times New Roman;sans-serif" w:hAnsi="Times New Roman;sans-serif"/>
          <w:b w:val="false"/>
          <w:color w:val="101010"/>
          <w:sz w:val="24"/>
          <w:u w:val="single"/>
        </w:rPr>
        <w:t>WAIVER OF DAMAGES; NON-RELIANCE</w:t>
      </w:r>
      <w:r>
        <w:rPr>
          <w:rFonts w:ascii="Times New Roman;sans-serif" w:hAnsi="Times New Roman;sans-serif"/>
          <w:b w:val="false"/>
          <w:color w:val="101010"/>
          <w:sz w:val="24"/>
        </w:rPr>
        <w:t>. EXCEPT IN CONNECTION WITH CLAIMS BY THIRD PARTIES THAT ARE NOT AFFILIATES OF ANY PARTY HERETO OR THE FRAUD OR WILLFUL MISCONDUCT OF EITHER PARTY HERETO OR ITS RESPECTIVE AFFILIATES, NEITHER PARTY HEREUNDER SHALL BE LIABLE TO THE OTHER PARTY FOR ANY SPECIAL, INDIRECT, LOSS OF USE, LOST PROFITS, INCIDENTAL OR CONSEQUENTIAL (OTHER THAN ACTUAL AND DIRECT) DAMAGES ARISING UNDER OR OUT OF THIS AGREEMENT OR THE TRANSACTIONS CONTEMPLATED HEREIN. NEITHER PARTY HERETO HAS RELIED UPON, AND SHALL NOT ASSERT THAT IT HAS RELIED UPON, ANY INFORMATION REGARDING BUYER, THE FACILITY, SELLER, THE LANDFILL, THE LANDFILL GAS OR THE TRANSACTIONS CONTEMPLATED BY THIS AGREEMENT, AND NONE OF THE PARTIES HERETO OR THEIR RESPECTIVE AFFILIATES SHALL HAVE OR BE SUBJECT TO ANY LIABILITY TO BUYER, SELLER OR ANY RESPECTIVE AFFILIATE OF A PARTY HERETO RESULTING FROM THE FURNISHING OF SUCH INFORMATION TO THAT PARTY OR AN AFFILIATE OF SUCH PARTY OR ANY RELIANCE ON, ANY SUCH INFORMATION OR ANY INFORMATION, DOCUMENTS OR MATERIALS MADE AVAILABLE TO A PARTY HERETO, A RESPECTIVE AFFILIATE OF SUCH PARTY IN ANY FORM IN EXPECTATION OF, OR IN CONNECTION WITH,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1.18</w:t>
      </w:r>
      <w:r>
        <w:rPr>
          <w:rFonts w:ascii="Times New Roman;sans-serif" w:hAnsi="Times New Roman;sans-serif"/>
          <w:b w:val="false"/>
          <w:color w:val="101010"/>
          <w:sz w:val="24"/>
          <w:u w:val="single"/>
        </w:rPr>
        <w:t>Publicity and Corporate Identity</w:t>
      </w:r>
      <w:r>
        <w:rPr>
          <w:rFonts w:ascii="Times New Roman;sans-serif" w:hAnsi="Times New Roman;sans-serif"/>
          <w:b w:val="false"/>
          <w:color w:val="101010"/>
          <w:sz w:val="24"/>
        </w:rPr>
        <w:t>. Neither party may use the name, trade name, trademarks, service marks, or logos of the other party or the existence of this Agreement or the project described herein or any likeness, photo, film or similar like kind reproduction of the other’s facilities or property in any publicity releases, news releases, annual reports, signage, stationery, print literature, advertising, or websites without securing the prior written consent of the other party, which consent shall not be unreasonably withheld. Neither party shall issue any publicity or news releases regarding the Facility or project at the Landfill without the written consent of the other party, which consent shall not be unreasonably withheld. The parties shall not, without prior written consent of the other party, represent, directly or indirectly, that any product or service offered by the party has been approved or endorsed by the other party.</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i/>
          <w:color w:val="000000"/>
          <w:sz w:val="24"/>
        </w:rPr>
        <w:t>Signature page to follow</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37565"/>
                <wp:effectExtent l="0" t="0" r="0" b="0"/>
                <wp:wrapNone/>
                <wp:docPr id="92" name="Frame9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60"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40404"/>
          <w:sz w:val="24"/>
        </w:rPr>
        <w:t>IN WITNESS WHEREOF</w:t>
      </w:r>
      <w:r>
        <w:rPr>
          <w:rFonts w:ascii="Times New Roman;sans-serif" w:hAnsi="Times New Roman;sans-serif"/>
          <w:b w:val="false"/>
          <w:color w:val="040404"/>
          <w:sz w:val="24"/>
        </w:rPr>
        <w:t>, Buyer and Seller have executed this Agreement to be effective as of the Effective Date.</w:t>
      </w:r>
    </w:p>
    <w:p>
      <w:pPr>
        <w:pStyle w:val="TextBody"/>
        <w:bidi w:val="0"/>
        <w:spacing w:before="0" w:after="0"/>
        <w:jc w:val="both"/>
        <w:rPr/>
      </w:pPr>
      <w:r>
        <w:rPr/>
      </w:r>
    </w:p>
    <w:tbl>
      <w:tblPr>
        <w:tblW w:w="7544" w:type="dxa"/>
        <w:jc w:val="left"/>
        <w:tblInd w:w="0" w:type="dxa"/>
        <w:tblLayout w:type="fixed"/>
        <w:tblCellMar>
          <w:top w:w="28" w:type="dxa"/>
          <w:left w:w="28" w:type="dxa"/>
          <w:bottom w:w="28" w:type="dxa"/>
          <w:right w:w="28" w:type="dxa"/>
        </w:tblCellMar>
      </w:tblPr>
      <w:tblGrid>
        <w:gridCol w:w="1173"/>
        <w:gridCol w:w="1030"/>
        <w:gridCol w:w="1036"/>
        <w:gridCol w:w="1260"/>
        <w:gridCol w:w="1260"/>
        <w:gridCol w:w="1785"/>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SELLER:</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w:t>
            </w:r>
          </w:p>
          <w:p>
            <w:pPr>
              <w:pStyle w:val="TableContents"/>
              <w:bidi w:val="0"/>
              <w:spacing w:lineRule="auto" w:line="240" w:before="0" w:after="0"/>
              <w:jc w:val="both"/>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    </w:t>
            </w:r>
          </w:p>
          <w:p>
            <w:pPr>
              <w:pStyle w:val="TableContents"/>
              <w:bidi w:val="0"/>
              <w:spacing w:lineRule="auto" w:line="240" w:before="0" w:after="0"/>
              <w:jc w:val="both"/>
              <w:rPr/>
            </w:pPr>
            <w:r>
              <w:rPr>
                <w:rFonts w:ascii="Times New Roman;sans-serif" w:hAnsi="Times New Roman;sans-serif"/>
                <w:b w:val="false"/>
                <w:color w:val="000000"/>
                <w:sz w:val="24"/>
              </w:rPr>
              <w:t>Title:</w:t>
            </w:r>
            <w:r>
              <w:rPr>
                <w:color w:val="000000"/>
                <w:u w:val="single"/>
              </w:rPr>
              <w:t xml:space="preserve"> </w:t>
            </w:r>
            <w:r>
              <w:rPr>
                <w:rFonts w:ascii="Times New Roman;sans-serif" w:hAnsi="Times New Roman;sans-serif"/>
                <w:b w:val="false"/>
                <w:color w:val="000000"/>
                <w:sz w:val="24"/>
                <w:u w:val="single"/>
              </w:rPr>
              <w:t>[***]    </w:t>
            </w:r>
          </w:p>
          <w:p>
            <w:pPr>
              <w:pStyle w:val="TableContents"/>
              <w:bidi w:val="0"/>
              <w:spacing w:lineRule="auto" w:line="240" w:before="0" w:after="0"/>
              <w:jc w:val="both"/>
              <w:rPr/>
            </w:pPr>
            <w:r>
              <w:rPr>
                <w:rFonts w:ascii="Times New Roman;sans-serif" w:hAnsi="Times New Roman;sans-serif"/>
                <w:b w:val="false"/>
                <w:color w:val="000000"/>
                <w:sz w:val="24"/>
              </w:rPr>
              <w:t>Date Signed:</w:t>
            </w:r>
            <w:r>
              <w:rPr>
                <w:color w:val="000000"/>
                <w:u w:val="single"/>
              </w:rPr>
              <w:t xml:space="preserve"> </w:t>
            </w:r>
            <w:r>
              <w:rPr>
                <w:rFonts w:ascii="Times New Roman;sans-serif" w:hAnsi="Times New Roman;sans-serif"/>
                <w:b w:val="false"/>
                <w:color w:val="000000"/>
                <w:sz w:val="24"/>
                <w:u w:val="single"/>
              </w:rPr>
              <w:t>August 10    </w:t>
            </w:r>
            <w:r>
              <w:rPr>
                <w:rFonts w:ascii="Times New Roman;sans-serif" w:hAnsi="Times New Roman;sans-serif"/>
                <w:b w:val="false"/>
                <w:color w:val="000000"/>
                <w:sz w:val="24"/>
              </w:rPr>
              <w:t>, 2023</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BUYER:</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FALL RIVER RENEWABLE POWER</w:t>
            </w:r>
          </w:p>
          <w:p>
            <w:pPr>
              <w:pStyle w:val="TableContents"/>
              <w:bidi w:val="0"/>
              <w:spacing w:lineRule="auto" w:line="240" w:before="0" w:after="0"/>
              <w:jc w:val="both"/>
              <w:rPr/>
            </w:pPr>
            <w:r>
              <w:rPr>
                <w:rFonts w:ascii="Times New Roman;sans-serif" w:hAnsi="Times New Roman;sans-serif"/>
                <w:b/>
                <w:color w:val="000000"/>
                <w:sz w:val="24"/>
              </w:rPr>
              <w:t>LLC</w:t>
            </w:r>
            <w:r>
              <w:rPr>
                <w:rFonts w:ascii="Times New Roman;sans-serif" w:hAnsi="Times New Roman;sans-serif"/>
                <w:b w:val="false"/>
                <w:color w:val="000000"/>
                <w:sz w:val="24"/>
              </w:rPr>
              <w:t>, a Delaware limited liability company</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i/>
                <w:color w:val="000000"/>
                <w:sz w:val="24"/>
                <w:u w:val="single"/>
              </w:rPr>
              <w:t>/s/ J. G. Maurer</w:t>
            </w:r>
            <w:r>
              <w:rPr>
                <w:color w:val="000000"/>
                <w:u w:val="single"/>
              </w:rPr>
              <w:t>    </w:t>
            </w:r>
          </w:p>
          <w:p>
            <w:pPr>
              <w:pStyle w:val="TableContents"/>
              <w:bidi w:val="0"/>
              <w:spacing w:lineRule="auto" w:line="240" w:before="0" w:after="0"/>
              <w:jc w:val="both"/>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Jonathan Maurer    </w:t>
            </w:r>
          </w:p>
          <w:p>
            <w:pPr>
              <w:pStyle w:val="TableContents"/>
              <w:bidi w:val="0"/>
              <w:spacing w:lineRule="auto" w:line="240" w:before="0" w:after="0"/>
              <w:jc w:val="both"/>
              <w:rPr/>
            </w:pPr>
            <w:r>
              <w:rPr>
                <w:rFonts w:ascii="Times New Roman;sans-serif" w:hAnsi="Times New Roman;sans-serif"/>
                <w:b w:val="false"/>
                <w:color w:val="000000"/>
                <w:sz w:val="24"/>
              </w:rPr>
              <w:t>Title:</w:t>
            </w:r>
            <w:r>
              <w:rPr>
                <w:color w:val="000000"/>
                <w:u w:val="single"/>
              </w:rPr>
              <w:t xml:space="preserve"> </w:t>
            </w:r>
            <w:r>
              <w:rPr>
                <w:rFonts w:ascii="Times New Roman;sans-serif" w:hAnsi="Times New Roman;sans-serif"/>
                <w:b w:val="false"/>
                <w:color w:val="000000"/>
                <w:sz w:val="24"/>
                <w:u w:val="single"/>
              </w:rPr>
              <w:t>Co-Chief Executive Officer    </w:t>
            </w:r>
          </w:p>
          <w:p>
            <w:pPr>
              <w:pStyle w:val="TableContents"/>
              <w:bidi w:val="0"/>
              <w:spacing w:lineRule="auto" w:line="240" w:before="0" w:after="0"/>
              <w:jc w:val="both"/>
              <w:rPr/>
            </w:pPr>
            <w:r>
              <w:rPr>
                <w:rFonts w:ascii="Times New Roman;sans-serif" w:hAnsi="Times New Roman;sans-serif"/>
                <w:b w:val="false"/>
                <w:color w:val="000000"/>
                <w:sz w:val="24"/>
              </w:rPr>
              <w:t>Date Signed:</w:t>
            </w:r>
            <w:r>
              <w:rPr>
                <w:color w:val="000000"/>
                <w:u w:val="single"/>
              </w:rPr>
              <w:t xml:space="preserve"> </w:t>
            </w:r>
            <w:r>
              <w:rPr>
                <w:rFonts w:ascii="Times New Roman;sans-serif" w:hAnsi="Times New Roman;sans-serif"/>
                <w:b w:val="false"/>
                <w:color w:val="000000"/>
                <w:sz w:val="24"/>
                <w:u w:val="single"/>
              </w:rPr>
              <w:t>August 11    </w:t>
            </w:r>
            <w:r>
              <w:rPr>
                <w:rFonts w:ascii="Times New Roman;sans-serif" w:hAnsi="Times New Roman;sans-serif"/>
                <w:b w:val="false"/>
                <w:color w:val="000000"/>
                <w:sz w:val="24"/>
              </w:rPr>
              <w:t>, 2023</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3910"/>
                <wp:effectExtent l="0" t="0" r="0" b="0"/>
                <wp:wrapNone/>
                <wp:docPr id="93" name="Frame9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8273" w:type="dxa"/>
                              <w:jc w:val="left"/>
                              <w:tblInd w:w="0" w:type="dxa"/>
                              <w:tblLayout w:type="fixed"/>
                              <w:tblCellMar>
                                <w:top w:w="28" w:type="dxa"/>
                                <w:left w:w="28" w:type="dxa"/>
                                <w:bottom w:w="28" w:type="dxa"/>
                                <w:right w:w="28" w:type="dxa"/>
                              </w:tblCellMar>
                            </w:tblPr>
                            <w:tblGrid>
                              <w:gridCol w:w="985"/>
                              <w:gridCol w:w="861"/>
                              <w:gridCol w:w="861"/>
                              <w:gridCol w:w="861"/>
                              <w:gridCol w:w="861"/>
                              <w:gridCol w:w="861"/>
                              <w:gridCol w:w="861"/>
                              <w:gridCol w:w="861"/>
                              <w:gridCol w:w="1261"/>
                            </w:tblGrid>
                            <w:tr>
                              <w:trPr/>
                              <w:tc>
                                <w:tcPr>
                                  <w:tcW w:w="985" w:type="dxa"/>
                                  <w:tcBorders/>
                                  <w:vAlign w:val="center"/>
                                </w:tcPr>
                                <w:p>
                                  <w:pPr>
                                    <w:pStyle w:val="TableContents"/>
                                    <w:bidi w:val="0"/>
                                    <w:spacing w:before="0" w:after="283"/>
                                    <w:jc w:val="left"/>
                                    <w:rPr>
                                      <w:sz w:val="4"/>
                                      <w:szCs w:val="4"/>
                                    </w:rPr>
                                  </w:pPr>
                                  <w:r>
                                    <w:rPr>
                                      <w:sz w:val="4"/>
                                      <w:szCs w:val="4"/>
                                    </w:rPr>
                                  </w:r>
                                  <w:r>
                                    <w:br w:type="page"/>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27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[Signature Page to Third Amended and Restated Gas Sale and Purchase Agreement]</w:t>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8273" w:type="dxa"/>
                        <w:jc w:val="left"/>
                        <w:tblInd w:w="0" w:type="dxa"/>
                        <w:tblLayout w:type="fixed"/>
                        <w:tblCellMar>
                          <w:top w:w="28" w:type="dxa"/>
                          <w:left w:w="28" w:type="dxa"/>
                          <w:bottom w:w="28" w:type="dxa"/>
                          <w:right w:w="28" w:type="dxa"/>
                        </w:tblCellMar>
                      </w:tblPr>
                      <w:tblGrid>
                        <w:gridCol w:w="985"/>
                        <w:gridCol w:w="861"/>
                        <w:gridCol w:w="861"/>
                        <w:gridCol w:w="861"/>
                        <w:gridCol w:w="861"/>
                        <w:gridCol w:w="861"/>
                        <w:gridCol w:w="861"/>
                        <w:gridCol w:w="861"/>
                        <w:gridCol w:w="1261"/>
                      </w:tblGrid>
                      <w:tr>
                        <w:trPr/>
                        <w:tc>
                          <w:tcPr>
                            <w:tcW w:w="98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27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[Signature Page to Third Amended and Restated Gas Sale and Purchase Agreement]</w:t>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83615"/>
                <wp:effectExtent l="0" t="0" r="0" b="0"/>
                <wp:wrapNone/>
                <wp:docPr id="95" name="Frame95"/>
                <a:graphic xmlns:a="http://schemas.openxmlformats.org/drawingml/2006/main">
                  <a:graphicData uri="http://schemas.microsoft.com/office/word/2010/wordprocessingShape">
                    <wps:wsp>
                      <wps:cNvSpPr txBox="1"/>
                      <wps:spPr>
                        <a:xfrm>
                          <a:off x="0" y="0"/>
                          <a:ext cx="6480175" cy="98361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4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SECURITY AGREEMENT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SECURITY AGREEMENT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between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Fall River Renewable Power LLC,</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Grantor</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 </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Secured Party</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_______________ __, 20__</w:t>
      </w:r>
    </w:p>
    <w:p>
      <w:pPr>
        <w:pStyle w:val="TextBody"/>
        <w:bidi w:val="0"/>
        <w:spacing w:before="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37565"/>
                <wp:effectExtent l="0" t="0" r="0" b="0"/>
                <wp:wrapNone/>
                <wp:docPr id="96" name="Frame9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198" w:type="dxa"/>
                              <w:jc w:val="left"/>
                              <w:tblInd w:w="0" w:type="dxa"/>
                              <w:tblLayout w:type="fixed"/>
                              <w:tblCellMar>
                                <w:top w:w="28" w:type="dxa"/>
                                <w:left w:w="28" w:type="dxa"/>
                                <w:bottom w:w="28" w:type="dxa"/>
                                <w:right w:w="28" w:type="dxa"/>
                              </w:tblCellMar>
                            </w:tblPr>
                            <w:tblGrid>
                              <w:gridCol w:w="124"/>
                              <w:gridCol w:w="109"/>
                              <w:gridCol w:w="109"/>
                              <w:gridCol w:w="494"/>
                              <w:gridCol w:w="494"/>
                              <w:gridCol w:w="4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C-&lt;#&gt;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198" w:type="dxa"/>
                        <w:jc w:val="left"/>
                        <w:tblInd w:w="0" w:type="dxa"/>
                        <w:tblLayout w:type="fixed"/>
                        <w:tblCellMar>
                          <w:top w:w="28" w:type="dxa"/>
                          <w:left w:w="28" w:type="dxa"/>
                          <w:bottom w:w="28" w:type="dxa"/>
                          <w:right w:w="28" w:type="dxa"/>
                        </w:tblCellMar>
                      </w:tblPr>
                      <w:tblGrid>
                        <w:gridCol w:w="124"/>
                        <w:gridCol w:w="109"/>
                        <w:gridCol w:w="109"/>
                        <w:gridCol w:w="494"/>
                        <w:gridCol w:w="494"/>
                        <w:gridCol w:w="4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C-&lt;#&gt;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Page</w:t>
      </w:r>
    </w:p>
    <w:tbl>
      <w:tblPr>
        <w:tblW w:w="9240" w:type="dxa"/>
        <w:jc w:val="left"/>
        <w:tblInd w:w="0" w:type="dxa"/>
        <w:tblLayout w:type="fixed"/>
        <w:tblCellMar>
          <w:top w:w="28" w:type="dxa"/>
          <w:left w:w="28" w:type="dxa"/>
          <w:bottom w:w="28" w:type="dxa"/>
          <w:right w:w="28" w:type="dxa"/>
        </w:tblCellMar>
      </w:tblPr>
      <w:tblGrid>
        <w:gridCol w:w="3208"/>
        <w:gridCol w:w="2816"/>
        <w:gridCol w:w="2825"/>
        <w:gridCol w:w="114"/>
        <w:gridCol w:w="114"/>
        <w:gridCol w:w="163"/>
      </w:tblGrid>
      <w:tr>
        <w:trPr/>
        <w:tc>
          <w:tcPr>
            <w:tcW w:w="3208"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I</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1.01.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Certain 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II</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THE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3</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Grant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3</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Financing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3</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2.03.</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Use and Defense of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3</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2.04.</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Rights and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4</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2.05.</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Grantor’s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4</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2.06.</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The Secured Party’s Appointment as Attorneys-in-Fact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5</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2.07.</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5</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III</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REPRESENTATIONS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5</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3.01.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Organization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3.02.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Title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IV</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COVENANTS;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4.01.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4.02.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Negative Pledge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4.03.</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4.04.</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Records and Inspection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6</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V</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7</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5.01.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Events of Default,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7</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5.02.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Private Sale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8</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5.03.</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Application of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8</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80"/>
                  <w:sz w:val="24"/>
                  <w:u w:val="single"/>
                  <w:effect w:val="none"/>
                </w:rPr>
                <w:t>ARTICLE VI</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    </w:t>
              </w:r>
            </w:hyperlink>
            <w:hyperlink w:anchor="i34d9549c997b4fd08575433572c7b077_19">
              <w:r>
                <w:rPr>
                  <w:rStyle w:val="InternetLink"/>
                  <w:rFonts w:ascii="Times New Roman;sans-serif" w:hAnsi="Times New Roman;sans-serif"/>
                  <w:b w:val="false"/>
                  <w:strike w:val="false"/>
                  <w:dstrike w:val="false"/>
                  <w:color w:val="000080"/>
                  <w:sz w:val="24"/>
                  <w:u w:val="single"/>
                  <w:effect w:val="none"/>
                </w:rPr>
                <w:t>MISCELLANEOUS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8</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8</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Amendments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6.03.</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6.04.</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6.05.</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Secured Party’s Liability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6.06.</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No Waiver; 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6.07.</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6.08.</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Captions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6.09.</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9</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6.10.</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Governing Law; Submission to Jurisdiction and Venue; Waiver of Jury Trial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10</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6.11.</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11</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6.12.</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Independent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11</w:t>
              </w:r>
            </w:hyperlink>
          </w:p>
        </w:tc>
      </w:tr>
      <w:tr>
        <w:trPr/>
        <w:tc>
          <w:tcPr>
            <w:tcW w:w="88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Section 6.13.</w:t>
              </w:r>
            </w:hyperlink>
            <w:hyperlink w:anchor="i34d9549c997b4fd08575433572c7b077_19">
              <w:r>
                <w:rPr>
                  <w:rStyle w:val="InternetLink"/>
                  <w:strike w:val="false"/>
                  <w:dstrike w:val="false"/>
                  <w:color w:val="000000"/>
                  <w:u w:val="none"/>
                  <w:effect w:val="none"/>
                </w:rPr>
                <w:t>    </w:t>
              </w:r>
            </w:hyperlink>
            <w:hyperlink w:anchor="i34d9549c997b4fd08575433572c7b077_19">
              <w:r>
                <w:rPr>
                  <w:rStyle w:val="InternetLink"/>
                  <w:rFonts w:ascii="Times New Roman;sans-serif" w:hAnsi="Times New Roman;sans-serif"/>
                  <w:b w:val="false"/>
                  <w:strike w:val="false"/>
                  <w:dstrike w:val="false"/>
                  <w:color w:val="000000"/>
                  <w:sz w:val="24"/>
                  <w:u w:val="none"/>
                  <w:effect w:val="none"/>
                </w:rPr>
                <w:t>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4d9549c997b4fd08575433572c7b077_19">
              <w:r>
                <w:rPr>
                  <w:rStyle w:val="InternetLink"/>
                  <w:rFonts w:ascii="Times New Roman;sans-serif" w:hAnsi="Times New Roman;sans-serif"/>
                  <w:b w:val="false"/>
                  <w:strike w:val="false"/>
                  <w:dstrike w:val="false"/>
                  <w:color w:val="000000"/>
                  <w:sz w:val="24"/>
                  <w:u w:val="none"/>
                  <w:effect w:val="none"/>
                </w:rPr>
                <w:t>11</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37565"/>
                <wp:effectExtent l="0" t="0" r="0" b="0"/>
                <wp:wrapNone/>
                <wp:docPr id="97" name="Frame9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Annex 1 - Organization and Chief Executive Office of Grantor</w:t>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37565"/>
                <wp:effectExtent l="0" t="0" r="0" b="0"/>
                <wp:wrapNone/>
                <wp:docPr id="98" name="Frame9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240"/>
        <w:jc w:val="center"/>
        <w:rPr/>
      </w:pPr>
      <w:r>
        <w:rPr>
          <w:rFonts w:ascii="Times New Roman;sans-serif" w:hAnsi="Times New Roman;sans-serif"/>
          <w:b/>
          <w:color w:val="000000"/>
          <w:sz w:val="24"/>
        </w:rPr>
        <w:t>SECURITY AGREEMENT</w:t>
      </w:r>
      <w:r>
        <w:rPr>
          <w:rFonts w:ascii="Times New Roman;sans-serif" w:hAnsi="Times New Roman;sans-serif"/>
          <w:b/>
          <w:color w:val="000000"/>
          <w:sz w:val="16"/>
        </w:rPr>
        <w:t>11</w:t>
      </w:r>
    </w:p>
    <w:p>
      <w:pPr>
        <w:pStyle w:val="TextBody"/>
        <w:bidi w:val="0"/>
        <w:spacing w:lineRule="auto" w:line="240" w:before="0" w:after="240"/>
        <w:ind w:left="0" w:right="0" w:firstLine="720"/>
        <w:jc w:val="center"/>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 xml:space="preserve">SECURITY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xml:space="preserve">), dated as of ______________, 20__ is made by and between </w:t>
      </w:r>
      <w:r>
        <w:rPr>
          <w:rFonts w:ascii="Times New Roman;sans-serif" w:hAnsi="Times New Roman;sans-serif"/>
          <w:b/>
          <w:color w:val="000000"/>
          <w:sz w:val="24"/>
        </w:rPr>
        <w:t>FALL RIVER RENEWABLE POWER LLC</w:t>
      </w:r>
      <w:r>
        <w:rPr>
          <w:rFonts w:ascii="Times New Roman;sans-serif" w:hAnsi="Times New Roman;sans-serif"/>
          <w:b w:val="false"/>
          <w:color w:val="000000"/>
          <w:sz w:val="24"/>
        </w:rPr>
        <w:t>, a Delaware limited liability company (together with its permitted successors and assigns, “</w:t>
      </w:r>
      <w:r>
        <w:rPr>
          <w:rFonts w:ascii="Times New Roman;sans-serif" w:hAnsi="Times New Roman;sans-serif"/>
          <w:b w:val="false"/>
          <w:color w:val="000000"/>
          <w:sz w:val="24"/>
          <w:u w:val="single"/>
        </w:rPr>
        <w:t>Grantor</w:t>
      </w:r>
      <w:r>
        <w:rPr>
          <w:color w:val="000000"/>
        </w:rPr>
        <w:t>”</w:t>
      </w:r>
      <w:r>
        <w:rPr>
          <w:rFonts w:ascii="Times New Roman;sans-serif" w:hAnsi="Times New Roman;sans-serif"/>
          <w:b w:val="false"/>
          <w:color w:val="000000"/>
          <w:sz w:val="24"/>
        </w:rPr>
        <w:t>), and</w:t>
      </w:r>
      <w:r>
        <w:rPr>
          <w:color w:val="000000"/>
        </w:rPr>
        <w:t xml:space="preserve"> </w:t>
      </w:r>
      <w:r>
        <w:rPr>
          <w:rFonts w:ascii="Times New Roman;sans-serif" w:hAnsi="Times New Roman;sans-serif"/>
          <w:b/>
          <w:color w:val="000000"/>
          <w:sz w:val="24"/>
        </w:rPr>
        <w:t>[***]</w:t>
      </w:r>
      <w:r>
        <w:rPr>
          <w:rFonts w:ascii="Times New Roman;sans-serif" w:hAnsi="Times New Roman;sans-serif"/>
          <w:b w:val="false"/>
          <w:color w:val="000000"/>
          <w:sz w:val="24"/>
        </w:rPr>
        <w:t>, a Massachusetts corporation (“</w:t>
      </w:r>
      <w:r>
        <w:rPr>
          <w:rFonts w:ascii="Times New Roman;sans-serif" w:hAnsi="Times New Roman;sans-serif"/>
          <w:b w:val="false"/>
          <w:color w:val="000000"/>
          <w:sz w:val="24"/>
          <w:u w:val="single"/>
        </w:rPr>
        <w:t>Secured Party</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Pursuant to that certain Third Amended and Restated Gas Sale and Purchase Agreement dated as of ______________ __, 2023, by and between Secured Party and Grantor (as amended, restated, supplemented or otherwise modified from time to time, the “</w:t>
      </w:r>
      <w:r>
        <w:rPr>
          <w:rFonts w:ascii="Times New Roman;sans-serif" w:hAnsi="Times New Roman;sans-serif"/>
          <w:b w:val="false"/>
          <w:color w:val="000000"/>
          <w:sz w:val="24"/>
          <w:u w:val="single"/>
        </w:rPr>
        <w:t>GSPA</w:t>
      </w:r>
      <w:r>
        <w:rPr>
          <w:color w:val="000000"/>
        </w:rPr>
        <w:t>”</w:t>
      </w:r>
      <w:r>
        <w:rPr>
          <w:rFonts w:ascii="Times New Roman;sans-serif" w:hAnsi="Times New Roman;sans-serif"/>
          <w:b w:val="false"/>
          <w:color w:val="000000"/>
          <w:sz w:val="24"/>
        </w:rPr>
        <w:t>), Secured Party will sell to Grantor, and Grantor will purchase from Secured Party, Landfill Gas collected at the Landfill for use in the Facility for processing and generation of electricity utilizing a new processing, and generating facility to be built, owned and operated by Grantor on the Landfill.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Pursuant to that certain Third Amended and Restated Site Lease Agreement dated as of ______________ __, 2023, by and between Secured Party and Grantor (as amended, restated, supplemented or otherwise modified from time to time, the “</w:t>
      </w:r>
      <w:r>
        <w:rPr>
          <w:rFonts w:ascii="Times New Roman;sans-serif" w:hAnsi="Times New Roman;sans-serif"/>
          <w:b w:val="false"/>
          <w:color w:val="000000"/>
          <w:sz w:val="24"/>
          <w:u w:val="single"/>
        </w:rPr>
        <w:t>Site Lease</w:t>
      </w:r>
      <w:r>
        <w:rPr>
          <w:color w:val="000000"/>
        </w:rPr>
        <w:t>”</w:t>
      </w:r>
      <w:r>
        <w:rPr>
          <w:rFonts w:ascii="Times New Roman;sans-serif" w:hAnsi="Times New Roman;sans-serif"/>
          <w:b w:val="false"/>
          <w:color w:val="000000"/>
          <w:sz w:val="24"/>
        </w:rPr>
        <w:t>), Secured Party will lease the Site to Grantor for the purpose of constructing, maintaining and operating the Facility.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Secured Party has agreed to enter into the GSPA and sell to Grantor such Landfill Gas collected at the Landfill on the condition that Grantor provide certain Buyer Security; and this Agreement is being delivered in satisfaction of such requirement.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covenants and for other good and valuable consideration, the receipt and adequacy of which are hereby acknowledged, Grantor hereby agrees with Secured Party as follows:</w:t>
      </w:r>
    </w:p>
    <w:p>
      <w:pPr>
        <w:pStyle w:val="TextBody"/>
        <w:bidi w:val="0"/>
        <w:spacing w:lineRule="auto" w:line="240" w:before="0" w:after="240"/>
        <w:jc w:val="center"/>
        <w:rPr/>
      </w:pPr>
      <w:r>
        <w:rPr>
          <w:rFonts w:ascii="Times New Roman;sans-serif" w:hAnsi="Times New Roman;sans-serif"/>
          <w:b/>
          <w:color w:val="000000"/>
          <w:sz w:val="24"/>
        </w:rPr>
        <w:t>Article I</w:t>
      </w:r>
      <w:r>
        <w:rPr>
          <w:rFonts w:ascii="Times New Roman;sans-serif" w:hAnsi="Times New Roman;sans-serif"/>
          <w:b/>
          <w:color w:val="000000"/>
          <w:sz w:val="24"/>
        </w:rPr>
        <w:br/>
        <w:t>DEFINITIONS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Certain Defined Terms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Each capitalized term used and not otherwise defined herein shall have the meaning assigned to such term (whether directly or by reference to another agreement or document) in the GSPA. The rules of interpretation set forth in the GSPA are hereby incorporated by reference as if fully set forth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In addition to the terms defined in the GSPA, the preamble and the recitals, the following terms shall have the following respective meanings:</w:t>
      </w:r>
    </w:p>
    <w:p>
      <w:pPr>
        <w:pStyle w:val="TextBody"/>
        <w:bidi w:val="0"/>
        <w:spacing w:before="0" w:after="240"/>
        <w:jc w:val="both"/>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that is not a Saturday, a Sunday, or a recognized holiday in the state of Massachusetts.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 xml:space="preserve">means as defined at </w:t>
      </w:r>
      <w:r>
        <w:rPr>
          <w:rFonts w:ascii="Times New Roman;sans-serif" w:hAnsi="Times New Roman;sans-serif"/>
          <w:b w:val="false"/>
          <w:color w:val="000000"/>
          <w:sz w:val="24"/>
          <w:u w:val="single"/>
        </w:rPr>
        <w:t>Section 2.01</w:t>
      </w:r>
      <w:r>
        <w:rPr>
          <w:rFonts w:ascii="Times New Roman;sans-serif" w:hAnsi="Times New Roman;sans-serif"/>
          <w:b w:val="false"/>
          <w:color w:val="000000"/>
          <w:sz w:val="24"/>
        </w:rPr>
        <w: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37565"/>
                <wp:effectExtent l="0" t="0" r="0" b="0"/>
                <wp:wrapNone/>
                <wp:docPr id="99" name="Frame9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Discharge Date</w:t>
      </w:r>
      <w:r>
        <w:rPr>
          <w:color w:val="000000"/>
        </w:rPr>
        <w:t xml:space="preserve">” </w:t>
      </w:r>
      <w:r>
        <w:rPr>
          <w:rFonts w:ascii="Times New Roman;sans-serif" w:hAnsi="Times New Roman;sans-serif"/>
          <w:b w:val="false"/>
          <w:color w:val="000000"/>
          <w:sz w:val="24"/>
        </w:rPr>
        <w:t>shall mean earlier of (a) the date on which all of the Secured Obligations of Grantor under the GSPA shall have been indefeasibly paid in full in immediately available funds and (b) the date, as long as a foreclosure action has not been commenced against Grantor, Grantor has provided to Secured Party a Letter of Credit in the Letter of Credit Amount in accordance with the terms and conditions of Sections 6.8(b) and (c) of the GSPA. If a foreclosure action has been commenced against Grantor and Grantor wishes to provide to Secured Party a Letter of Credit in the Letter of Credit Amount, Grantor must obtain Secured Party’s prior written consent, which may be granted or withheld in Secured Party’s sole and absolute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GSPA</w:t>
      </w:r>
      <w:r>
        <w:rPr>
          <w:color w:val="000000"/>
        </w:rPr>
        <w:t xml:space="preserve">” </w:t>
      </w:r>
      <w:r>
        <w:rPr>
          <w:rFonts w:ascii="Times New Roman;sans-serif" w:hAnsi="Times New Roman;sans-serif"/>
          <w:b w:val="false"/>
          <w:color w:val="000000"/>
          <w:sz w:val="24"/>
        </w:rPr>
        <w:t>has the meaning assigned to the term in the recitals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assignment (including an assignment for security purposes), mortgage or deed of trust encumbering an interest in real property, lien, charge, pledge, security interest or other encumbrance on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means (a) any Liens arising under this Agreement, the GSPA, or the Site Lease; (b) Liens for taxes, fees, assessments or other governmental charges or levies, either not delinquent or being contested in good faith by appropriate proceedings; (c) materialmen’s, mechanics’, workers’, repairmen’s, employees’ or other like Liens arising in the ordinary course of business or in the construction, restoration, repair or replacement of the Facility, in each case either for obligations not delinquent for a period of more than sixty (60) days or being contested in good faith by appropriate proceedings; (d) Liens incurred in the ordinary course of business in connection with worker’s compensation, unemployment insurance, social security and other applicable laws and regulations for obligations not delinquent for a period of more than sixty (60) days or being contested in good faith by appropriate proceedings; (e) Liens arising out of judgments or awards so long as an appeal or proceeding for review is being prosecuted in good faith; (f) easements, zoning restrictions, rights-of-way or other encumbrances on real property imposed by law or arising in the ordinary course of business that do not materially interfere with the ordinary conduct of business of the Grantor or the development, construction or operation of the Facility or otherwise interfere with or impair the value of any Collateral; and (g) Liens that are subordinated to the Liens arising under this Agreement, the GSPA, or the Site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Proceeds</w:t>
      </w:r>
      <w:r>
        <w:rPr>
          <w:color w:val="000000"/>
        </w:rPr>
        <w:t xml:space="preserve">” </w:t>
      </w:r>
      <w:r>
        <w:rPr>
          <w:rFonts w:ascii="Times New Roman;sans-serif" w:hAnsi="Times New Roman;sans-serif"/>
          <w:b w:val="false"/>
          <w:color w:val="000000"/>
          <w:sz w:val="24"/>
        </w:rPr>
        <w:t>has the meaning assigned to the term “proceeds” in the Uniform Commercial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Obligations</w:t>
      </w:r>
      <w:r>
        <w:rPr>
          <w:color w:val="000000"/>
        </w:rPr>
        <w:t xml:space="preserve">” </w:t>
      </w:r>
      <w:r>
        <w:rPr>
          <w:rFonts w:ascii="Times New Roman;sans-serif" w:hAnsi="Times New Roman;sans-serif"/>
          <w:b w:val="false"/>
          <w:color w:val="000000"/>
          <w:sz w:val="24"/>
        </w:rPr>
        <w:t>shall mean any and all payment obligations of Grantor owing to Secured Party and its Affiliates, and their respective directors, officers, partners, shareholders, employees, agents, representatives, co-venturers, successors, permitted assigns, contractors or servants pursuant to the GSPA or the Site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Security Event of Default</w:t>
      </w:r>
      <w:r>
        <w:rPr>
          <w:color w:val="000000"/>
        </w:rPr>
        <w:t xml:space="preserve">” </w:t>
      </w:r>
      <w:r>
        <w:rPr>
          <w:rFonts w:ascii="Times New Roman;sans-serif" w:hAnsi="Times New Roman;sans-serif"/>
          <w:b w:val="false"/>
          <w:color w:val="000000"/>
          <w:sz w:val="24"/>
        </w:rPr>
        <w:t>means (a) an Event of Default pursuant to Section 8.1(a) of the GSPA has occurred and is continuing (which shall include the failure to satisfy any payment obligations of Grantor owing to Secured Party and its Affiliates, and their respective directors, officers, partners, shareholders, employees, agents, representatives, co-venturers, successors, permitted assigns, contractors or servants pursuant to the GSPA or the Site Lease), (b) an Event of Default as defined in the Site Lease has occurred and is continuing (which shall include the failure to make any payment), and/or (c) Grantor has breached a material covenant hereunder and failed to cure within thirty (30) days after receipt of written notice from Secured Party concerning such breach.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Site Lease</w:t>
      </w:r>
      <w:r>
        <w:rPr>
          <w:color w:val="000000"/>
        </w:rPr>
        <w:t xml:space="preserve">” </w:t>
      </w:r>
      <w:r>
        <w:rPr>
          <w:rFonts w:ascii="Times New Roman;sans-serif" w:hAnsi="Times New Roman;sans-serif"/>
          <w:b w:val="false"/>
          <w:color w:val="000000"/>
          <w:sz w:val="24"/>
        </w:rPr>
        <w:t>has the meaning assigned to the term in the recitals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37565"/>
                <wp:effectExtent l="0" t="0" r="0" b="0"/>
                <wp:wrapNone/>
                <wp:docPr id="100" name="Frame10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Uniform Commercial Code</w:t>
      </w:r>
      <w:r>
        <w:rPr>
          <w:color w:val="000000"/>
        </w:rPr>
        <w:t xml:space="preserve">” </w:t>
      </w:r>
      <w:r>
        <w:rPr>
          <w:rFonts w:ascii="Times New Roman;sans-serif" w:hAnsi="Times New Roman;sans-serif"/>
          <w:b w:val="false"/>
          <w:color w:val="000000"/>
          <w:sz w:val="24"/>
        </w:rPr>
        <w:t>shall mean the Uniform Commercial Code as in effect in under the laws of the State of New York.</w:t>
      </w:r>
    </w:p>
    <w:p>
      <w:pPr>
        <w:pStyle w:val="TextBody"/>
        <w:bidi w:val="0"/>
        <w:spacing w:lineRule="auto" w:line="240" w:before="0" w:after="240"/>
        <w:jc w:val="center"/>
        <w:rPr/>
      </w:pPr>
      <w:r>
        <w:rPr>
          <w:rFonts w:ascii="Times New Roman;sans-serif" w:hAnsi="Times New Roman;sans-serif"/>
          <w:b/>
          <w:color w:val="000000"/>
          <w:sz w:val="24"/>
        </w:rPr>
        <w:t>Article II</w:t>
      </w:r>
      <w:r>
        <w:rPr>
          <w:rFonts w:ascii="Times New Roman;sans-serif" w:hAnsi="Times New Roman;sans-serif"/>
          <w:b/>
          <w:color w:val="000000"/>
          <w:sz w:val="24"/>
        </w:rPr>
        <w:br/>
        <w:t>THE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As collateral security for the prompt payment of the Secured Obligations in full when due, Grantor hereby pledges and grants to Secured Party a first priority lien and security interest in and to all of the following property of Grantor (subject to any Permitted Liens), wherever located, whether now owned or in the future acquired by Grantor and whether now existing or in the future coming into existence (collectively, the “</w:t>
      </w:r>
      <w:r>
        <w:rPr>
          <w:rFonts w:ascii="Times New Roman;sans-serif" w:hAnsi="Times New Roman;sans-serif"/>
          <w:b w:val="false"/>
          <w:color w:val="000000"/>
          <w:sz w:val="24"/>
          <w:u w:val="single"/>
        </w:rPr>
        <w:t>Collateral</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of Grantor’s personal property and fixtures, wherever located, whether now or hereafter owned, existing or acquired or hereafter arising, including, without limitation, the following: all accounts, inventory, equipment, general intangibles (including, without limitation, trade names, permits, licenses and other intangible property rights), fixtures, goods, leasehold improvements, documents, instruments, chattel paper, money, deposit accounts, accounts receivable, rights to draw on letters and advices of credit and the cash or noncash proceeds (including insurance or other rights to receive payment with respect thereto) of any of the foregoing and all accessions and additions to and replacements of the foregoing, and all books and records pertaining to any of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Financing Statements</w:t>
      </w:r>
      <w:r>
        <w:rPr>
          <w:rFonts w:ascii="Times New Roman;sans-serif" w:hAnsi="Times New Roman;sans-serif"/>
          <w:b w:val="false"/>
          <w:color w:val="000000"/>
          <w:sz w:val="24"/>
        </w:rPr>
        <w:t>. Grantor authorizes Secured Party to file such financing statements and continuation statements in such offices as are or shall be necessary or as Secured Party may determine to be appropriate to create, perfect and establish the priority of the liens granted by this Agreement in any and all of the Collateral, to preserve the validity, perfection or priority of the liens granted by this Agreement in any and all of the Collateral or to enable Secured Party to exercise its remedies, rights, powers and privileges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Use and Defense of Collateral</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So long as no Security Event of Default has occurred and is continuing, Grantor shall be entitled to use and possess the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So long as no Security Event of Default has occurred and is continuing, Grantor is free and entitled to sell, transfer, assign, convey, distribute or otherwise dispose of any of the Collateral in the ordinary course of its business but only if such sale, transfer, assignment, conveyance, or distribution (i) has a fair market value of less than One Hundred Thousand Dollars ($100,000.00), (ii) does not impair the ability of the Facility to operate as contemplated under the GSPA, or (iii) does not cause Grantor or the Collateral to fail to comply with the terms and conditions of Section 2.4 of the GSPA. Any sale, transfer, assignment, conveyance, distribution or disposal of the Collateral in excess of One Hundred Thousand ($100,000.00) shall require (Y) Grantor to notify Secured Party in writing at least ten (10) Business Days prior to Grantor’s sale, transfer, assignment, conveyance, distribution or disposal of the Collateral, and (Z) Grantor’s prior written consent, which consent shall not be unreasonably withheld. Grantor shall not sell, transfer, assign, convey, distribute or otherwise dispose of any of the Collateral in a series of transactions where such Collateral has a fair market value of less than One Hundred Thousand Dollars ($100,000.00) with the intent of circumventing the notice and consent requirements of the immediately preceding sentence. For the avoidance of doubt, the restrictions contained in this </w:t>
      </w:r>
      <w:r>
        <w:rPr>
          <w:rFonts w:ascii="Times New Roman;sans-serif" w:hAnsi="Times New Roman;sans-serif"/>
          <w:b w:val="false"/>
          <w:color w:val="000000"/>
          <w:sz w:val="24"/>
          <w:u w:val="single"/>
        </w:rPr>
        <w:t>Section 2.03(b)</w:t>
      </w:r>
      <w:r>
        <w:rPr>
          <w:color w:val="000000"/>
        </w:rPr>
        <w:t xml:space="preserve"> </w:t>
      </w:r>
      <w:r>
        <w:rPr>
          <w:rFonts w:ascii="Times New Roman;sans-serif" w:hAnsi="Times New Roman;sans-serif"/>
          <w:b w:val="false"/>
          <w:color w:val="000000"/>
          <w:sz w:val="24"/>
        </w:rPr>
        <w:t>shall not apply to any sale, transfer, assignment, conveyance or distribution of Collateral that is being replaced with like-kind equipment.</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37565"/>
                <wp:effectExtent l="0" t="0" r="0" b="0"/>
                <wp:wrapNone/>
                <wp:docPr id="101" name="Frame10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Grantor shall not create, permit or suffer to exist and shall defend the Collateral against, and take such other action as is necessary to remove, any lien in respect of the Collateral (other than Permitted Liens) and shall defend, at their sole cost and expense, the right, title and interest of Secured Party and Grantor in and to any of their rights in, to and under the Collateral against the claims and demands of all persons whomsoever. Grantor shall notify Secured Party promptly upon gaining knowledge of any event causing loss or significant change in circumstances causing material reduction in the value of the Collateral and the amount of such loss or reduction and in no event shall take any action which may impair Secured Party’s rights in the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Rights and Obligations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Secured Party shall not be required to take steps necessary to preserve any rights against prior parties to any part of the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Grantor shall remain liable to perform its duties and obligations under the contracts and agreements included in the Collateral in accordance with their respective terms to the same extent as if this Agreement had not been executed and delivered. The exercise by Secured Party of any right, remedy, power or privilege in respect of this Agreement shall not release Grantor from any of its duties and obligations under those contracts and agreements. Secured Party shall not have any duty, obligation or liability under those contracts, agreements, permits or licenses included in the Collateral by reason of this Agreement, nor shall Secured Party be obligated to perform any of the duties or obligations of Grantor under any such contract, agreement, permit or license or to take any action to collect or enforce any claim (for payment) under any such contract, agreement, permit or license.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lien granted by this Agreement in Grantor’s right, title and interest in any contracts, agreements, permits or licenses shall be deemed to be a consent by Secured Party to any such contract, agreement, permits or licenses.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Grantor’s Covenants</w:t>
      </w:r>
      <w:r>
        <w:rPr>
          <w:rFonts w:ascii="Times New Roman;sans-serif" w:hAnsi="Times New Roman;sans-serif"/>
          <w:b w:val="false"/>
          <w:color w:val="000000"/>
          <w:sz w:val="24"/>
        </w:rPr>
        <w:t>. In addition to the other covenants herein, Grantor agrees to not, during the term of this Agreement (and any extension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use or permit the use of any Collateral for any unlawful purpose or in any way that would void any insurance required to be carried in connection therewith;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waste, destroy or abandon the equipment or inventory or any part thereof except for equipment or inventory that, in the good faith judgment of the Grantor, is worn out, obsolete or without material economic value;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change their name, identity or corporate structure in any manner that might make financing statements filed in connection herewith misleading or ineffective.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The Secured Party’s Appointment as Attorneys-in-Fact</w:t>
      </w:r>
      <w:r>
        <w:rPr>
          <w:rFonts w:ascii="Times New Roman;sans-serif" w:hAnsi="Times New Roman;sans-serif"/>
          <w:b w:val="false"/>
          <w:color w:val="000000"/>
          <w:sz w:val="24"/>
        </w:rPr>
        <w:t xml:space="preserve">. Effective upon the occurrence and continuance of a Security Event of Default, Grantor hereby irrevocably constitutes and appoints the Secured Party and any officer or agent thereof, with full power of substitution, as their true and lawful attorneys-in-fact with full irrevocable power and authority in the place and stead of Grantor upon notice thereto but without assent thereof, and in the name of Grantor or in their own names, from time to time, for the purpose of carrying out the terms of this Agreement, to take any and all appropriate action, in the Secured Party’s reasonable discretion, and to execute any and all documents and instruments which may be reasonably necessary or desirable in the judgment of the Secured Party, and to take any of the actions permitted under </w:t>
      </w:r>
      <w:r>
        <w:rPr>
          <w:rFonts w:ascii="Times New Roman;sans-serif" w:hAnsi="Times New Roman;sans-serif"/>
          <w:b w:val="false"/>
          <w:color w:val="000000"/>
          <w:sz w:val="24"/>
          <w:u w:val="single"/>
        </w:rPr>
        <w:t>Articles 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hereof.</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37565"/>
                <wp:effectExtent l="0" t="0" r="0" b="0"/>
                <wp:wrapNone/>
                <wp:docPr id="102" name="Frame10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Grantor hereby ratifies all that said attorneys shall lawfully do or cause to be done by virtue hereof. This power of attorney is a power coupled with an interest and shall be irrevocable. The powers conferred on the Secured Party hereunder are solely to protect its interests in the Collateral and shall not impose any duty upon the Secured Party to exercise any such powers. The Secured Party shall be accountable only for amounts that it actually receives as a result of the exercise of such powers and in no event shall the Secured Party or any of its officers, directors, employees or agents be responsible to Grantor for any act or failure to act, except for willful misconduct, unless a higher standard is imposed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Upon the occurrence of the Discharge Date, Secured Party shall forthwith cause to be assigned, transferred and delivered, against receipt but without any recourse, warranty or representation whatsoever, any remaining Collateral and money received in respect of the Collateral, to or on the order of Grantor. Secured Party shall also execute and deliver to Grantor, at Grantor’s expense, upon such termination such Uniform Commercial Code termination statements and other documentation as shall be reasonably requested by Grantor to effect the termination and release of the liens created under this Agreement. The security interest created hereby shall also be released with respect to any portion of the Collateral that is sold, transferred or otherwise disposed of in compliance with the terms and conditions of this Agreement.</w:t>
      </w:r>
    </w:p>
    <w:p>
      <w:pPr>
        <w:pStyle w:val="TextBody"/>
        <w:bidi w:val="0"/>
        <w:spacing w:lineRule="auto" w:line="240" w:before="0" w:after="240"/>
        <w:jc w:val="center"/>
        <w:rPr/>
      </w:pPr>
      <w:r>
        <w:rPr>
          <w:rFonts w:ascii="Times New Roman;sans-serif" w:hAnsi="Times New Roman;sans-serif"/>
          <w:b/>
          <w:color w:val="000000"/>
          <w:sz w:val="24"/>
        </w:rPr>
        <w:t>Article III</w:t>
      </w:r>
      <w:r>
        <w:rPr>
          <w:rFonts w:ascii="Times New Roman;sans-serif" w:hAnsi="Times New Roman;sans-serif"/>
          <w:b/>
          <w:color w:val="000000"/>
          <w:sz w:val="24"/>
        </w:rPr>
        <w:br/>
        <w:t>REPRESENTATIONS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the date of this Agreement, Grantor represents and warrants to Secured Party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Organization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Annex 1</w:t>
      </w:r>
      <w:r>
        <w:rPr>
          <w:color w:val="000000"/>
        </w:rPr>
        <w:t xml:space="preserve"> </w:t>
      </w:r>
      <w:r>
        <w:rPr>
          <w:rFonts w:ascii="Times New Roman;sans-serif" w:hAnsi="Times New Roman;sans-serif"/>
          <w:b w:val="false"/>
          <w:color w:val="000000"/>
          <w:sz w:val="24"/>
        </w:rPr>
        <w:t>correctly sets forth Grantor’s full and correct legal name, type of organization, jurisdiction of organization, organizational identification number (if applicable), chief executive office and mailing address as of the date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Grantor has not (i) changed its location (as defined in Section 9-307 of the Uniform Commercial Code), (ii) previously changed its name except as set forth on </w:t>
      </w:r>
      <w:r>
        <w:rPr>
          <w:rFonts w:ascii="Times New Roman;sans-serif" w:hAnsi="Times New Roman;sans-serif"/>
          <w:b w:val="false"/>
          <w:color w:val="000000"/>
          <w:sz w:val="24"/>
          <w:u w:val="single"/>
        </w:rPr>
        <w:t>Annex 1</w:t>
      </w:r>
      <w:r>
        <w:rPr>
          <w:color w:val="000000"/>
        </w:rPr>
        <w:t xml:space="preserve"> </w:t>
      </w:r>
      <w:r>
        <w:rPr>
          <w:rFonts w:ascii="Times New Roman;sans-serif" w:hAnsi="Times New Roman;sans-serif"/>
          <w:b w:val="false"/>
          <w:color w:val="000000"/>
          <w:sz w:val="24"/>
        </w:rPr>
        <w:t xml:space="preserve">and (iii) previously become a “new debtor” (as defined in the Uniform Commercial Code) with respect to a currently effective security agreement entered into by another Person except as set forth on </w:t>
      </w:r>
      <w:r>
        <w:rPr>
          <w:rFonts w:ascii="Times New Roman;sans-serif" w:hAnsi="Times New Roman;sans-serif"/>
          <w:b w:val="false"/>
          <w:color w:val="000000"/>
          <w:sz w:val="24"/>
          <w:u w:val="single"/>
        </w:rPr>
        <w:t>Annex 1</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Title</w:t>
      </w:r>
      <w:r>
        <w:rPr>
          <w:rFonts w:ascii="Times New Roman;sans-serif" w:hAnsi="Times New Roman;sans-serif"/>
          <w:b w:val="false"/>
          <w:color w:val="000000"/>
          <w:sz w:val="24"/>
        </w:rPr>
        <w:t>. Grantor is the sole beneficial owner of the Collateral in which it purports to grant a lien pursuant to this Agreement, and the Collateral is free and clear of all liens (subject to any Permitted Liens).</w:t>
      </w:r>
    </w:p>
    <w:p>
      <w:pPr>
        <w:pStyle w:val="TextBody"/>
        <w:bidi w:val="0"/>
        <w:spacing w:lineRule="auto" w:line="240" w:before="0" w:after="240"/>
        <w:jc w:val="center"/>
        <w:rPr/>
      </w:pPr>
      <w:r>
        <w:rPr>
          <w:rFonts w:ascii="Times New Roman;sans-serif" w:hAnsi="Times New Roman;sans-serif"/>
          <w:b/>
          <w:color w:val="000000"/>
          <w:sz w:val="24"/>
        </w:rPr>
        <w:t>Article IV</w:t>
      </w:r>
      <w:r>
        <w:rPr>
          <w:rFonts w:ascii="Times New Roman;sans-serif" w:hAnsi="Times New Roman;sans-serif"/>
          <w:b/>
          <w:color w:val="000000"/>
          <w:sz w:val="24"/>
        </w:rPr>
        <w:br/>
        <w:t>COVENANTS; INDEMNITY</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37565"/>
                <wp:effectExtent l="0" t="0" r="0" b="0"/>
                <wp:wrapNone/>
                <wp:docPr id="103" name="Frame10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Until the Discharge Date and upon a request from Secured Party, Grantor shall take all necessary action to permit Secured Party immediately to perfect its lien and security interest in the Collateral, except for such Collateral in which a lien or security interest can be perfected only by possession. Such filings shall be in form and substance reasonably required by Secured Party. At Secured Party’s request, Grantor shall execute and deliver to Secured Party, at any time and from time to time hereafter, all supplemental documentation (including, without limitation, deeds, conveyances, mortgages, assignments, notices of assignments, financing statements and continuation statements) that Secured Party may deem desirable or necessary to maintain, preserve, continue or perfect security interest and liens granted Secured Party hereby, in form and substance reasonably acceptable to Secured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Negative Pledge</w:t>
      </w:r>
      <w:r>
        <w:rPr>
          <w:rFonts w:ascii="Times New Roman;sans-serif" w:hAnsi="Times New Roman;sans-serif"/>
          <w:b w:val="false"/>
          <w:color w:val="000000"/>
          <w:sz w:val="24"/>
        </w:rPr>
        <w:t>. Grantor shall not create, incur, assume or suffer to exist any Lien with respect to any of the Collateral other than Permitted Liens.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Indemnity</w:t>
      </w:r>
      <w:r>
        <w:rPr>
          <w:rFonts w:ascii="Times New Roman;sans-serif" w:hAnsi="Times New Roman;sans-serif"/>
          <w:b w:val="false"/>
          <w:color w:val="000000"/>
          <w:sz w:val="24"/>
        </w:rPr>
        <w:t>. In no event shall the Secured Party be liable for any matter or thing in connection with this Agreement other than to account for monies actually received by it in accordance with the terms hereof. Grantor agree to indemnify and hold harmless the Secured Party from and against any and all claims, demands, losses, judgments and liabilities of whatsoever kind or nature, and to reimburse the Secured Party for all costs and expenses, including reasonable attorneys’ fees, growing out of or resulting from the exercise by the Secured Party of any right or remedy granted to it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Records and Inspection</w:t>
      </w:r>
      <w:r>
        <w:rPr>
          <w:rFonts w:ascii="Times New Roman;sans-serif" w:hAnsi="Times New Roman;sans-serif"/>
          <w:b w:val="false"/>
          <w:color w:val="000000"/>
          <w:sz w:val="24"/>
        </w:rPr>
        <w:t>. Grantor agrees that it will at all times keep accurate and complete records with respect to the Collateral and agrees that Secured Party or its agents or representatives (including, without limitation, accountants, appraisers or other persons retained by Secured Party) shall have the right upon reasonable advance written notice to call during regular business hours at Grantor’s place or places of business or where the Collateral may be located or where records relating thereto may be kept and to inspect such Collateral and to examine or cause to be examined such records and to make extracts therefrom or copies thereof. Grantor will, with respect to the Collateral, deliver to Secured Party, at Grantor’s expense, such papers as Secured Party may reasonably request.</w:t>
      </w:r>
    </w:p>
    <w:p>
      <w:pPr>
        <w:pStyle w:val="TextBody"/>
        <w:bidi w:val="0"/>
        <w:spacing w:lineRule="auto" w:line="240" w:before="0" w:after="240"/>
        <w:jc w:val="center"/>
        <w:rPr/>
      </w:pPr>
      <w:r>
        <w:rPr>
          <w:rFonts w:ascii="Times New Roman;sans-serif" w:hAnsi="Times New Roman;sans-serif"/>
          <w:b/>
          <w:color w:val="000000"/>
          <w:sz w:val="24"/>
        </w:rPr>
        <w:t>Article V</w:t>
      </w:r>
      <w:r>
        <w:rPr>
          <w:rFonts w:ascii="Times New Roman;sans-serif" w:hAnsi="Times New Roman;sans-serif"/>
          <w:b/>
          <w:color w:val="000000"/>
          <w:sz w:val="24"/>
        </w:rPr>
        <w:br/>
        <w:t>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Events of Default, Etc</w:t>
      </w:r>
      <w:r>
        <w:rPr>
          <w:rFonts w:ascii="Times New Roman;sans-serif" w:hAnsi="Times New Roman;sans-serif"/>
          <w:b w:val="false"/>
          <w:color w:val="000000"/>
          <w:sz w:val="24"/>
        </w:rPr>
        <w:t>. If any Security Event of Default shall have occurred and be continuing: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Secured Party in its discretion may require Grantor to, and Grantor shall, assemble the Collateral owned by it at such place or places, reasonably convenient to both Secured Party and Grantor, designated in Secured Party’s request;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Secured Party in its discretion may make any reasonable compromise or settlement it deems desirable with respect to any of the Collateral and may extend the time of payment, arrange for payment in installments, or otherwise modify the terms of, all or any part of the Collateral;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Secured Party in its discretion may, in its name or in the name of Grantor or otherwise, demand, sue for, collect or receive any money or property at any time payable or receivable on account of or in exchange for all or any part of the Collateral, but shall be under no obligation to do so;</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37565"/>
                <wp:effectExtent l="0" t="0" r="0" b="0"/>
                <wp:wrapNone/>
                <wp:docPr id="104" name="Frame10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Secured Party in its discretion may, upon reasonable prior written notice to Grantor of the time and place, with respect to all or any part of the Collateral which shall then be or shall thereafter come into the possession, custody or control of Secured Party, or any of its Collateral Agents, sell, lease or otherwise dispose of all or any part of such Collateral, at such place or places as Secured Party deems best, for cash, for credit or for future delivery (without thereby assuming any credit risk) and at public or private sale, without demand of performance or notice of intention to effect any such disposition or of time or place of any such sale (except such notice as is required above or by applicable statute and cannot be waived), and Secured Party or any other Person may be the purchaser, lessee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Grantor, any such demand, notice and right or equity being hereby expressly waived and released. Secured Party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Secured Party shall have, and in its discretion may exercise, all of the rights, remedies, powers and privileges with respect to the Collateral of a secured party under the Uniform Commercial Code and such additional rights, remedies, powers and privileges to which a secured party is entitled under the laws in effect in any jurisdiction where any rights, remedies, powers and privileges in respect of this Agreement or the Collateral may be asserted, including the right, to the maximum extent permitted by law, to exercise all voting, consensual and other powers of ownership pertaining to the Collateral as if Secured Party were the sole and absolute owner of the Collateral (and Grantor agrees to take all such action as may be appropriate to give effect to such right);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Secured Party in its discretion may enforce one or more remedies hereunder, successively or concurrently, and such action shall not operate to estop or prevent Secured Party from pursuing any other or further remedy which it may have hereunder or by law, and any repossession or retaking or sale of the Collateral pursuant to the terms hereof shall not operate to release Grantor until full and final payment of any deficiency has been made in cash. Grantor shall reimburse Secured Party upon demand for, or Secured Party may apply any proceeds of Collateral to, the costs and expenses (including reasonable attorneys’ fees, transfer taxes and any other charges) incurred by Secured Party in connection with any sale, disposition, repair, replacement, alteration, addition, improvement or retention of any Collateral hereunder.</w:t>
      </w:r>
    </w:p>
    <w:p>
      <w:pPr>
        <w:pStyle w:val="TextBody"/>
        <w:bidi w:val="0"/>
        <w:spacing w:lineRule="auto" w:line="240" w:before="0" w:after="240"/>
        <w:jc w:val="both"/>
        <w:rPr/>
      </w:pPr>
      <w:r>
        <w:rPr>
          <w:rFonts w:ascii="Times New Roman;sans-serif" w:hAnsi="Times New Roman;sans-serif"/>
          <w:b w:val="false"/>
          <w:color w:val="000000"/>
          <w:sz w:val="24"/>
        </w:rPr>
        <w:t xml:space="preserve">The proceeds of, and other realization upon, the Collateral by virtue of the exercise of remedies under this </w:t>
      </w:r>
      <w:r>
        <w:rPr>
          <w:rFonts w:ascii="Times New Roman;sans-serif" w:hAnsi="Times New Roman;sans-serif"/>
          <w:b w:val="false"/>
          <w:color w:val="000000"/>
          <w:sz w:val="24"/>
          <w:u w:val="single"/>
        </w:rPr>
        <w:t>Section 5.01</w:t>
      </w:r>
      <w:r>
        <w:rPr>
          <w:color w:val="000000"/>
        </w:rPr>
        <w:t xml:space="preserve"> </w:t>
      </w:r>
      <w:r>
        <w:rPr>
          <w:rFonts w:ascii="Times New Roman;sans-serif" w:hAnsi="Times New Roman;sans-serif"/>
          <w:b w:val="false"/>
          <w:color w:val="000000"/>
          <w:sz w:val="24"/>
        </w:rPr>
        <w:t xml:space="preserve">shall be applied in accordance with </w:t>
      </w:r>
      <w:r>
        <w:rPr>
          <w:rFonts w:ascii="Times New Roman;sans-serif" w:hAnsi="Times New Roman;sans-serif"/>
          <w:b w:val="false"/>
          <w:color w:val="000000"/>
          <w:sz w:val="24"/>
          <w:u w:val="single"/>
        </w:rPr>
        <w:t>Section 5.03</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Private Sale</w:t>
      </w:r>
      <w:r>
        <w:rPr>
          <w:rFonts w:ascii="Times New Roman;sans-serif" w:hAnsi="Times New Roman;sans-serif"/>
          <w:b w:val="false"/>
          <w:color w:val="000000"/>
          <w:sz w:val="24"/>
        </w:rPr>
        <w:t xml:space="preserve">. Secured Party shall incur no liability as a result of the sale, lease or other disposition of all or any part of the Collateral at any private sale pursuant to </w:t>
      </w:r>
      <w:r>
        <w:rPr>
          <w:rFonts w:ascii="Times New Roman;sans-serif" w:hAnsi="Times New Roman;sans-serif"/>
          <w:b w:val="false"/>
          <w:color w:val="000000"/>
          <w:sz w:val="24"/>
          <w:u w:val="single"/>
        </w:rPr>
        <w:t>Section 5.01</w:t>
      </w:r>
      <w:r>
        <w:rPr>
          <w:color w:val="000000"/>
        </w:rPr>
        <w:t xml:space="preserve"> </w:t>
      </w:r>
      <w:r>
        <w:rPr>
          <w:rFonts w:ascii="Times New Roman;sans-serif" w:hAnsi="Times New Roman;sans-serif"/>
          <w:b w:val="false"/>
          <w:color w:val="000000"/>
          <w:sz w:val="24"/>
        </w:rPr>
        <w:t>conducted in a commercially reasonable manner.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Application of Proceeds</w:t>
      </w:r>
      <w:r>
        <w:rPr>
          <w:rFonts w:ascii="Times New Roman;sans-serif" w:hAnsi="Times New Roman;sans-serif"/>
          <w:b w:val="false"/>
          <w:color w:val="000000"/>
          <w:sz w:val="24"/>
        </w:rPr>
        <w:t xml:space="preserve">. Except as otherwise expressly provided in this Agreement and except as provided below in this </w:t>
      </w:r>
      <w:r>
        <w:rPr>
          <w:rFonts w:ascii="Times New Roman;sans-serif" w:hAnsi="Times New Roman;sans-serif"/>
          <w:b w:val="false"/>
          <w:color w:val="000000"/>
          <w:sz w:val="24"/>
          <w:u w:val="single"/>
        </w:rPr>
        <w:t>Section 5.03</w:t>
      </w:r>
      <w:r>
        <w:rPr>
          <w:rFonts w:ascii="Times New Roman;sans-serif" w:hAnsi="Times New Roman;sans-serif"/>
          <w:b w:val="false"/>
          <w:color w:val="000000"/>
          <w:sz w:val="24"/>
        </w:rPr>
        <w:t xml:space="preserve">, the Proceeds of, or other realization upon, all or any part of the Collateral by virtue of the exercise of remedies under </w:t>
      </w:r>
      <w:r>
        <w:rPr>
          <w:rFonts w:ascii="Times New Roman;sans-serif" w:hAnsi="Times New Roman;sans-serif"/>
          <w:b w:val="false"/>
          <w:color w:val="000000"/>
          <w:sz w:val="24"/>
          <w:u w:val="single"/>
        </w:rPr>
        <w:t>Section 5.01</w:t>
      </w:r>
      <w:r>
        <w:rPr>
          <w:rFonts w:ascii="Times New Roman;sans-serif" w:hAnsi="Times New Roman;sans-serif"/>
          <w:b w:val="false"/>
          <w:color w:val="000000"/>
          <w:sz w:val="24"/>
        </w:rPr>
        <w:t xml:space="preserve">, and any other cash at the time held by Secured Party or under this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shall be applied by Secured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to the payment of the costs and expenses of such exercise of remedies, including reasonable out-of-pocket costs and expenses of Secured Party, the fees and expenses of its collateral agents and counsel and all other expenses incurred and advances made by Secured Party in that connection;</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37565"/>
                <wp:effectExtent l="0" t="0" r="0" b="0"/>
                <wp:wrapNone/>
                <wp:docPr id="105" name="Frame10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928" w:type="dxa"/>
                        <w:jc w:val="left"/>
                        <w:tblInd w:w="0" w:type="dxa"/>
                        <w:tblLayout w:type="fixed"/>
                        <w:tblCellMar>
                          <w:top w:w="28" w:type="dxa"/>
                          <w:left w:w="28" w:type="dxa"/>
                          <w:bottom w:w="28" w:type="dxa"/>
                          <w:right w:w="28" w:type="dxa"/>
                        </w:tblCellMar>
                      </w:tblPr>
                      <w:tblGrid>
                        <w:gridCol w:w="124"/>
                        <w:gridCol w:w="109"/>
                        <w:gridCol w:w="109"/>
                        <w:gridCol w:w="404"/>
                        <w:gridCol w:w="404"/>
                        <w:gridCol w:w="4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Next</w:t>
      </w:r>
      <w:r>
        <w:rPr>
          <w:rFonts w:ascii="Times New Roman;sans-serif" w:hAnsi="Times New Roman;sans-serif"/>
          <w:b w:val="false"/>
          <w:color w:val="000000"/>
          <w:sz w:val="24"/>
        </w:rPr>
        <w:t>, to the payment in full of the remaining Secured Obligations equally and ratably in accordance with their respective amounts then due and owing and for amounts not yet due and owing, a reasonable reserve at least equal to the estimated amount to be due and owing in the future or as Secured Party may otherwise agree;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u w:val="single"/>
        </w:rPr>
        <w:t>Finally</w:t>
      </w:r>
      <w:r>
        <w:rPr>
          <w:rFonts w:ascii="Times New Roman;sans-serif" w:hAnsi="Times New Roman;sans-serif"/>
          <w:b w:val="false"/>
          <w:color w:val="000000"/>
          <w:sz w:val="24"/>
        </w:rPr>
        <w:t>, subject to the rights of any other holder of any lien in the relevant Collateral, to the payment to Grantor, or its respective successors or assigns, or as a court of competent jurisdiction may direct, of any surplus then remaining.</w:t>
      </w:r>
    </w:p>
    <w:p>
      <w:pPr>
        <w:pStyle w:val="TextBody"/>
        <w:bidi w:val="0"/>
        <w:spacing w:lineRule="auto" w:line="240" w:before="0" w:after="240"/>
        <w:jc w:val="center"/>
        <w:rPr/>
      </w:pPr>
      <w:r>
        <w:rPr>
          <w:rFonts w:ascii="Times New Roman;sans-serif" w:hAnsi="Times New Roman;sans-serif"/>
          <w:b/>
          <w:color w:val="000000"/>
          <w:sz w:val="24"/>
        </w:rPr>
        <w:t>Article VI</w:t>
      </w:r>
      <w:r>
        <w:rPr>
          <w:rFonts w:ascii="Times New Roman;sans-serif" w:hAnsi="Times New Roman;sans-serif"/>
          <w:b/>
          <w:color w:val="000000"/>
          <w:sz w:val="24"/>
        </w:rPr>
        <w:br/>
        <w:t>MISCELLANEOUS PROVISIONS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1.01.</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and other communications provided for herein (including, without limitation, any modifications of, or waivers or consents under, this Agreement) shall be given or made in writing (which may be by telecopier) delivered to the intended recipient at the address listed at Section 12.3 of the GSPA (</w:t>
      </w:r>
      <w:r>
        <w:rPr>
          <w:rFonts w:ascii="Times New Roman;sans-serif" w:hAnsi="Times New Roman;sans-serif"/>
          <w:b w:val="false"/>
          <w:i/>
          <w:color w:val="000000"/>
          <w:sz w:val="24"/>
        </w:rPr>
        <w:t>Notices</w:t>
      </w:r>
      <w:r>
        <w:rPr>
          <w:rFonts w:ascii="Times New Roman;sans-serif" w:hAnsi="Times New Roman;sans-serif"/>
          <w:b w:val="false"/>
          <w:color w:val="000000"/>
          <w:sz w:val="24"/>
        </w:rPr>
        <w:t>); or, as to any party, at such other address as shall be designated by such party in a notice to each other party. Except as otherwise provided in this Agreement, all such communications shall be deemed to have been duly given when transmitted by telecopier or personally delivered or, in the case of a mailed notice, upon receipt, in each case given or addressed as aforesaid.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1.02.</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Except as otherwise expressly provided in this Agreement, any provision of this Agreement may be amended or modified only by an instrument in writing signed by Grantor and Secured Party and any provision of this Agreement may be waived in writing only by Secured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1.03.</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This Agreement shall be binding upon and inure to the benefit of the parties hereto and their respective successors and permitted assigns of the parties to this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Grantor may not assign or transfer any of its respective rights or interest in or under this Agreement or delegate any of its obligations under this Agreement without the prior written consent of Secured Party, which such consent shall be in the sole and absolute discretion of Secured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1.04.</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All agreements, statements, representations and warranties made by Grantor herein or in any certificate or other instrument delivered by Grantor or on its behalf under this Agreement shall be considered to have been relied upon by Secured Party and shall survive the execution and delivery of this Agreement until termination thereof regardless of any investigation made by or on behalf of Secured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1.05.</w:t>
      </w:r>
      <w:r>
        <w:rPr>
          <w:rFonts w:ascii="Times New Roman;sans-serif" w:hAnsi="Times New Roman;sans-serif"/>
          <w:b w:val="false"/>
          <w:color w:val="000000"/>
          <w:sz w:val="24"/>
          <w:u w:val="single"/>
        </w:rPr>
        <w:t>Secured Party’s Liability</w:t>
      </w:r>
      <w:r>
        <w:rPr>
          <w:rFonts w:ascii="Times New Roman;sans-serif" w:hAnsi="Times New Roman;sans-serif"/>
          <w:b w:val="false"/>
          <w:color w:val="000000"/>
          <w:sz w:val="24"/>
        </w:rPr>
        <w:t>. In no event shall Secured Party be liable for any matter or thing in connection with this Agreement other than to account for monies actually received by it in accordance with the terms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1.06.</w:t>
      </w:r>
      <w:r>
        <w:rPr>
          <w:rFonts w:ascii="Times New Roman;sans-serif" w:hAnsi="Times New Roman;sans-serif"/>
          <w:b w:val="false"/>
          <w:color w:val="000000"/>
          <w:sz w:val="24"/>
          <w:u w:val="single"/>
        </w:rPr>
        <w:t>No Waiver; Remedies Cumulative</w:t>
      </w:r>
      <w:r>
        <w:rPr>
          <w:rFonts w:ascii="Times New Roman;sans-serif" w:hAnsi="Times New Roman;sans-serif"/>
          <w:b w:val="false"/>
          <w:color w:val="000000"/>
          <w:sz w:val="24"/>
        </w:rPr>
        <w:t>. No failure or delay on the part of Secured Party in exercising any right, power or privilege hereunder and no course of dealing between Grantor and Secured Party shall operate as a waiver thereof; nor shall any single or partial exercise of any right, power or privilege hereunder preclude any other or further exercise thereof or the exercise of any other right, power or privilege hereunder or thereunder.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37565"/>
                <wp:effectExtent l="0" t="0" r="0" b="0"/>
                <wp:wrapNone/>
                <wp:docPr id="106" name="Frame10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1.07.</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by one or more of the parties hereto on any number of separate counterparts, by facsimile or electronic mail, and all of said counterparts taken together shall be deemed to constitute one and the same instrument; signature pages may be detached from multiple separate counterparts and attached to a single counterpart so that all signatures are physically attached to the same document. A facsimile or “pdf” signature page shall constitute an original for purposes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1.08.</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The headings of the several articles and sections and sub sections of this Agreement are inserted for convenience only and shall not in any way affect the meaning or construction of any provision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1.09.</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In case any provision contained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1.10.</w:t>
      </w:r>
      <w:r>
        <w:rPr>
          <w:rFonts w:ascii="Times New Roman;sans-serif" w:hAnsi="Times New Roman;sans-serif"/>
          <w:b w:val="false"/>
          <w:color w:val="000000"/>
          <w:sz w:val="24"/>
          <w:u w:val="single"/>
        </w:rPr>
        <w:t>Governing Law; Submission to Jurisdiction and Venue; Waiver of Jury Trial</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ANY INSTRUMENT OR AGREEMENT REQUIRED HEREUNDER (TO THE EXTENT NOT EXPRESSLY PROVIDED FOR THEREIN), SHALL BE GOVERNED BY, AND CONSTRUED UNDER, THE LAWS OF THE STATE OF ARIZONA, APPLICABLE TO CONTRACTS MADE AND TO BE PERFORMED IN SUCH STATE AND WITHOUT REFERENCE TO CONFLICTS OF LAWS RULES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ANY DISPUTE SHALL BE BROUGHT EXCLUSIVELY IN THE STATE OR FEDERAL COURTS LOCATED IN MARICOPA COUNTY, ARIZONA. BY EXECUTION AND DELIVERY OF THIS AGREEMENT, WITH RESPECT TO LEGAL ACTIONS THAT MAY ARISE UNDER THIS AGREEMENT, EACH OF THE PARTIES KNOWINGLY, VOLUNTARILY AND IRREVOCABLY: (A) CONSENTS, FOR ITSELF AND IN RESPECT OF ITS PROPERTY, TO THE EXCLUSIVE JURISDICTION OF THESE COURTS; (B) WAIVES ANY IMMUNITY OR OBJECTION, INCLUDING ANY OBJECTION TO PERSONAL JURISDICTION OR THE LAYING OF VENUE OR BASED ON THE GROUNDS OF FORUM NON CONVENIENS, WHICH IT MAY HAVE FROM OR TO THE BRINGING OF THE DISPUTE IN SUCH JURISDICTION; (C) WAIVES ANY PERSONAL SERVICE OF ANY SUMMONS, COMPLAINT OR OTHER PROCESS THAT MAY BE MADE BY ANY OTHER MEANS PERMITTED BY THE STATE OF ARIZONA; (D) WAIVES ANY RIGHT TO TRIAL BY JURY; (E) AGREES THAT ANY SUCH DISPUTE SHALL BE DECIDED BY COURT TRIAL WITHOUT A JURY; AND (F) AGREES THAT ANY PARTY TO THIS AGREEMENT MAY FILE AN ORIGINAL COUNTERPART OR A COPY OF THIS SECTION WITH ANY COURT AS WRITTEN EVIDENCE OF THE CONSENTS, WAIVERS AND AGREEMENTS OF THE PARTIES SET FORTH IN THIS SECTION.</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37565"/>
                <wp:effectExtent l="0" t="0" r="0" b="0"/>
                <wp:wrapNone/>
                <wp:docPr id="107" name="Frame10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EXCEPT IN CONNECTION WITH CLAIMS BY THIRD PARTIES THAT ARE NEITHER INDEMNIFIED PARTIES NOR INDEMNIFIED PARTIES, THE FRAUD OR WILLFUL MISCONDUCT OF THE OTHER PARTY, OR ANY OF ITS SUCCESSORS IN INTEREST OR THEIR AFFILIATES, DIRECTORS, OFFICERS, EMPLOYEES, ATTORNEYS OR COLLATERAL AGENTS, NO CLAIM MAY BE MADE BY EITHER PARTY HERETO AGAINST THE OTHER PARTY, OR ANY OF SUCH PARTY’S SUCCESSORS IN INTEREST OR THEIR AFFILIATES, DIRECTORS, OFFICERS, EMPLOYEES, ATTORNEYS OR COLLATERAL AGENTS OR ANY OF THEM FOR ANY SPECIAL, INDIRECT, CONSEQUENTIAL OR PUNITIVE DAMAGES IN RESPECT OF ANY CLAIM FOR BREACH OF CONTRACT OR ANY OTHER THEORY OF LIABILITY ARISING OUT OF OR RELATING TO, OR ANY ACT, OMISSION OR EVENT OCCURRING IN CONNECTION WITH THIS AGREEMENT OR ANY OTHER OPERATIVE DOCUMENT OR THE TRANSACTIONS CONTEMPLATED BY THIS AGREEMENT OR THE OTHER OPERATIVE DOCUMENTS AND EACH PARTY HERETO HEREBY WAIVES, RELEASES AND AGREES NOT TO SUE UPON ANY CLAIM FOR ANY SUCH DAMAGES, WHETHER OR NOT ACCRUED AND WHETHER OR NOT KNOWN OR SUSPECTED TO EXIST IN ITS FAVOR.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1.11.</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together with any other agreement executed in connection with this Agreement, is intended by the parties as a final expression of their agreement as to the matters covered by this Agreement and is intended as a complete and exclusive statement of the terms and conditions of such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1.12.</w:t>
      </w:r>
      <w:r>
        <w:rPr>
          <w:rFonts w:ascii="Times New Roman;sans-serif" w:hAnsi="Times New Roman;sans-serif"/>
          <w:b w:val="false"/>
          <w:color w:val="000000"/>
          <w:sz w:val="24"/>
          <w:u w:val="single"/>
        </w:rPr>
        <w:t>Independent Obligations</w:t>
      </w:r>
      <w:r>
        <w:rPr>
          <w:rFonts w:ascii="Times New Roman;sans-serif" w:hAnsi="Times New Roman;sans-serif"/>
          <w:b w:val="false"/>
          <w:color w:val="000000"/>
          <w:sz w:val="24"/>
        </w:rPr>
        <w:t>. Grantor’s obligations under this Agreement are independent of those of Grantor or any other Person. Secured Party may bring a separate action against Grantor without first proceeding against Grantor or any other Person or any other security held by Secured Party and without pursuing any other remedy.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1.13.</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xml:space="preserve">. Grantor agrees to pay or to reimburse Secured Party for all costs and expenses (including reasonable attorney’s fees and expenses) that may be incurred by Secured Party in any effort to enforce any of the provisions of </w:t>
      </w:r>
      <w:r>
        <w:rPr>
          <w:rFonts w:ascii="Times New Roman;sans-serif" w:hAnsi="Times New Roman;sans-serif"/>
          <w:b w:val="false"/>
          <w:color w:val="000000"/>
          <w:sz w:val="24"/>
          <w:u w:val="single"/>
        </w:rPr>
        <w:t>Article V</w:t>
      </w:r>
      <w:r>
        <w:rPr>
          <w:rFonts w:ascii="Times New Roman;sans-serif" w:hAnsi="Times New Roman;sans-serif"/>
          <w:b w:val="false"/>
          <w:color w:val="000000"/>
          <w:sz w:val="24"/>
        </w:rPr>
        <w:t>, or any of the obligations of Grantor in respect of the Collateral or in connection with any actual or attempted sale, lease, disposition, exchange, collection, compromise, settlement or other realization in respect of, or care of, the Collateral, including all such costs and expenses (and reasonable attorney’s fees and expenses) incurred in any bankruptcy, reorganization, workout or other similar proceeding.</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before="0" w:after="16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37565"/>
                <wp:effectExtent l="0" t="0" r="0" b="0"/>
                <wp:wrapNone/>
                <wp:docPr id="108" name="Frame10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caused this Agreement to be duly executed and delivered by their respective duly authorized officers as of the date first written above.</w:t>
      </w:r>
    </w:p>
    <w:p>
      <w:pPr>
        <w:pStyle w:val="TextBody"/>
        <w:bidi w:val="0"/>
        <w:spacing w:before="0" w:after="0"/>
        <w:jc w:val="center"/>
        <w:rPr/>
      </w:pPr>
      <w:r>
        <w:rPr/>
      </w:r>
    </w:p>
    <w:tbl>
      <w:tblPr>
        <w:tblW w:w="6555" w:type="dxa"/>
        <w:jc w:val="left"/>
        <w:tblInd w:w="0" w:type="dxa"/>
        <w:tblLayout w:type="fixed"/>
        <w:tblCellMar>
          <w:top w:w="28" w:type="dxa"/>
          <w:left w:w="28" w:type="dxa"/>
          <w:bottom w:w="28" w:type="dxa"/>
          <w:right w:w="28" w:type="dxa"/>
        </w:tblCellMar>
      </w:tblPr>
      <w:tblGrid>
        <w:gridCol w:w="814"/>
        <w:gridCol w:w="717"/>
        <w:gridCol w:w="719"/>
        <w:gridCol w:w="1260"/>
        <w:gridCol w:w="1260"/>
        <w:gridCol w:w="1785"/>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SECURED PARTY:</w:t>
            </w:r>
          </w:p>
          <w:p>
            <w:pPr>
              <w:pStyle w:val="TableContents"/>
              <w:bidi w:val="0"/>
              <w:spacing w:before="0" w:after="0"/>
              <w:jc w:val="center"/>
              <w:rPr/>
            </w:pPr>
            <w:r>
              <w:rPr/>
            </w:r>
          </w:p>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pPr>
            <w:r>
              <w:rPr>
                <w:rFonts w:ascii="Times New Roman;sans-serif" w:hAnsi="Times New Roman;sans-serif"/>
                <w:b w:val="false"/>
                <w:color w:val="000000"/>
                <w:sz w:val="24"/>
              </w:rPr>
              <w:t>By:</w:t>
            </w:r>
            <w:r>
              <w:rPr>
                <w:color w:val="000000"/>
                <w:u w:val="single"/>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Name: </w:t>
            </w:r>
            <w:r>
              <w:rPr>
                <w:color w:val="000000"/>
                <w:u w:val="single"/>
              </w:rPr>
              <w:t>    </w:t>
            </w:r>
            <w:r>
              <w:rPr>
                <w:color w:val="000000"/>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Title: </w:t>
            </w:r>
            <w:r>
              <w:rPr>
                <w:color w:val="000000"/>
                <w:u w:val="single"/>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Date Signed: </w:t>
            </w:r>
            <w:r>
              <w:rPr>
                <w:color w:val="000000"/>
                <w:u w:val="single"/>
              </w:rPr>
              <w:t>    </w:t>
            </w:r>
            <w:r>
              <w:rPr>
                <w:rFonts w:ascii="Times New Roman;sans-serif" w:hAnsi="Times New Roman;sans-serif"/>
                <w:b w:val="false"/>
                <w:color w:val="000000"/>
                <w:sz w:val="24"/>
              </w:rPr>
              <w:t>, 20__</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GRANTOR: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FALL RIVER RENEWABLE POWER</w:t>
            </w:r>
          </w:p>
          <w:p>
            <w:pPr>
              <w:pStyle w:val="TableContents"/>
              <w:bidi w:val="0"/>
              <w:spacing w:lineRule="auto" w:line="240" w:before="0" w:after="0"/>
              <w:jc w:val="left"/>
              <w:rPr/>
            </w:pPr>
            <w:r>
              <w:rPr>
                <w:rFonts w:ascii="Times New Roman;sans-serif" w:hAnsi="Times New Roman;sans-serif"/>
                <w:b/>
                <w:color w:val="000000"/>
                <w:sz w:val="24"/>
              </w:rPr>
              <w:t>LLC</w:t>
            </w:r>
            <w:r>
              <w:rPr>
                <w:rFonts w:ascii="Times New Roman;sans-serif" w:hAnsi="Times New Roman;sans-serif"/>
                <w:b w:val="false"/>
                <w:color w:val="000000"/>
                <w:sz w:val="24"/>
              </w:rPr>
              <w:t>, a Delaware limited liability company</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pPr>
            <w:r>
              <w:rPr>
                <w:rFonts w:ascii="Times New Roman;sans-serif" w:hAnsi="Times New Roman;sans-serif"/>
                <w:b w:val="false"/>
                <w:color w:val="000000"/>
                <w:sz w:val="24"/>
              </w:rPr>
              <w:t>By:</w:t>
            </w:r>
            <w:r>
              <w:rPr>
                <w:color w:val="000000"/>
                <w:u w:val="single"/>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Name: </w:t>
            </w:r>
            <w:r>
              <w:rPr>
                <w:color w:val="000000"/>
                <w:u w:val="single"/>
              </w:rPr>
              <w:t>    </w:t>
            </w:r>
            <w:r>
              <w:rPr>
                <w:color w:val="000000"/>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Title: </w:t>
            </w:r>
            <w:r>
              <w:rPr>
                <w:color w:val="000000"/>
                <w:u w:val="single"/>
              </w:rPr>
              <w:t>    </w:t>
            </w:r>
          </w:p>
          <w:p>
            <w:pPr>
              <w:pStyle w:val="TableContents"/>
              <w:bidi w:val="0"/>
              <w:spacing w:lineRule="auto" w:line="240" w:before="0" w:after="0"/>
              <w:jc w:val="center"/>
              <w:rPr/>
            </w:pPr>
            <w:r>
              <w:rPr>
                <w:rFonts w:ascii="Times New Roman;sans-serif" w:hAnsi="Times New Roman;sans-serif"/>
                <w:b w:val="false"/>
                <w:color w:val="000000"/>
                <w:sz w:val="24"/>
              </w:rPr>
              <w:t xml:space="preserve">Date Signed: </w:t>
            </w:r>
            <w:r>
              <w:rPr>
                <w:color w:val="000000"/>
                <w:u w:val="single"/>
              </w:rPr>
              <w:t>    </w:t>
            </w:r>
            <w:r>
              <w:rPr>
                <w:rFonts w:ascii="Times New Roman;sans-serif" w:hAnsi="Times New Roman;sans-serif"/>
                <w:b w:val="false"/>
                <w:color w:val="000000"/>
                <w:sz w:val="24"/>
              </w:rPr>
              <w:t>, 20__</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16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37565"/>
                <wp:effectExtent l="0" t="0" r="0" b="0"/>
                <wp:wrapNone/>
                <wp:docPr id="109" name="Frame10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Annex 1</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37565"/>
                <wp:effectExtent l="0" t="0" r="0" b="0"/>
                <wp:wrapNone/>
                <wp:docPr id="110" name="Frame1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2048" w:type="dxa"/>
                        <w:jc w:val="left"/>
                        <w:tblInd w:w="0" w:type="dxa"/>
                        <w:tblLayout w:type="fixed"/>
                        <w:tblCellMar>
                          <w:top w:w="28" w:type="dxa"/>
                          <w:left w:w="28" w:type="dxa"/>
                          <w:bottom w:w="28" w:type="dxa"/>
                          <w:right w:w="28" w:type="dxa"/>
                        </w:tblCellMar>
                      </w:tblPr>
                      <w:tblGrid>
                        <w:gridCol w:w="124"/>
                        <w:gridCol w:w="109"/>
                        <w:gridCol w:w="109"/>
                        <w:gridCol w:w="444"/>
                        <w:gridCol w:w="444"/>
                        <w:gridCol w:w="4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43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43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Ann Anthony,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077"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449"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37565"/>
                <wp:effectExtent l="0" t="0" r="0" b="0"/>
                <wp:wrapNone/>
                <wp:docPr id="118" name="Frame11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37565"/>
                <wp:effectExtent l="0" t="0" r="0" b="0"/>
                <wp:wrapNone/>
                <wp:docPr id="119" name="Frame11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450"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37565"/>
                <wp:effectExtent l="0" t="0" r="0" b="0"/>
                <wp:wrapNone/>
                <wp:docPr id="120" name="Frame12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37565"/>
                <wp:effectExtent l="0" t="0" r="0" b="0"/>
                <wp:wrapNone/>
                <wp:docPr id="121" name="Frame12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three months ended June 30, 2023,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Ann Anthony,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090"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Ann Anthony</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37565"/>
                <wp:effectExtent l="0" t="0" r="0" b="0"/>
                <wp:wrapNone/>
                <wp:docPr id="122" name="Frame12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84227923000011/opal-form8xkpipemarch2023e.htm" TargetMode="External"/><Relationship Id="rId5" Type="http://schemas.openxmlformats.org/officeDocument/2006/relationships/hyperlink" Target="https://www.sec.gov/Archives/edgar/data/1842279/000184227923000050/opal-wmlfgpurchaseagreemen.htm" TargetMode="External"/><Relationship Id="rId6" Type="http://schemas.openxmlformats.org/officeDocument/2006/relationships/hyperlink" Target="https://www.sec.gov/Archives/edgar/data/1842279/000184227923000050/opal-polkcountycontractred.htm" TargetMode="External"/><Relationship Id="rId7" Type="http://schemas.openxmlformats.org/officeDocument/2006/relationships/hyperlink" Target="https://www.sec.gov/Archives/edgar/data/1842279/000184227923000054/projectopal-arcreditagreem.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52619</Words>
  <Characters>284695</Characters>
  <CharactersWithSpaces>335423</CharactersWithSpaces>
  <Paragraphs>4803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