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746760</wp:posOffset>
            </wp:positionV>
            <wp:extent cx="69107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0705" cy="17145"/>
                    </a:xfrm>
                    <a:prstGeom prst="rect">
                      <a:avLst/>
                    </a:prstGeom>
                    <a:noFill/>
                  </pic:spPr>
                </pic:pic>
              </a:graphicData>
            </a:graphic>
          </wp:anchor>
        </w:drawing>
        <w:t>UNITED STATES</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ind w:left="380" w:hanging="355"/>
        <w:spacing w:after="0" w:line="210" w:lineRule="auto"/>
        <w:tabs>
          <w:tab w:leader="none" w:pos="3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6" w:lineRule="exact"/>
        <w:rPr>
          <w:sz w:val="24"/>
          <w:szCs w:val="24"/>
          <w:color w:val="auto"/>
        </w:rPr>
      </w:pPr>
    </w:p>
    <w:p>
      <w:pPr>
        <w:ind w:left="3100" w:right="1760" w:hanging="3018"/>
        <w:spacing w:after="0" w:line="425" w:lineRule="auto"/>
        <w:tabs>
          <w:tab w:leader="none" w:pos="38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001-40272</w:t>
      </w:r>
    </w:p>
    <w:p>
      <w:pPr>
        <w:spacing w:after="0" w:line="2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OPAL FUELS INC.</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8"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309"/>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77"/>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One North Lexington Avenue, Suite 1450</w:t>
            </w:r>
          </w:p>
        </w:tc>
        <w:tc>
          <w:tcPr>
            <w:tcW w:w="3760" w:type="dxa"/>
            <w:vAlign w:val="bottom"/>
          </w:tcPr>
          <w:p>
            <w:pPr>
              <w:spacing w:after="0"/>
              <w:rPr>
                <w:sz w:val="24"/>
                <w:szCs w:val="24"/>
                <w:color w:val="auto"/>
              </w:rPr>
            </w:pPr>
          </w:p>
        </w:tc>
      </w:tr>
      <w:tr>
        <w:trPr>
          <w:trHeight w:val="404"/>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323"/>
        </w:trPr>
        <w:tc>
          <w:tcPr>
            <w:tcW w:w="54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76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(914) 705-4000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 w:lineRule="exact"/>
        <w:rPr>
          <w:sz w:val="24"/>
          <w:szCs w:val="24"/>
          <w:color w:val="auto"/>
        </w:rPr>
      </w:pPr>
    </w:p>
    <w:tbl>
      <w:tblPr>
        <w:tblLayout w:type="fixed"/>
        <w:tblInd w:w="10" w:type="dxa"/>
        <w:tblCellMar>
          <w:top w:w="0" w:type="dxa"/>
          <w:left w:w="0" w:type="dxa"/>
          <w:bottom w:w="0" w:type="dxa"/>
          <w:right w:w="0" w:type="dxa"/>
        </w:tblCellMar>
      </w:tblPr>
      <w:tr>
        <w:trPr>
          <w:trHeight w:val="242"/>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2"/>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OPAL</w:t>
            </w:r>
          </w:p>
        </w:tc>
        <w:tc>
          <w:tcPr>
            <w:tcW w:w="4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6" w:lineRule="exact"/>
        <w:rPr>
          <w:sz w:val="24"/>
          <w:szCs w:val="24"/>
          <w:color w:val="auto"/>
        </w:rPr>
      </w:pPr>
    </w:p>
    <w:p>
      <w:pPr>
        <w:ind w:right="36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7" w:lineRule="exact"/>
        <w:rPr>
          <w:sz w:val="24"/>
          <w:szCs w:val="24"/>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00" w:type="dxa"/>
        <w:tblCellMar>
          <w:top w:w="0" w:type="dxa"/>
          <w:left w:w="0" w:type="dxa"/>
          <w:bottom w:w="0" w:type="dxa"/>
          <w:right w:w="0" w:type="dxa"/>
        </w:tblCellMar>
      </w:tblPr>
      <w:tr>
        <w:trPr>
          <w:trHeight w:val="215"/>
        </w:trPr>
        <w:tc>
          <w:tcPr>
            <w:tcW w:w="2120" w:type="dxa"/>
            <w:vAlign w:val="bottom"/>
          </w:tcPr>
          <w:p>
            <w:pPr>
              <w:spacing w:after="0"/>
              <w:rPr>
                <w:sz w:val="18"/>
                <w:szCs w:val="18"/>
                <w:color w:val="auto"/>
              </w:rPr>
            </w:pPr>
          </w:p>
        </w:tc>
        <w:tc>
          <w:tcPr>
            <w:tcW w:w="122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212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Large accelerated filer</w:t>
            </w:r>
          </w:p>
        </w:tc>
        <w:tc>
          <w:tcPr>
            <w:tcW w:w="1220" w:type="dxa"/>
            <w:vAlign w:val="bottom"/>
            <w:vMerge w:val="continue"/>
          </w:tcPr>
          <w:p>
            <w:pPr>
              <w:spacing w:after="0"/>
              <w:rPr>
                <w:sz w:val="19"/>
                <w:szCs w:val="19"/>
                <w:color w:val="auto"/>
              </w:rPr>
            </w:pPr>
          </w:p>
        </w:tc>
        <w:tc>
          <w:tcPr>
            <w:tcW w:w="3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1220" w:type="dxa"/>
            <w:vAlign w:val="bottom"/>
            <w:vMerge w:val="restart"/>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3780" w:type="dxa"/>
            <w:vAlign w:val="bottom"/>
          </w:tcPr>
          <w:p>
            <w:pPr>
              <w:ind w:left="3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4"/>
        </w:trPr>
        <w:tc>
          <w:tcPr>
            <w:tcW w:w="212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1220" w:type="dxa"/>
            <w:vAlign w:val="bottom"/>
            <w:vMerge w:val="continue"/>
          </w:tcPr>
          <w:p>
            <w:pPr>
              <w:spacing w:after="0"/>
              <w:rPr>
                <w:sz w:val="19"/>
                <w:szCs w:val="19"/>
                <w:color w:val="auto"/>
              </w:rPr>
            </w:pPr>
          </w:p>
        </w:tc>
        <w:tc>
          <w:tcPr>
            <w:tcW w:w="3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0" w:type="dxa"/>
            <w:vAlign w:val="bottom"/>
          </w:tcPr>
          <w:p>
            <w:pPr>
              <w:spacing w:after="0"/>
              <w:rPr>
                <w:sz w:val="1"/>
                <w:szCs w:val="1"/>
                <w:color w:val="auto"/>
              </w:rPr>
            </w:pPr>
          </w:p>
        </w:tc>
      </w:tr>
      <w:tr>
        <w:trPr>
          <w:trHeight w:val="220"/>
        </w:trPr>
        <w:tc>
          <w:tcPr>
            <w:tcW w:w="2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780" w:type="dxa"/>
            <w:vAlign w:val="bottom"/>
          </w:tcPr>
          <w:p>
            <w:pPr>
              <w:ind w:left="3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0" w:type="dxa"/>
            <w:vAlign w:val="bottom"/>
          </w:tcPr>
          <w:p>
            <w:pPr>
              <w:spacing w:after="0"/>
              <w:rPr>
                <w:sz w:val="1"/>
                <w:szCs w:val="1"/>
                <w:color w:val="auto"/>
              </w:rPr>
            </w:pPr>
          </w:p>
        </w:tc>
      </w:tr>
    </w:tbl>
    <w:p>
      <w:pPr>
        <w:spacing w:after="0" w:line="84" w:lineRule="exact"/>
        <w:rPr>
          <w:sz w:val="24"/>
          <w:szCs w:val="24"/>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60" w:val="left"/>
          <w:tab w:leader="none" w:pos="914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4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May 7, 2026</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 total of 30,357,544 shares of Class A common stock, par value $0.0001 per share, 121,500,000 shares of Class B common stock, par value of $0.0001 per share and 22,899,037 shares of Class D common stock, par value $0.0001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669290</wp:posOffset>
            </wp:positionV>
            <wp:extent cx="71583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wp:posOffset>
            </wp:positionV>
            <wp:extent cx="6910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10705" cy="17145"/>
                    </a:xfrm>
                    <a:prstGeom prst="rect">
                      <a:avLst/>
                    </a:prstGeom>
                    <a:noFill/>
                  </pic:spPr>
                </pic:pic>
              </a:graphicData>
            </a:graphic>
          </wp:anchor>
        </w:drawing>
      </w:r>
    </w:p>
    <w:p>
      <w:pPr>
        <w:sectPr>
          <w:pgSz w:w="11900" w:h="16838" w:orient="portrait"/>
          <w:cols w:equalWidth="0" w:num="1">
            <w:col w:w="11260"/>
          </w:cols>
          <w:pgMar w:left="320" w:top="1263"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"could," “estimates,” “expects,” “forecasts,” “future,” “goal,” “intends,” “may,” “objective,” “outlook,” “plans,” "potential," “projected,” “propose,” “seeks,” "should,"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w:t>
      </w:r>
    </w:p>
    <w:p>
      <w:pPr>
        <w:spacing w:after="0" w:line="169"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grow and manage growth profitably, and maintain relationships with customers and suppliers;</w:t>
      </w:r>
    </w:p>
    <w:p>
      <w:pPr>
        <w:spacing w:after="0" w:line="16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our principal officers, key employees or directors;</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and competitive pressures from other companies in the industry in which we operate;</w:t>
      </w:r>
    </w:p>
    <w:p>
      <w:pPr>
        <w:spacing w:after="0" w:line="183" w:lineRule="exact"/>
        <w:rPr>
          <w:rFonts w:ascii="Times New Roman" w:cs="Times New Roman" w:eastAsia="Times New Roman" w:hAnsi="Times New Roman"/>
          <w:sz w:val="18"/>
          <w:szCs w:val="18"/>
          <w:color w:val="auto"/>
        </w:rPr>
      </w:pPr>
    </w:p>
    <w:p>
      <w:pPr>
        <w:ind w:left="340" w:hanging="332"/>
        <w:spacing w:after="0" w:line="28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or delays in obtaining, key components or labor for the construction and completion of LFG (as defined below) and livestock waste projects that generate electricity and RNG (as defined below), CNG (as defined below) and hydrogen dispensing stations;</w:t>
      </w:r>
    </w:p>
    <w:p>
      <w:pPr>
        <w:spacing w:after="0" w:line="12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factors relating to our business, operations and financial performance, including market conditions and global and economic factors beyond our control;</w:t>
      </w:r>
    </w:p>
    <w:p>
      <w:pPr>
        <w:spacing w:after="0" w:line="20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elimination of government economic incentives to the renewable energy market;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LCFS (as defined below) credits and other incentives;</w:t>
      </w:r>
    </w:p>
    <w:p>
      <w:pPr>
        <w:spacing w:after="0" w:line="14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acquire, develop and operate renewable projects and Fueling Stations (as defined below);</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equity or equity-linked securities or obtain or amend debt financing;</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renewable energy not being sustained;</w:t>
      </w:r>
    </w:p>
    <w:p>
      <w:pPr>
        <w:spacing w:after="0" w:line="18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climate change, changing weather patterns and conditions and natural disasters; and</w:t>
      </w:r>
    </w:p>
    <w:p>
      <w:pPr>
        <w:spacing w:after="0" w:line="19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Quarterly Report on Form 10-Q and in our Annual Report on Form 10-K, which was filed with the SEC on March 16, 2026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673735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tcBorders>
              <w:right w:val="single" w:sz="8" w:color="CCEEFF"/>
            </w:tcBorders>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720" w:type="dxa"/>
            <w:vAlign w:val="bottom"/>
            <w:gridSpan w:val="16"/>
            <w:shd w:val="clear" w:color="auto" w:fill="CCEEFF"/>
          </w:tcPr>
          <w:p>
            <w:pPr>
              <w:jc w:val="center"/>
              <w:ind w:right="3660"/>
              <w:spacing w:after="0" w:line="169" w:lineRule="exact"/>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24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3051F2"/>
              </w:rPr>
              <w:t>ITEM 1.</w:t>
            </w: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FINANCIAL STATEMENTS (Unaudited)</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Condensed Consolidated Balance Sheets as of March 31, 2026 and December 31, 2025</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rPr>
              <w:t>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3051F2"/>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54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30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860" w:type="dxa"/>
            <w:vAlign w:val="bottom"/>
            <w:tcBorders>
              <w:top w:val="single" w:sz="8" w:color="3051F2"/>
            </w:tcBorders>
            <w:shd w:val="clear" w:color="auto" w:fill="CCEEFF"/>
          </w:tcPr>
          <w:p>
            <w:pPr>
              <w:spacing w:after="0" w:line="20" w:lineRule="exact"/>
              <w:rPr>
                <w:sz w:val="1"/>
                <w:szCs w:val="1"/>
                <w:color w:val="auto"/>
              </w:rPr>
            </w:pPr>
          </w:p>
        </w:tc>
        <w:tc>
          <w:tcPr>
            <w:tcW w:w="148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3051F2"/>
            </w:tcBorders>
            <w:shd w:val="clear" w:color="auto" w:fill="CCEEFF"/>
          </w:tcPr>
          <w:p>
            <w:pPr>
              <w:spacing w:after="0" w:line="20" w:lineRule="exact"/>
              <w:rPr>
                <w:sz w:val="1"/>
                <w:szCs w:val="1"/>
                <w:color w:val="auto"/>
              </w:rPr>
            </w:pPr>
          </w:p>
        </w:tc>
        <w:tc>
          <w:tcPr>
            <w:tcW w:w="40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Condensed Consolidated Statements of Operations for the three months ended March 31, 2026 and 2025</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rPr>
              <w:t>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860" w:type="dxa"/>
            <w:vAlign w:val="bottom"/>
            <w:tcBorders>
              <w:top w:val="single" w:sz="8" w:color="3051F2"/>
            </w:tcBorders>
          </w:tcPr>
          <w:p>
            <w:pPr>
              <w:spacing w:after="0" w:line="20" w:lineRule="exact"/>
              <w:rPr>
                <w:sz w:val="1"/>
                <w:szCs w:val="1"/>
                <w:color w:val="auto"/>
              </w:rPr>
            </w:pPr>
          </w:p>
        </w:tc>
        <w:tc>
          <w:tcPr>
            <w:tcW w:w="1480" w:type="dxa"/>
            <w:vAlign w:val="bottom"/>
            <w:tcBorders>
              <w:top w:val="single" w:sz="8" w:color="3051F2"/>
            </w:tcBorders>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4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1260" w:type="dxa"/>
            <w:vAlign w:val="bottom"/>
            <w:tcBorders>
              <w:top w:val="single" w:sz="8" w:color="3051F2"/>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Condensed Consolidated Statements of Comprehensive (Loss) Income for the three months ended March 31, 2026 and 2025</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rPr>
              <w:t>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480" w:type="dxa"/>
            <w:vAlign w:val="bottom"/>
            <w:tcBorders>
              <w:top w:val="single" w:sz="8" w:color="3051F2"/>
              <w:bottom w:val="single" w:sz="8" w:color="3051F2"/>
            </w:tcBorders>
            <w:gridSpan w:val="19"/>
          </w:tcPr>
          <w:p>
            <w:pPr>
              <w:spacing w:after="0" w:line="189" w:lineRule="exact"/>
              <w:rPr>
                <w:sz w:val="20"/>
                <w:szCs w:val="20"/>
                <w:color w:val="auto"/>
              </w:rPr>
            </w:pPr>
            <w:r>
              <w:rPr>
                <w:rFonts w:ascii="Times New Roman" w:cs="Times New Roman" w:eastAsia="Times New Roman" w:hAnsi="Times New Roman"/>
                <w:sz w:val="18"/>
                <w:szCs w:val="18"/>
                <w:color w:val="3051F2"/>
                <w:w w:val="98"/>
              </w:rPr>
              <w:t>Condensed Consolidated Statements of Changes In Redeemable Non-Controlling Interest, Redeemable Preferred Non-</w:t>
            </w:r>
          </w:p>
        </w:tc>
        <w:tc>
          <w:tcPr>
            <w:tcW w:w="400" w:type="dxa"/>
            <w:vAlign w:val="bottom"/>
            <w:tcBorders>
              <w:top w:val="single" w:sz="8" w:color="3051F2"/>
            </w:tcBorders>
            <w:gridSpan w:val="2"/>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380" w:type="dxa"/>
            <w:vAlign w:val="bottom"/>
            <w:tcBorders>
              <w:top w:val="single" w:sz="8" w:color="CCEEFF"/>
              <w:bottom w:val="single" w:sz="8" w:color="CCEEFF"/>
            </w:tcBorders>
            <w:gridSpan w:val="2"/>
            <w:vMerge w:val="restart"/>
          </w:tcPr>
          <w:p>
            <w:pPr>
              <w:spacing w:after="0"/>
              <w:rPr>
                <w:sz w:val="16"/>
                <w:szCs w:val="16"/>
                <w:color w:val="auto"/>
              </w:rPr>
            </w:pPr>
          </w:p>
        </w:tc>
        <w:tc>
          <w:tcPr>
            <w:tcW w:w="140" w:type="dxa"/>
            <w:vAlign w:val="bottom"/>
            <w:tcBorders>
              <w:top w:val="single" w:sz="8" w:color="3051F2"/>
              <w:bottom w:val="single" w:sz="8" w:color="3051F2"/>
            </w:tcBorders>
            <w:vMerge w:val="restart"/>
          </w:tcPr>
          <w:p>
            <w:pPr>
              <w:jc w:val="center"/>
              <w:spacing w:after="0"/>
              <w:rPr>
                <w:sz w:val="20"/>
                <w:szCs w:val="20"/>
                <w:color w:val="auto"/>
              </w:rPr>
            </w:pPr>
            <w:r>
              <w:rPr>
                <w:rFonts w:ascii="Times New Roman" w:cs="Times New Roman" w:eastAsia="Times New Roman" w:hAnsi="Times New Roman"/>
                <w:sz w:val="18"/>
                <w:szCs w:val="18"/>
                <w:color w:val="3051F2"/>
              </w:rPr>
              <w:t>5</w:t>
            </w: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9260" w:type="dxa"/>
            <w:vAlign w:val="bottom"/>
            <w:gridSpan w:val="22"/>
            <w:vMerge w:val="restart"/>
          </w:tcPr>
          <w:p>
            <w:pPr>
              <w:spacing w:after="0" w:line="155" w:lineRule="exact"/>
              <w:rPr>
                <w:sz w:val="20"/>
                <w:szCs w:val="20"/>
                <w:color w:val="auto"/>
              </w:rPr>
            </w:pPr>
            <w:r>
              <w:rPr>
                <w:rFonts w:ascii="Times New Roman" w:cs="Times New Roman" w:eastAsia="Times New Roman" w:hAnsi="Times New Roman"/>
                <w:sz w:val="17"/>
                <w:szCs w:val="17"/>
                <w:color w:val="3051F2"/>
              </w:rPr>
              <w:t>Controlling Interest And Stockholders' Equity (Deficit) for the three months ended March 31, 2026 and 2025</w:t>
            </w:r>
          </w:p>
        </w:tc>
        <w:tc>
          <w:tcPr>
            <w:tcW w:w="380" w:type="dxa"/>
            <w:vAlign w:val="bottom"/>
            <w:gridSpan w:val="2"/>
            <w:vMerge w:val="continue"/>
          </w:tcPr>
          <w:p>
            <w:pPr>
              <w:spacing w:after="0"/>
              <w:rPr>
                <w:sz w:val="6"/>
                <w:szCs w:val="6"/>
                <w:color w:val="auto"/>
              </w:rPr>
            </w:pPr>
          </w:p>
        </w:tc>
        <w:tc>
          <w:tcPr>
            <w:tcW w:w="140" w:type="dxa"/>
            <w:vAlign w:val="bottom"/>
            <w:tcBorders>
              <w:bottom w:val="single" w:sz="8" w:color="3051F2"/>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260" w:type="dxa"/>
            <w:vAlign w:val="bottom"/>
            <w:gridSpan w:val="22"/>
            <w:vMerge w:val="continue"/>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Borders>
              <w:top w:val="single" w:sz="8" w:color="3051F2"/>
            </w:tcBorders>
          </w:tcPr>
          <w:p>
            <w:pPr>
              <w:spacing w:after="0"/>
              <w:rPr>
                <w:sz w:val="2"/>
                <w:szCs w:val="2"/>
                <w:color w:val="auto"/>
              </w:rPr>
            </w:pPr>
          </w:p>
        </w:tc>
        <w:tc>
          <w:tcPr>
            <w:tcW w:w="420" w:type="dxa"/>
            <w:vAlign w:val="bottom"/>
            <w:tcBorders>
              <w:top w:val="single" w:sz="8" w:color="3051F2"/>
            </w:tcBorders>
          </w:tcPr>
          <w:p>
            <w:pPr>
              <w:spacing w:after="0"/>
              <w:rPr>
                <w:sz w:val="2"/>
                <w:szCs w:val="2"/>
                <w:color w:val="auto"/>
              </w:rPr>
            </w:pPr>
          </w:p>
        </w:tc>
        <w:tc>
          <w:tcPr>
            <w:tcW w:w="620" w:type="dxa"/>
            <w:vAlign w:val="bottom"/>
            <w:tcBorders>
              <w:top w:val="single" w:sz="8" w:color="3051F2"/>
            </w:tcBorders>
          </w:tcPr>
          <w:p>
            <w:pPr>
              <w:spacing w:after="0"/>
              <w:rPr>
                <w:sz w:val="2"/>
                <w:szCs w:val="2"/>
                <w:color w:val="auto"/>
              </w:rPr>
            </w:pPr>
          </w:p>
        </w:tc>
        <w:tc>
          <w:tcPr>
            <w:tcW w:w="20" w:type="dxa"/>
            <w:vAlign w:val="bottom"/>
            <w:tcBorders>
              <w:top w:val="single" w:sz="8" w:color="3051F2"/>
            </w:tcBorders>
          </w:tcPr>
          <w:p>
            <w:pPr>
              <w:spacing w:after="0"/>
              <w:rPr>
                <w:sz w:val="2"/>
                <w:szCs w:val="2"/>
                <w:color w:val="auto"/>
              </w:rPr>
            </w:pPr>
          </w:p>
        </w:tc>
        <w:tc>
          <w:tcPr>
            <w:tcW w:w="540" w:type="dxa"/>
            <w:vAlign w:val="bottom"/>
            <w:tcBorders>
              <w:top w:val="single" w:sz="8" w:color="3051F2"/>
            </w:tcBorders>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160" w:type="dxa"/>
            <w:vAlign w:val="bottom"/>
            <w:tcBorders>
              <w:top w:val="single" w:sz="8" w:color="3051F2"/>
            </w:tcBorders>
          </w:tcPr>
          <w:p>
            <w:pPr>
              <w:spacing w:after="0"/>
              <w:rPr>
                <w:sz w:val="2"/>
                <w:szCs w:val="2"/>
                <w:color w:val="auto"/>
              </w:rPr>
            </w:pPr>
          </w:p>
        </w:tc>
        <w:tc>
          <w:tcPr>
            <w:tcW w:w="30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860" w:type="dxa"/>
            <w:vAlign w:val="bottom"/>
            <w:tcBorders>
              <w:top w:val="single" w:sz="8" w:color="3051F2"/>
            </w:tcBorders>
          </w:tcPr>
          <w:p>
            <w:pPr>
              <w:spacing w:after="0"/>
              <w:rPr>
                <w:sz w:val="2"/>
                <w:szCs w:val="2"/>
                <w:color w:val="auto"/>
              </w:rPr>
            </w:pPr>
          </w:p>
        </w:tc>
        <w:tc>
          <w:tcPr>
            <w:tcW w:w="1480" w:type="dxa"/>
            <w:vAlign w:val="bottom"/>
            <w:tcBorders>
              <w:top w:val="single" w:sz="8" w:color="3051F2"/>
            </w:tcBorders>
          </w:tcPr>
          <w:p>
            <w:pPr>
              <w:spacing w:after="0"/>
              <w:rPr>
                <w:sz w:val="2"/>
                <w:szCs w:val="2"/>
                <w:color w:val="auto"/>
              </w:rPr>
            </w:pPr>
          </w:p>
        </w:tc>
        <w:tc>
          <w:tcPr>
            <w:tcW w:w="140" w:type="dxa"/>
            <w:vAlign w:val="bottom"/>
            <w:tcBorders>
              <w:top w:val="single" w:sz="8" w:color="3051F2"/>
            </w:tcBorders>
          </w:tcPr>
          <w:p>
            <w:pPr>
              <w:spacing w:after="0"/>
              <w:rPr>
                <w:sz w:val="2"/>
                <w:szCs w:val="2"/>
                <w:color w:val="auto"/>
              </w:rPr>
            </w:pPr>
          </w:p>
        </w:tc>
        <w:tc>
          <w:tcPr>
            <w:tcW w:w="400" w:type="dxa"/>
            <w:vAlign w:val="bottom"/>
            <w:tcBorders>
              <w:top w:val="single" w:sz="8" w:color="3051F2"/>
            </w:tcBorders>
          </w:tcPr>
          <w:p>
            <w:pPr>
              <w:spacing w:after="0"/>
              <w:rPr>
                <w:sz w:val="2"/>
                <w:szCs w:val="2"/>
                <w:color w:val="auto"/>
              </w:rPr>
            </w:pPr>
          </w:p>
        </w:tc>
        <w:tc>
          <w:tcPr>
            <w:tcW w:w="80" w:type="dxa"/>
            <w:vAlign w:val="bottom"/>
            <w:tcBorders>
              <w:top w:val="single" w:sz="8" w:color="3051F2"/>
            </w:tcBorders>
          </w:tcPr>
          <w:p>
            <w:pPr>
              <w:spacing w:after="0"/>
              <w:rPr>
                <w:sz w:val="2"/>
                <w:szCs w:val="2"/>
                <w:color w:val="auto"/>
              </w:rPr>
            </w:pPr>
          </w:p>
        </w:tc>
        <w:tc>
          <w:tcPr>
            <w:tcW w:w="120" w:type="dxa"/>
            <w:vAlign w:val="bottom"/>
            <w:tcBorders>
              <w:top w:val="single" w:sz="8" w:color="3051F2"/>
            </w:tcBorders>
          </w:tcPr>
          <w:p>
            <w:pPr>
              <w:spacing w:after="0"/>
              <w:rPr>
                <w:sz w:val="2"/>
                <w:szCs w:val="2"/>
                <w:color w:val="auto"/>
              </w:rPr>
            </w:pPr>
          </w:p>
        </w:tc>
        <w:tc>
          <w:tcPr>
            <w:tcW w:w="1260" w:type="dxa"/>
            <w:vAlign w:val="bottom"/>
            <w:tcBorders>
              <w:top w:val="single" w:sz="8" w:color="3051F2"/>
            </w:tcBorders>
          </w:tcPr>
          <w:p>
            <w:pPr>
              <w:spacing w:after="0"/>
              <w:rPr>
                <w:sz w:val="2"/>
                <w:szCs w:val="2"/>
                <w:color w:val="auto"/>
              </w:rPr>
            </w:pPr>
          </w:p>
        </w:tc>
        <w:tc>
          <w:tcPr>
            <w:tcW w:w="60" w:type="dxa"/>
            <w:vAlign w:val="bottom"/>
            <w:tcBorders>
              <w:top w:val="single" w:sz="8" w:color="3051F2"/>
            </w:tcBorders>
          </w:tcPr>
          <w:p>
            <w:pPr>
              <w:spacing w:after="0"/>
              <w:rPr>
                <w:sz w:val="2"/>
                <w:szCs w:val="2"/>
                <w:color w:val="auto"/>
              </w:rPr>
            </w:pPr>
          </w:p>
        </w:tc>
        <w:tc>
          <w:tcPr>
            <w:tcW w:w="260" w:type="dxa"/>
            <w:vAlign w:val="bottom"/>
            <w:tcBorders>
              <w:top w:val="single" w:sz="8" w:color="3051F2"/>
            </w:tcBorders>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right w:val="single" w:sz="8" w:color="CCEEFF"/>
            </w:tcBorders>
            <w:shd w:val="clear" w:color="auto" w:fill="CCEEFF"/>
          </w:tcPr>
          <w:p>
            <w:pPr>
              <w:spacing w:after="0"/>
              <w:rPr>
                <w:sz w:val="18"/>
                <w:szCs w:val="18"/>
                <w:color w:val="auto"/>
              </w:rPr>
            </w:pPr>
          </w:p>
        </w:tc>
        <w:tc>
          <w:tcPr>
            <w:tcW w:w="7520" w:type="dxa"/>
            <w:vAlign w:val="bottom"/>
            <w:tcBorders>
              <w:bottom w:val="single" w:sz="8" w:color="3051F2"/>
            </w:tcBorders>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w w:val="98"/>
              </w:rPr>
              <w:t>Condensed Consolidated Statements of Cash Flows for the three months ended March 31, 2026 and 2025</w:t>
            </w:r>
          </w:p>
        </w:tc>
        <w:tc>
          <w:tcPr>
            <w:tcW w:w="1740" w:type="dxa"/>
            <w:vAlign w:val="bottom"/>
            <w:tcBorders>
              <w:bottom w:val="single" w:sz="8" w:color="CCEEFF"/>
            </w:tcBorders>
            <w:gridSpan w:val="5"/>
            <w:shd w:val="clear" w:color="auto" w:fill="CCEEFF"/>
          </w:tcPr>
          <w:p>
            <w:pPr>
              <w:spacing w:after="0"/>
              <w:rPr>
                <w:sz w:val="18"/>
                <w:szCs w:val="18"/>
                <w:color w:val="auto"/>
              </w:rPr>
            </w:pPr>
          </w:p>
        </w:tc>
        <w:tc>
          <w:tcPr>
            <w:tcW w:w="380" w:type="dxa"/>
            <w:vAlign w:val="bottom"/>
            <w:tcBorders>
              <w:bottom w:val="single" w:sz="8" w:color="CCEEFF"/>
              <w:right w:val="single" w:sz="8" w:color="CCEEFF"/>
            </w:tcBorders>
            <w:gridSpan w:val="2"/>
            <w:shd w:val="clear" w:color="auto" w:fill="CCEEFF"/>
          </w:tcPr>
          <w:p>
            <w:pPr>
              <w:spacing w:after="0"/>
              <w:rPr>
                <w:sz w:val="18"/>
                <w:szCs w:val="18"/>
                <w:color w:val="auto"/>
              </w:rPr>
            </w:pPr>
          </w:p>
        </w:tc>
        <w:tc>
          <w:tcPr>
            <w:tcW w:w="140" w:type="dxa"/>
            <w:vAlign w:val="bottom"/>
            <w:tcBorders>
              <w:bottom w:val="single" w:sz="8" w:color="3051F2"/>
              <w:right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3051F2"/>
              </w:rPr>
              <w:t>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Notes To Condensed Consolidated Financial Statements</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rPr>
              <w:t>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860" w:type="dxa"/>
            <w:vAlign w:val="bottom"/>
            <w:tcBorders>
              <w:top w:val="single" w:sz="8" w:color="3051F2"/>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2.</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MANAGEMENT'S DISCUSSION AND ANALYSIS OF FINANCIAL CONDITION AND RESULTS OF OPERATIONS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26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3051F2"/>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54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30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860" w:type="dxa"/>
            <w:vAlign w:val="bottom"/>
            <w:tcBorders>
              <w:top w:val="single" w:sz="8" w:color="3051F2"/>
            </w:tcBorders>
            <w:shd w:val="clear" w:color="auto" w:fill="CCEEFF"/>
          </w:tcPr>
          <w:p>
            <w:pPr>
              <w:spacing w:after="0" w:line="20" w:lineRule="exact"/>
              <w:rPr>
                <w:sz w:val="1"/>
                <w:szCs w:val="1"/>
                <w:color w:val="auto"/>
              </w:rPr>
            </w:pPr>
          </w:p>
        </w:tc>
        <w:tc>
          <w:tcPr>
            <w:tcW w:w="148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3051F2"/>
            </w:tcBorders>
            <w:shd w:val="clear" w:color="auto" w:fill="CCEEFF"/>
          </w:tcPr>
          <w:p>
            <w:pPr>
              <w:spacing w:after="0" w:line="20" w:lineRule="exact"/>
              <w:rPr>
                <w:sz w:val="1"/>
                <w:szCs w:val="1"/>
                <w:color w:val="auto"/>
              </w:rPr>
            </w:pPr>
          </w:p>
        </w:tc>
        <w:tc>
          <w:tcPr>
            <w:tcW w:w="40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1260" w:type="dxa"/>
            <w:vAlign w:val="bottom"/>
            <w:tcBorders>
              <w:top w:val="single" w:sz="8" w:color="3051F2"/>
            </w:tcBorders>
            <w:shd w:val="clear" w:color="auto" w:fill="CCEEFF"/>
          </w:tcPr>
          <w:p>
            <w:pPr>
              <w:spacing w:after="0" w:line="20" w:lineRule="exact"/>
              <w:rPr>
                <w:sz w:val="1"/>
                <w:szCs w:val="1"/>
                <w:color w:val="auto"/>
              </w:rPr>
            </w:pPr>
          </w:p>
        </w:tc>
        <w:tc>
          <w:tcPr>
            <w:tcW w:w="60" w:type="dxa"/>
            <w:vAlign w:val="bottom"/>
            <w:tcBorders>
              <w:top w:val="single" w:sz="8" w:color="3051F2"/>
            </w:tcBorders>
            <w:shd w:val="clear" w:color="auto" w:fill="CCEEFF"/>
          </w:tcPr>
          <w:p>
            <w:pPr>
              <w:spacing w:after="0" w:line="20" w:lineRule="exact"/>
              <w:rPr>
                <w:sz w:val="1"/>
                <w:szCs w:val="1"/>
                <w:color w:val="auto"/>
              </w:rPr>
            </w:pPr>
          </w:p>
        </w:tc>
        <w:tc>
          <w:tcPr>
            <w:tcW w:w="260" w:type="dxa"/>
            <w:vAlign w:val="bottom"/>
            <w:tcBorders>
              <w:top w:val="single" w:sz="8" w:color="3051F2"/>
            </w:tcBorders>
            <w:shd w:val="clear" w:color="auto" w:fill="CCEEFF"/>
          </w:tcPr>
          <w:p>
            <w:pPr>
              <w:spacing w:after="0" w:line="20" w:lineRule="exact"/>
              <w:rPr>
                <w:sz w:val="1"/>
                <w:szCs w:val="1"/>
                <w:color w:val="auto"/>
              </w:rPr>
            </w:pPr>
          </w:p>
        </w:tc>
        <w:tc>
          <w:tcPr>
            <w:tcW w:w="700" w:type="dxa"/>
            <w:vAlign w:val="bottom"/>
            <w:tcBorders>
              <w:top w:val="single" w:sz="8" w:color="3051F2"/>
            </w:tcBorders>
            <w:shd w:val="clear" w:color="auto" w:fill="CCEEFF"/>
          </w:tcPr>
          <w:p>
            <w:pPr>
              <w:spacing w:after="0" w:line="20" w:lineRule="exact"/>
              <w:rPr>
                <w:sz w:val="1"/>
                <w:szCs w:val="1"/>
                <w:color w:val="auto"/>
              </w:rPr>
            </w:pPr>
          </w:p>
        </w:tc>
        <w:tc>
          <w:tcPr>
            <w:tcW w:w="32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3051F2"/>
              </w:rPr>
              <w:t>ITEM 3.</w:t>
            </w: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QUANTITATIVE AND QUALITATIVE DISCLOSURES ABOUT MARKET RISK</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860" w:type="dxa"/>
            <w:vAlign w:val="bottom"/>
            <w:tcBorders>
              <w:top w:val="single" w:sz="8" w:color="3051F2"/>
            </w:tcBorders>
          </w:tcPr>
          <w:p>
            <w:pPr>
              <w:spacing w:after="0" w:line="20" w:lineRule="exact"/>
              <w:rPr>
                <w:sz w:val="1"/>
                <w:szCs w:val="1"/>
                <w:color w:val="auto"/>
              </w:rPr>
            </w:pPr>
          </w:p>
        </w:tc>
        <w:tc>
          <w:tcPr>
            <w:tcW w:w="1480" w:type="dxa"/>
            <w:vAlign w:val="bottom"/>
            <w:tcBorders>
              <w:top w:val="single" w:sz="8" w:color="3051F2"/>
            </w:tcBorders>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40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4.</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CONTROLS AND PROCEDURES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Borders>
              <w:top w:val="single" w:sz="8" w:color="CCEEFF"/>
            </w:tcBorders>
          </w:tcPr>
          <w:p>
            <w:pPr>
              <w:spacing w:after="0"/>
              <w:rPr>
                <w:sz w:val="16"/>
                <w:szCs w:val="16"/>
                <w:color w:val="auto"/>
              </w:rPr>
            </w:pPr>
          </w:p>
        </w:tc>
        <w:tc>
          <w:tcPr>
            <w:tcW w:w="620" w:type="dxa"/>
            <w:vAlign w:val="bottom"/>
            <w:tcBorders>
              <w:top w:val="single" w:sz="8" w:color="3051F2"/>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80" w:type="dxa"/>
            <w:vAlign w:val="bottom"/>
            <w:tcBorders>
              <w:top w:val="single" w:sz="8" w:color="3051F2"/>
            </w:tcBorders>
          </w:tcPr>
          <w:p>
            <w:pPr>
              <w:spacing w:after="0"/>
              <w:rPr>
                <w:sz w:val="16"/>
                <w:szCs w:val="16"/>
                <w:color w:val="auto"/>
              </w:rPr>
            </w:pPr>
          </w:p>
        </w:tc>
        <w:tc>
          <w:tcPr>
            <w:tcW w:w="420" w:type="dxa"/>
            <w:vAlign w:val="bottom"/>
            <w:tcBorders>
              <w:top w:val="single" w:sz="8" w:color="3051F2"/>
            </w:tcBorders>
          </w:tcPr>
          <w:p>
            <w:pPr>
              <w:spacing w:after="0"/>
              <w:rPr>
                <w:sz w:val="16"/>
                <w:szCs w:val="16"/>
                <w:color w:val="auto"/>
              </w:rPr>
            </w:pPr>
          </w:p>
        </w:tc>
        <w:tc>
          <w:tcPr>
            <w:tcW w:w="620" w:type="dxa"/>
            <w:vAlign w:val="bottom"/>
            <w:tcBorders>
              <w:top w:val="single" w:sz="8" w:color="3051F2"/>
            </w:tcBorders>
          </w:tcPr>
          <w:p>
            <w:pPr>
              <w:spacing w:after="0"/>
              <w:rPr>
                <w:sz w:val="16"/>
                <w:szCs w:val="16"/>
                <w:color w:val="auto"/>
              </w:rPr>
            </w:pPr>
          </w:p>
        </w:tc>
        <w:tc>
          <w:tcPr>
            <w:tcW w:w="20" w:type="dxa"/>
            <w:vAlign w:val="bottom"/>
            <w:tcBorders>
              <w:top w:val="single" w:sz="8" w:color="3051F2"/>
            </w:tcBorders>
          </w:tcPr>
          <w:p>
            <w:pPr>
              <w:spacing w:after="0"/>
              <w:rPr>
                <w:sz w:val="16"/>
                <w:szCs w:val="16"/>
                <w:color w:val="auto"/>
              </w:rPr>
            </w:pPr>
          </w:p>
        </w:tc>
        <w:tc>
          <w:tcPr>
            <w:tcW w:w="540" w:type="dxa"/>
            <w:vAlign w:val="bottom"/>
            <w:tcBorders>
              <w:top w:val="single" w:sz="8" w:color="3051F2"/>
            </w:tcBorders>
          </w:tcPr>
          <w:p>
            <w:pPr>
              <w:spacing w:after="0"/>
              <w:rPr>
                <w:sz w:val="16"/>
                <w:szCs w:val="16"/>
                <w:color w:val="auto"/>
              </w:rPr>
            </w:pPr>
          </w:p>
        </w:tc>
        <w:tc>
          <w:tcPr>
            <w:tcW w:w="160" w:type="dxa"/>
            <w:vAlign w:val="bottom"/>
            <w:tcBorders>
              <w:top w:val="single" w:sz="8" w:color="3051F2"/>
            </w:tcBorders>
          </w:tcPr>
          <w:p>
            <w:pPr>
              <w:spacing w:after="0"/>
              <w:rPr>
                <w:sz w:val="16"/>
                <w:szCs w:val="16"/>
                <w:color w:val="auto"/>
              </w:rPr>
            </w:pPr>
          </w:p>
        </w:tc>
        <w:tc>
          <w:tcPr>
            <w:tcW w:w="6720" w:type="dxa"/>
            <w:vAlign w:val="bottom"/>
            <w:tcBorders>
              <w:top w:val="single" w:sz="8" w:color="CCEEFF"/>
            </w:tcBorders>
            <w:gridSpan w:val="16"/>
          </w:tcPr>
          <w:p>
            <w:pPr>
              <w:jc w:val="center"/>
              <w:ind w:right="3640"/>
              <w:spacing w:after="0" w:line="189" w:lineRule="exact"/>
              <w:rPr>
                <w:sz w:val="20"/>
                <w:szCs w:val="20"/>
                <w:color w:val="auto"/>
              </w:rPr>
            </w:pPr>
            <w:r>
              <w:rPr>
                <w:rFonts w:ascii="Times New Roman" w:cs="Times New Roman" w:eastAsia="Times New Roman" w:hAnsi="Times New Roman"/>
                <w:sz w:val="18"/>
                <w:szCs w:val="18"/>
                <w:b w:val="1"/>
                <w:bCs w:val="1"/>
                <w:color w:val="3051F2"/>
                <w:w w:val="98"/>
              </w:rPr>
              <w:t>PART II. OTHER INFORMATION</w:t>
            </w: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40" w:type="dxa"/>
            <w:vAlign w:val="bottom"/>
            <w:tcBorders>
              <w:top w:val="single" w:sz="8" w:color="3051F2"/>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860" w:type="dxa"/>
            <w:vAlign w:val="bottom"/>
            <w:tcBorders>
              <w:top w:val="single" w:sz="8" w:color="3051F2"/>
            </w:tcBorders>
          </w:tcPr>
          <w:p>
            <w:pPr>
              <w:spacing w:after="0" w:line="20" w:lineRule="exact"/>
              <w:rPr>
                <w:sz w:val="1"/>
                <w:szCs w:val="1"/>
                <w:color w:val="auto"/>
              </w:rPr>
            </w:pPr>
          </w:p>
        </w:tc>
        <w:tc>
          <w:tcPr>
            <w:tcW w:w="148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1.</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LEGAL PROCEEDINGS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3051F2"/>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3051F2"/>
              </w:rPr>
              <w:t>ITEM 1A.</w:t>
            </w: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RISK FACTORS</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2.</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UNREGISTERED SALES OF EQUITY SECURITIES AND USE OF PROCEEDS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3051F2"/>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54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3051F2"/>
            </w:tcBorders>
            <w:shd w:val="clear" w:color="auto" w:fill="CCEEFF"/>
          </w:tcPr>
          <w:p>
            <w:pPr>
              <w:spacing w:after="0" w:line="20" w:lineRule="exact"/>
              <w:rPr>
                <w:sz w:val="1"/>
                <w:szCs w:val="1"/>
                <w:color w:val="auto"/>
              </w:rPr>
            </w:pPr>
          </w:p>
        </w:tc>
        <w:tc>
          <w:tcPr>
            <w:tcW w:w="300" w:type="dxa"/>
            <w:vAlign w:val="bottom"/>
            <w:tcBorders>
              <w:top w:val="single" w:sz="8" w:color="3051F2"/>
            </w:tcBorders>
            <w:shd w:val="clear" w:color="auto" w:fill="CCEEFF"/>
          </w:tcPr>
          <w:p>
            <w:pPr>
              <w:spacing w:after="0" w:line="20" w:lineRule="exact"/>
              <w:rPr>
                <w:sz w:val="1"/>
                <w:szCs w:val="1"/>
                <w:color w:val="auto"/>
              </w:rPr>
            </w:pPr>
          </w:p>
        </w:tc>
        <w:tc>
          <w:tcPr>
            <w:tcW w:w="120" w:type="dxa"/>
            <w:vAlign w:val="bottom"/>
            <w:tcBorders>
              <w:top w:val="single" w:sz="8" w:color="3051F2"/>
            </w:tcBorders>
            <w:shd w:val="clear" w:color="auto" w:fill="CCEEFF"/>
          </w:tcPr>
          <w:p>
            <w:pPr>
              <w:spacing w:after="0" w:line="20" w:lineRule="exact"/>
              <w:rPr>
                <w:sz w:val="1"/>
                <w:szCs w:val="1"/>
                <w:color w:val="auto"/>
              </w:rPr>
            </w:pPr>
          </w:p>
        </w:tc>
        <w:tc>
          <w:tcPr>
            <w:tcW w:w="860" w:type="dxa"/>
            <w:vAlign w:val="bottom"/>
            <w:tcBorders>
              <w:top w:val="single" w:sz="8" w:color="3051F2"/>
            </w:tcBorders>
            <w:shd w:val="clear" w:color="auto" w:fill="CCEEFF"/>
          </w:tcPr>
          <w:p>
            <w:pPr>
              <w:spacing w:after="0" w:line="20" w:lineRule="exact"/>
              <w:rPr>
                <w:sz w:val="1"/>
                <w:szCs w:val="1"/>
                <w:color w:val="auto"/>
              </w:rPr>
            </w:pPr>
          </w:p>
        </w:tc>
        <w:tc>
          <w:tcPr>
            <w:tcW w:w="148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3051F2"/>
            </w:tcBorders>
            <w:shd w:val="clear" w:color="auto" w:fill="CCEEFF"/>
          </w:tcPr>
          <w:p>
            <w:pPr>
              <w:spacing w:after="0" w:line="20" w:lineRule="exact"/>
              <w:rPr>
                <w:sz w:val="1"/>
                <w:szCs w:val="1"/>
                <w:color w:val="auto"/>
              </w:rPr>
            </w:pPr>
          </w:p>
        </w:tc>
        <w:tc>
          <w:tcPr>
            <w:tcW w:w="400" w:type="dxa"/>
            <w:vAlign w:val="bottom"/>
            <w:tcBorders>
              <w:top w:val="single" w:sz="8" w:color="3051F2"/>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3051F2"/>
              </w:rPr>
              <w:t>ITEM 3.</w:t>
            </w: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DEFAULTS UPON SENIOR SECURITIES</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160" w:type="dxa"/>
            <w:vAlign w:val="bottom"/>
            <w:tcBorders>
              <w:top w:val="single" w:sz="8" w:color="3051F2"/>
            </w:tcBorders>
          </w:tcPr>
          <w:p>
            <w:pPr>
              <w:spacing w:after="0" w:line="20" w:lineRule="exact"/>
              <w:rPr>
                <w:sz w:val="1"/>
                <w:szCs w:val="1"/>
                <w:color w:val="auto"/>
              </w:rPr>
            </w:pPr>
          </w:p>
        </w:tc>
        <w:tc>
          <w:tcPr>
            <w:tcW w:w="300" w:type="dxa"/>
            <w:vAlign w:val="bottom"/>
            <w:tcBorders>
              <w:top w:val="single" w:sz="8" w:color="3051F2"/>
            </w:tcBorders>
          </w:tcPr>
          <w:p>
            <w:pPr>
              <w:spacing w:after="0" w:line="20" w:lineRule="exact"/>
              <w:rPr>
                <w:sz w:val="1"/>
                <w:szCs w:val="1"/>
                <w:color w:val="auto"/>
              </w:rPr>
            </w:pPr>
          </w:p>
        </w:tc>
        <w:tc>
          <w:tcPr>
            <w:tcW w:w="120" w:type="dxa"/>
            <w:vAlign w:val="bottom"/>
            <w:tcBorders>
              <w:top w:val="single" w:sz="8" w:color="3051F2"/>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4.</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MINE SAFETY DISCLOSURES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3051F2"/>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20" w:type="dxa"/>
            <w:vAlign w:val="bottom"/>
            <w:tcBorders>
              <w:top w:val="single" w:sz="8" w:color="3051F2"/>
            </w:tcBorders>
            <w:shd w:val="clear" w:color="auto" w:fill="CCEEFF"/>
          </w:tcPr>
          <w:p>
            <w:pPr>
              <w:spacing w:after="0" w:line="20" w:lineRule="exact"/>
              <w:rPr>
                <w:sz w:val="1"/>
                <w:szCs w:val="1"/>
                <w:color w:val="auto"/>
              </w:rPr>
            </w:pPr>
          </w:p>
        </w:tc>
        <w:tc>
          <w:tcPr>
            <w:tcW w:w="540" w:type="dxa"/>
            <w:vAlign w:val="bottom"/>
            <w:tcBorders>
              <w:top w:val="single" w:sz="8" w:color="3051F2"/>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10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3051F2"/>
              </w:rPr>
              <w:t>ITEM 5.</w:t>
            </w:r>
          </w:p>
        </w:tc>
        <w:tc>
          <w:tcPr>
            <w:tcW w:w="92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3051F2"/>
              </w:rPr>
              <w:t>OTHER INFORMATION</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39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3051F2"/>
            </w:tcBorders>
          </w:tcPr>
          <w:p>
            <w:pPr>
              <w:spacing w:after="0" w:line="20" w:lineRule="exact"/>
              <w:rPr>
                <w:sz w:val="1"/>
                <w:szCs w:val="1"/>
                <w:color w:val="auto"/>
              </w:rPr>
            </w:pPr>
          </w:p>
        </w:tc>
        <w:tc>
          <w:tcPr>
            <w:tcW w:w="420" w:type="dxa"/>
            <w:vAlign w:val="bottom"/>
            <w:tcBorders>
              <w:top w:val="single" w:sz="8" w:color="3051F2"/>
            </w:tcBorders>
          </w:tcPr>
          <w:p>
            <w:pPr>
              <w:spacing w:after="0" w:line="20" w:lineRule="exact"/>
              <w:rPr>
                <w:sz w:val="1"/>
                <w:szCs w:val="1"/>
                <w:color w:val="auto"/>
              </w:rPr>
            </w:pPr>
          </w:p>
        </w:tc>
        <w:tc>
          <w:tcPr>
            <w:tcW w:w="620" w:type="dxa"/>
            <w:vAlign w:val="bottom"/>
            <w:tcBorders>
              <w:top w:val="single" w:sz="8" w:color="3051F2"/>
            </w:tcBorders>
          </w:tcPr>
          <w:p>
            <w:pPr>
              <w:spacing w:after="0" w:line="20" w:lineRule="exact"/>
              <w:rPr>
                <w:sz w:val="1"/>
                <w:szCs w:val="1"/>
                <w:color w:val="auto"/>
              </w:rPr>
            </w:pPr>
          </w:p>
        </w:tc>
        <w:tc>
          <w:tcPr>
            <w:tcW w:w="20" w:type="dxa"/>
            <w:vAlign w:val="bottom"/>
            <w:tcBorders>
              <w:top w:val="single" w:sz="8" w:color="3051F2"/>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3051F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ITEM 6.</w:t>
            </w:r>
          </w:p>
        </w:tc>
        <w:tc>
          <w:tcPr>
            <w:tcW w:w="92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3051F2"/>
              </w:rPr>
              <w:t>EXHIBITS</w:t>
            </w:r>
          </w:p>
        </w:tc>
        <w:tc>
          <w:tcPr>
            <w:tcW w:w="520" w:type="dxa"/>
            <w:vAlign w:val="bottom"/>
            <w:tcBorders>
              <w:right w:val="single" w:sz="8" w:color="CCEEFF"/>
            </w:tcBorders>
            <w:gridSpan w:val="3"/>
            <w:shd w:val="clear" w:color="auto" w:fill="CCEEFF"/>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3051F2"/>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3051F2"/>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3051F2"/>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103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3051F2"/>
              </w:rPr>
              <w:t>SIGNATURES</w:t>
            </w:r>
          </w:p>
        </w:tc>
        <w:tc>
          <w:tcPr>
            <w:tcW w:w="520" w:type="dxa"/>
            <w:vAlign w:val="bottom"/>
            <w:gridSpan w:val="3"/>
          </w:tcPr>
          <w:p>
            <w:pPr>
              <w:jc w:val="center"/>
              <w:ind w:left="250"/>
              <w:spacing w:after="0" w:line="189" w:lineRule="exact"/>
              <w:rPr>
                <w:sz w:val="20"/>
                <w:szCs w:val="20"/>
                <w:color w:val="auto"/>
              </w:rPr>
            </w:pPr>
            <w:r>
              <w:rPr>
                <w:rFonts w:ascii="Times New Roman" w:cs="Times New Roman" w:eastAsia="Times New Roman" w:hAnsi="Times New Roman"/>
                <w:sz w:val="18"/>
                <w:szCs w:val="18"/>
                <w:color w:val="3051F2"/>
                <w:w w:val="99"/>
              </w:rPr>
              <w:t>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3051F2"/>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340" w:type="dxa"/>
            <w:vAlign w:val="bottom"/>
            <w:tcBorders>
              <w:right w:val="single" w:sz="8" w:color="3051F2"/>
            </w:tcBorders>
            <w:shd w:val="clear" w:color="auto" w:fill="3051F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3051F2"/>
            </w:tcBorders>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Key Terms</w:t>
      </w:r>
    </w:p>
    <w:p>
      <w:pPr>
        <w:spacing w:after="0" w:line="10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This Quarterly Report on Form 10-Q uses several terms of art that are specific to our industry and business. For the convenience of the reader, a glossary of such terms is provided here. Capitalized terms that are used in this Quarterly Report on Form 10-Q are either defined when they are first used or in the Glossary. Unless we otherwise indicate, or unless the context requires otherwise, any references in this Quarterly Report on Form 10-Q to:</w:t>
      </w:r>
    </w:p>
    <w:p>
      <w:pPr>
        <w:spacing w:after="0" w:line="3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i w:val="1"/>
          <w:iCs w:val="1"/>
          <w:color w:val="auto"/>
        </w:rPr>
        <w:t>“ArcLight” refers to ArcLight Clean Transition Corp. II, a blank check company incorporated as a Cayman Islands exempt company, and our previous name prior to the closing of the Business Combination.</w:t>
      </w:r>
    </w:p>
    <w:p>
      <w:pPr>
        <w:spacing w:after="0" w:line="15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i w:val="1"/>
          <w:iCs w:val="1"/>
          <w:color w:val="auto"/>
        </w:rPr>
        <w:t>“Business Combination” refers to the transactions contemplated by the Business Combination Agreement dated as of December 2, 2021 (as the same has been or may be amended, modified, supplemented or waived from time to time), by and among ArcLight, OPAL Fuels and OPAL Holdco.</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 Valley" refers to the consolidated variable interest entity of Central Valley RNG Holdings LLC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A common stock” refers to the shares of Class A common stock, par value $0.0001 per share, of OPAL.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common stock” refers to the shares of Class B common stock, par value $0.0001 per share, of OPAL.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C common stock” refers to the shares of Class C common stock, par value $0.0001 per share, of OPAL.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D common stock” refers to the shares of Class D common stock, par value $0.0001 per share, of OPAL.</w:t>
      </w:r>
    </w:p>
    <w:p>
      <w:pPr>
        <w:spacing w:after="0" w:line="223"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i w:val="1"/>
          <w:iCs w:val="1"/>
          <w:color w:val="auto"/>
        </w:rPr>
        <w:t>"CMS" refers to CMS RNG LLC, a consolidated variable interest entity formed on May 9, 2025 as a joint venture to develop, construct, own, and operate a renewable natural gas facility. The Company holds a 70% membership interest in CMS, with the remaining 30% owned by a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party partner.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“we”, “our”, “us” or similar terms refers to OPAL Fuels Inc. individually or on a consolidated basis, as the context may require.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Act” refers to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543560</wp:posOffset>
            </wp:positionV>
            <wp:extent cx="71583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7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“FASB” refers to the Financial Accounting Standards Board.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“Fortistar” refers to Fortistar LLC, a Delaware limited liability company.</w:t>
      </w:r>
    </w:p>
    <w:p>
      <w:pPr>
        <w:spacing w:after="0" w:line="22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“Fueling Stations” refers to facilities where (i) natural gas is dispensed into fuel tanks of vehicles for use as transportation fuel, and (ii) transactional data from the dispensing of the fuel is recorded so that Environmental Attributes can be subsequently reported, matched with the dispensed fuel to the extent sourced from RNG, and generated under the federal or state RFS or LCFS programs and other current and potential future programs aimed at providing support for RNG into the transportation market. At the Fueling Stations, the natural gas is pressurized using compressor systems and, in this state, is referred to as CNG. Because Environmental Attributes associated with RNG are nominated/assigned to the physical quantity of CNG dispensed at the Fueling Station, when the CNG is dispensed into fuel tanks for use as transportation fuel and subsequently reported to the EPA and/or state environmental agency and matched with the production of RNG, the respective RINs and LCFS credits are generated. Some of these stations are designed, developed, constructed, operated and maintained by us while others are third party stations where we may only provide maintenance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“Hillman” refers to Hillman RNG Investments, LLC, a Delaware limited liability company and an affiliate of Fortistar.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Intermediate Holdco” refers to OPAL Fuels Intermediate Holding Company LLC an indirect wholly owned subsidiary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Term Loan" refers to the term loan agreement entered into on October 22, 2021, by OPAL Intermediate Holdco with a syndicate of lenders.</w:t>
      </w:r>
    </w:p>
    <w:p>
      <w:pPr>
        <w:spacing w:after="0" w:line="185" w:lineRule="exact"/>
        <w:rPr>
          <w:sz w:val="20"/>
          <w:szCs w:val="20"/>
          <w:color w:val="auto"/>
        </w:rPr>
      </w:pPr>
    </w:p>
    <w:p>
      <w:pPr>
        <w:ind w:right="240"/>
        <w:spacing w:after="0" w:line="245" w:lineRule="exact"/>
        <w:rPr>
          <w:sz w:val="20"/>
          <w:szCs w:val="20"/>
          <w:color w:val="auto"/>
        </w:rPr>
      </w:pPr>
      <w:r>
        <w:rPr>
          <w:rFonts w:ascii="Times New Roman" w:cs="Times New Roman" w:eastAsia="Times New Roman" w:hAnsi="Times New Roman"/>
          <w:sz w:val="18"/>
          <w:szCs w:val="18"/>
          <w:i w:val="1"/>
          <w:iCs w:val="1"/>
          <w:color w:val="auto"/>
        </w:rPr>
        <w:t>"Paragon Loan" refers to the senior secured delayed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draw term loan and related revolving loan facilities governed by the Amended and Restated Credit Agreement, under which Paragon RNG LLC, the Company’s joint venture, is the borrower and certain of its subsidiaries are guarantors.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"PTC" and "45z" refers to Production Tax Credits.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“Sarbanes-Oxley Act” refers to the Sarbanes-Oxley Act of 2002.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Act” refers to the Securities Act of 1933, as amended.</w:t>
      </w:r>
    </w:p>
    <w:p>
      <w:pPr>
        <w:spacing w:after="0" w:line="185" w:lineRule="exact"/>
        <w:rPr>
          <w:sz w:val="20"/>
          <w:szCs w:val="20"/>
          <w:color w:val="auto"/>
        </w:rPr>
      </w:pPr>
    </w:p>
    <w:p>
      <w:pPr>
        <w:ind w:right="260"/>
        <w:spacing w:after="0" w:line="245" w:lineRule="exact"/>
        <w:rPr>
          <w:sz w:val="20"/>
          <w:szCs w:val="20"/>
          <w:color w:val="auto"/>
        </w:rPr>
      </w:pPr>
      <w:r>
        <w:rPr>
          <w:rFonts w:ascii="Times New Roman" w:cs="Times New Roman" w:eastAsia="Times New Roman" w:hAnsi="Times New Roman"/>
          <w:sz w:val="18"/>
          <w:szCs w:val="18"/>
          <w:i w:val="1"/>
          <w:iCs w:val="1"/>
          <w:color w:val="auto"/>
        </w:rPr>
        <w:t>“Sunoma” refers to Sunoma Holdings LLC and its wholly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subsidiary, Sunoma Renewable Biofuel LLC, which together are owned 90% by OPAL Fuels Inc. and 10% by Paloma Dairy LLC.</w:t>
      </w:r>
    </w:p>
    <w:p>
      <w:pPr>
        <w:spacing w:after="0" w:line="158" w:lineRule="exact"/>
        <w:rPr>
          <w:sz w:val="20"/>
          <w:szCs w:val="20"/>
          <w:color w:val="auto"/>
        </w:rPr>
      </w:pPr>
    </w:p>
    <w:p>
      <w:pPr>
        <w:ind w:right="140"/>
        <w:spacing w:after="0" w:line="245" w:lineRule="exact"/>
        <w:rPr>
          <w:sz w:val="20"/>
          <w:szCs w:val="20"/>
          <w:color w:val="auto"/>
        </w:rPr>
      </w:pPr>
      <w:r>
        <w:rPr>
          <w:rFonts w:ascii="Times New Roman" w:cs="Times New Roman" w:eastAsia="Times New Roman" w:hAnsi="Times New Roman"/>
          <w:sz w:val="18"/>
          <w:szCs w:val="18"/>
          <w:i w:val="1"/>
          <w:iCs w:val="1"/>
          <w:color w:val="auto"/>
        </w:rPr>
        <w:t>"Sunoma Loan" refers to the debt agreement entered into on August 27, 2020 by Sunoma Renewable Biofuel LLC, an indirect wholly</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owned subsidiary of the Company, with Live Oak Banking Company.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is a glossary of key industry terms used herein: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"AAA" refers to the American Arbitration Association.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"ATM" refers to At Market Issuance Sales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“Btu” refers to British thermal units.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“CI” refers to carbon intensity.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“CNG” refers to compressed natural gas.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“D3” refers to cellulosic biofuel with a 60% GHG reduction requirement.</w:t>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i w:val="1"/>
          <w:iCs w:val="1"/>
          <w:color w:val="auto"/>
        </w:rPr>
        <w:t>“Environmental Attributes” 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 refers to the U.S. Environmental Protection Agency.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“GHG” refers to greenhouse gases.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“ISOs” refers to independent system operators.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"ITC" refers to Investment Tax Credit.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“LCFS” refers to Low Carbon Fuel Standard or similar types of federal and state programs.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“LFG” refers to landfill gas.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“RECs” refers to renewable energy credits.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refers to electricity generated from renewable sources.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“RFS” refers to the EPA’s Renewable Fuel Standard.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“RINs” refers to Renewable Identification Numbers.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refers to renewable natural gas.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"ROU" refers to a Right-of-Use asset representing a lessee's rights to use a leased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“RVOs” refers to renewable volume obligations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“VIEs” refers to 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994" w:right="1440"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and per share data)</w:t>
      </w:r>
    </w:p>
    <w:p>
      <w:pPr>
        <w:spacing w:after="0" w:line="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6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4"/>
        </w:trPr>
        <w:tc>
          <w:tcPr>
            <w:tcW w:w="83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83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9"/>
                <w:szCs w:val="9"/>
                <w:b w:val="1"/>
                <w:bCs w:val="1"/>
                <w:color w:val="auto"/>
              </w:rPr>
              <w:t>(1)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88"/>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3"/>
        </w:trPr>
        <w:tc>
          <w:tcPr>
            <w:tcW w:w="8360" w:type="dxa"/>
            <w:vAlign w:val="bottom"/>
            <w:tcBorders>
              <w:bottom w:val="single" w:sz="8" w:color="CCEEFF"/>
            </w:tcBorders>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6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133,241</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24,408</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allowances of $806 and $469, respectively</w:t>
            </w:r>
            <w:r>
              <w:rPr>
                <w:rFonts w:ascii="Times New Roman" w:cs="Times New Roman" w:eastAsia="Times New Roman" w:hAnsi="Times New Roman"/>
                <w:sz w:val="9"/>
                <w:szCs w:val="9"/>
                <w:color w:val="auto"/>
              </w:rPr>
              <w:t>(2)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42,636</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current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12,201</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assets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213,401</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122,682</w:t>
            </w:r>
          </w:p>
        </w:tc>
        <w:tc>
          <w:tcPr>
            <w:tcW w:w="0" w:type="dxa"/>
            <w:vAlign w:val="bottom"/>
          </w:tcPr>
          <w:p>
            <w:pPr>
              <w:spacing w:after="0"/>
              <w:rPr>
                <w:sz w:val="1"/>
                <w:szCs w:val="1"/>
                <w:color w:val="auto"/>
              </w:rPr>
            </w:pPr>
          </w:p>
        </w:tc>
      </w:tr>
      <w:tr>
        <w:trPr>
          <w:trHeight w:val="183"/>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512,546</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495,634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Investments in other entities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224,282</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231,223</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investment in sales-type lease</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non-current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42,307</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0" w:type="dxa"/>
            <w:vAlign w:val="bottom"/>
          </w:tcPr>
          <w:p>
            <w:pPr>
              <w:spacing w:after="0"/>
              <w:rPr>
                <w:sz w:val="1"/>
                <w:szCs w:val="1"/>
                <w:color w:val="auto"/>
              </w:rPr>
            </w:pPr>
          </w:p>
        </w:tc>
      </w:tr>
      <w:tr>
        <w:trPr>
          <w:trHeight w:val="183"/>
        </w:trPr>
        <w:tc>
          <w:tcPr>
            <w:tcW w:w="8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1,060,602</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 (Deficit)</w:t>
            </w:r>
            <w:r>
              <w:rPr>
                <w:rFonts w:ascii="Times New Roman" w:cs="Times New Roman" w:eastAsia="Times New Roman" w:hAnsi="Times New Roman"/>
                <w:sz w:val="9"/>
                <w:szCs w:val="9"/>
                <w:b w:val="1"/>
                <w:bCs w:val="1"/>
                <w:color w:val="auto"/>
              </w:rPr>
              <w:t>(1)</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r>
              <w:rPr>
                <w:rFonts w:ascii="Times New Roman" w:cs="Times New Roman" w:eastAsia="Times New Roman" w:hAnsi="Times New Roman"/>
                <w:sz w:val="9"/>
                <w:szCs w:val="9"/>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9,631</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current portion</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19,473</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62,890</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63,857</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97,064</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104,219</w:t>
            </w:r>
          </w:p>
        </w:tc>
        <w:tc>
          <w:tcPr>
            <w:tcW w:w="0" w:type="dxa"/>
            <w:vAlign w:val="bottom"/>
          </w:tcPr>
          <w:p>
            <w:pPr>
              <w:spacing w:after="0"/>
              <w:rPr>
                <w:sz w:val="1"/>
                <w:szCs w:val="1"/>
                <w:color w:val="auto"/>
              </w:rPr>
            </w:pPr>
          </w:p>
        </w:tc>
      </w:tr>
      <w:tr>
        <w:trPr>
          <w:trHeight w:val="183"/>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Loans, net of debt issuance costs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427,698</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0" w:type="dxa"/>
            <w:vAlign w:val="bottom"/>
          </w:tcPr>
          <w:p>
            <w:pPr>
              <w:spacing w:after="0"/>
              <w:rPr>
                <w:sz w:val="1"/>
                <w:szCs w:val="1"/>
                <w:color w:val="auto"/>
              </w:rPr>
            </w:pPr>
          </w:p>
        </w:tc>
      </w:tr>
      <w:tr>
        <w:trPr>
          <w:trHeight w:val="183"/>
        </w:trPr>
        <w:tc>
          <w:tcPr>
            <w:tcW w:w="8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548,708</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461,712</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343,467</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0" w:type="dxa"/>
            <w:vAlign w:val="bottom"/>
          </w:tcPr>
          <w:p>
            <w:pPr>
              <w:spacing w:after="0"/>
              <w:rPr>
                <w:sz w:val="1"/>
                <w:szCs w:val="1"/>
                <w:color w:val="auto"/>
              </w:rPr>
            </w:pPr>
          </w:p>
        </w:tc>
      </w:tr>
      <w:tr>
        <w:trPr>
          <w:trHeight w:val="19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$0.0001 par value, shares issued: 31,993,327 and 30,633,161 as of March 31, 2026 and December 31, 2025,</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respectively; shares outstanding: 30,357,544 and 28,997,378 as of March 31, 2026 and December 31, 2025,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B common stock, $0.0001 par value, 121,500,000 issued and outstanding as of March 31, 2026 and December 31, 2025</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C common stock, $0.0001 par value; none issued and outstanding as of March 31, 2026 and December 31, 2025</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83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D common stock, $0.0001 par value, 22,899,037 shares issued and outstanding as of March 31, 2026 and December 31, 2025</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19,632</w:t>
            </w:r>
          </w:p>
        </w:tc>
        <w:tc>
          <w:tcPr>
            <w:tcW w:w="18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0"/>
        </w:trPr>
        <w:tc>
          <w:tcPr>
            <w:tcW w:w="8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5"/>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in treasury, at cost; 1,635,783 as of March 31, 2026 and December 31, 2025</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3"/>
        </w:trPr>
        <w:tc>
          <w:tcPr>
            <w:tcW w:w="8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 attributable to the Company</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w:t>
            </w:r>
          </w:p>
        </w:tc>
        <w:tc>
          <w:tcPr>
            <w:tcW w:w="1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0" w:type="dxa"/>
            <w:vAlign w:val="bottom"/>
          </w:tcPr>
          <w:p>
            <w:pPr>
              <w:spacing w:after="0"/>
              <w:rPr>
                <w:sz w:val="1"/>
                <w:szCs w:val="1"/>
                <w:color w:val="auto"/>
              </w:rPr>
            </w:pPr>
          </w:p>
        </w:tc>
      </w:tr>
      <w:tr>
        <w:trPr>
          <w:trHeight w:val="183"/>
        </w:trPr>
        <w:tc>
          <w:tcPr>
            <w:tcW w:w="8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0" w:type="dxa"/>
            <w:vAlign w:val="bottom"/>
          </w:tcPr>
          <w:p>
            <w:pPr>
              <w:spacing w:after="0"/>
              <w:rPr>
                <w:sz w:val="1"/>
                <w:szCs w:val="1"/>
                <w:color w:val="auto"/>
              </w:rPr>
            </w:pPr>
          </w:p>
        </w:tc>
      </w:tr>
      <w:tr>
        <w:trPr>
          <w:trHeight w:val="25"/>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3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redeemable preferred, redeemable non-controlling interests and stockholders' equity (deficit)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1,060,602</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amounts related to consolidated VIEs, which are presented separately in the table below.</w:t>
      </w:r>
    </w:p>
    <w:p>
      <w:pPr>
        <w:spacing w:after="0" w:line="22"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$15,327 and $13,318 as of March 31, 2026 and December 31, 2025, respectively.</w:t>
      </w:r>
    </w:p>
    <w:p>
      <w:pPr>
        <w:spacing w:after="0" w:line="3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$3,046 and $8,951 as of March 31, 2026 and December 31, 2025, respectively.</w:t>
      </w: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40"/>
          </w:cols>
          <w:pgMar w:left="320" w:top="1104"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The following table presents the aggregated assets and liabilities of consolidated VIEs, which are included in the consolidated balance sheets above.</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955" cy="136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receivable</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Restricted cash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Prepaid expense and other current assets</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Restricted cash - non-current</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assets of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p>
      <w:pPr>
        <w:spacing w:after="0" w:line="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Accounts payable, related party</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Loan,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p>
      <w:pPr>
        <w:spacing w:after="0" w:line="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Loan, net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95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p>
      <w:pPr>
        <w:spacing w:after="0" w:line="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Total liabilities of consolidated VIEs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1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92"/>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13,105</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41,828</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42,603</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2,740</w:t>
            </w:r>
          </w:p>
        </w:tc>
      </w:tr>
      <w:tr>
        <w:trPr>
          <w:trHeight w:val="25"/>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58,822</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46,809</w:t>
            </w:r>
          </w:p>
        </w:tc>
      </w:tr>
      <w:tr>
        <w:trPr>
          <w:trHeight w:val="25"/>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72"/>
        </w:trPr>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12,431</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16,618</w:t>
            </w:r>
          </w:p>
        </w:tc>
      </w:tr>
      <w:tr>
        <w:trPr>
          <w:trHeight w:val="215"/>
        </w:trPr>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r>
      <w:tr>
        <w:trPr>
          <w:trHeight w:val="25"/>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3"/>
        </w:trPr>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23,107</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32,705</w:t>
            </w:r>
          </w:p>
        </w:tc>
      </w:tr>
      <w:tr>
        <w:trPr>
          <w:trHeight w:val="25"/>
        </w:trPr>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20" w:space="720"/>
            <w:col w:w="2700"/>
          </w:cols>
          <w:pgMar w:left="320" w:top="1103" w:right="3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 w:name="page8"/>
    <w:bookmarkEnd w:id="7"/>
    <w:p>
      <w:pPr>
        <w:ind w:left="518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0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5"/>
                <w:szCs w:val="15"/>
                <w:color w:val="auto"/>
              </w:rPr>
            </w:pPr>
          </w:p>
        </w:tc>
        <w:tc>
          <w:tcPr>
            <w:tcW w:w="106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RNG fuel</w:t>
            </w:r>
            <w:r>
              <w:rPr>
                <w:rFonts w:ascii="Times New Roman" w:cs="Times New Roman" w:eastAsia="Times New Roman" w:hAnsi="Times New Roman"/>
                <w:sz w:val="9"/>
                <w:szCs w:val="9"/>
                <w:color w:val="auto"/>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27,599</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station services</w:t>
            </w:r>
            <w:r>
              <w:rPr>
                <w:rFonts w:ascii="Times New Roman" w:cs="Times New Roman" w:eastAsia="Times New Roman" w:hAnsi="Times New Roman"/>
                <w:sz w:val="9"/>
                <w:szCs w:val="9"/>
                <w:color w:val="auto"/>
              </w:rPr>
              <w:t>(2)</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50,678</w:t>
            </w: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Renewable power</w:t>
            </w:r>
            <w:r>
              <w:rPr>
                <w:rFonts w:ascii="Times New Roman" w:cs="Times New Roman" w:eastAsia="Times New Roman" w:hAnsi="Times New Roman"/>
                <w:sz w:val="9"/>
                <w:szCs w:val="9"/>
                <w:color w:val="auto"/>
              </w:rPr>
              <w:t>(3)</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73,375</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85,407</w:t>
            </w: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39,722</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w:t>
            </w: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startup costs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83"/>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78,218</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87,349</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0" w:type="dxa"/>
            <w:vAlign w:val="bottom"/>
          </w:tcPr>
          <w:p>
            <w:pPr>
              <w:spacing w:after="0"/>
              <w:rPr>
                <w:sz w:val="1"/>
                <w:szCs w:val="1"/>
                <w:color w:val="auto"/>
              </w:rPr>
            </w:pPr>
          </w:p>
        </w:tc>
      </w:tr>
      <w:tr>
        <w:trPr>
          <w:trHeight w:val="170"/>
        </w:trPr>
        <w:tc>
          <w:tcPr>
            <w:tcW w:w="8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0" w:type="dxa"/>
            <w:vAlign w:val="bottom"/>
          </w:tcPr>
          <w:p>
            <w:pPr>
              <w:spacing w:after="0"/>
              <w:rPr>
                <w:sz w:val="1"/>
                <w:szCs w:val="1"/>
                <w:color w:val="auto"/>
              </w:rPr>
            </w:pPr>
          </w:p>
        </w:tc>
      </w:tr>
      <w:tr>
        <w:trPr>
          <w:trHeight w:val="190"/>
        </w:trPr>
        <w:tc>
          <w:tcPr>
            <w:tcW w:w="8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c>
          <w:tcPr>
            <w:tcW w:w="0" w:type="dxa"/>
            <w:vAlign w:val="bottom"/>
          </w:tcPr>
          <w:p>
            <w:pPr>
              <w:spacing w:after="0"/>
              <w:rPr>
                <w:sz w:val="1"/>
                <w:szCs w:val="1"/>
                <w:color w:val="auto"/>
              </w:rPr>
            </w:pPr>
          </w:p>
        </w:tc>
      </w:tr>
      <w:tr>
        <w:trPr>
          <w:trHeight w:val="183"/>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other expenses</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before income tax benefit</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(11,302)</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0" w:type="dxa"/>
            <w:vAlign w:val="bottom"/>
          </w:tcPr>
          <w:p>
            <w:pPr>
              <w:spacing w:after="0"/>
              <w:rPr>
                <w:sz w:val="1"/>
                <w:szCs w:val="1"/>
                <w:color w:val="auto"/>
              </w:rPr>
            </w:pPr>
          </w:p>
        </w:tc>
      </w:tr>
      <w:tr>
        <w:trPr>
          <w:trHeight w:val="183"/>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0" w:type="dxa"/>
            <w:vAlign w:val="bottom"/>
          </w:tcPr>
          <w:p>
            <w:pPr>
              <w:spacing w:after="0"/>
              <w:rPr>
                <w:sz w:val="1"/>
                <w:szCs w:val="1"/>
                <w:color w:val="auto"/>
              </w:rPr>
            </w:pPr>
          </w:p>
        </w:tc>
      </w:tr>
      <w:tr>
        <w:trPr>
          <w:trHeight w:val="183"/>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w:t>
            </w: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0"/>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Accretion of the redeemable preferred non-controlling interest to its redemption amount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0" w:type="dxa"/>
            <w:vAlign w:val="bottom"/>
          </w:tcPr>
          <w:p>
            <w:pPr>
              <w:spacing w:after="0"/>
              <w:rPr>
                <w:sz w:val="1"/>
                <w:szCs w:val="1"/>
                <w:color w:val="auto"/>
              </w:rPr>
            </w:pPr>
          </w:p>
        </w:tc>
      </w:tr>
      <w:tr>
        <w:trPr>
          <w:trHeight w:val="25"/>
        </w:trPr>
        <w:tc>
          <w:tcPr>
            <w:tcW w:w="8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attributable to Class A common stockholders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shares outstanding of Class A common stock:</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28,298,861</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27,718,912</w:t>
            </w:r>
          </w:p>
        </w:tc>
        <w:tc>
          <w:tcPr>
            <w:tcW w:w="0" w:type="dxa"/>
            <w:vAlign w:val="bottom"/>
          </w:tcPr>
          <w:p>
            <w:pPr>
              <w:spacing w:after="0"/>
              <w:rPr>
                <w:sz w:val="1"/>
                <w:szCs w:val="1"/>
                <w:color w:val="auto"/>
              </w:rPr>
            </w:pPr>
          </w:p>
        </w:tc>
      </w:tr>
      <w:tr>
        <w:trPr>
          <w:trHeight w:val="190"/>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28,298,861</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27,718,912</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amounts:</w:t>
            </w: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Basic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5"/>
        </w:trPr>
        <w:tc>
          <w:tcPr>
            <w:tcW w:w="8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Diluted</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0" w:type="dxa"/>
            <w:vAlign w:val="bottom"/>
          </w:tcPr>
          <w:p>
            <w:pPr>
              <w:spacing w:after="0"/>
              <w:rPr>
                <w:sz w:val="1"/>
                <w:szCs w:val="1"/>
                <w:color w:val="auto"/>
              </w:rPr>
            </w:pPr>
          </w:p>
        </w:tc>
      </w:tr>
      <w:tr>
        <w:trPr>
          <w:trHeight w:val="25"/>
        </w:trPr>
        <w:tc>
          <w:tcPr>
            <w:tcW w:w="8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(1) </w:t>
      </w:r>
      <w:r>
        <w:rPr>
          <w:rFonts w:ascii="Times New Roman" w:cs="Times New Roman" w:eastAsia="Times New Roman" w:hAnsi="Times New Roman"/>
          <w:sz w:val="14"/>
          <w:szCs w:val="14"/>
          <w:color w:val="auto"/>
        </w:rPr>
        <w:t>Includes revenues from related parties of $17,042 and $20,101 for the three months ended March 31, 2026 and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Includes revenues from related parties of $13,107 and $16,603 for the three months ended March 31, 2026 and 2025,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Includes revenues from related parties of $872 and $1,166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20" w:type="dxa"/>
            <w:vAlign w:val="bottom"/>
          </w:tcPr>
          <w:p>
            <w:pPr>
              <w:spacing w:after="0"/>
              <w:rPr>
                <w:sz w:val="16"/>
                <w:szCs w:val="16"/>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r>
      <w:tr>
        <w:trPr>
          <w:trHeight w:val="25"/>
        </w:trPr>
        <w:tc>
          <w:tcPr>
            <w:tcW w:w="8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9"/>
        </w:trPr>
        <w:tc>
          <w:tcPr>
            <w:tcW w:w="8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r>
      <w:tr>
        <w:trPr>
          <w:trHeight w:val="20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92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100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94"/>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10"/>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(loss) on cash flow hedges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189"/>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Total comprehensive (loss) income</w:t>
            </w:r>
          </w:p>
        </w:tc>
        <w:tc>
          <w:tcPr>
            <w:tcW w:w="9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(4,378)</w:t>
            </w: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719</w:t>
            </w:r>
          </w:p>
        </w:tc>
      </w:tr>
      <w:tr>
        <w:trPr>
          <w:trHeight w:val="20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redeemable non-controlling interests</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(11,563)</w:t>
            </w: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w:t>
            </w:r>
          </w:p>
        </w:tc>
      </w:tr>
      <w:tr>
        <w:trPr>
          <w:trHeight w:val="194"/>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income attributable to non-redeemable non-controlling interests</w:t>
            </w:r>
          </w:p>
        </w:tc>
        <w:tc>
          <w:tcPr>
            <w:tcW w:w="9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20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Accretion of the redeemable preferred non-controlling interest to its redemption amount</w:t>
            </w:r>
          </w:p>
        </w:tc>
        <w:tc>
          <w:tcPr>
            <w:tcW w:w="9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10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r>
      <w:tr>
        <w:trPr>
          <w:trHeight w:val="202"/>
        </w:trPr>
        <w:tc>
          <w:tcPr>
            <w:tcW w:w="8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Comprehensive loss attributable to Class A common stockholders</w:t>
            </w:r>
          </w:p>
        </w:tc>
        <w:tc>
          <w:tcPr>
            <w:tcW w:w="9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(2,431)</w:t>
            </w:r>
          </w:p>
        </w:tc>
        <w:tc>
          <w:tcPr>
            <w:tcW w:w="100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r>
      <w:tr>
        <w:trPr>
          <w:trHeight w:val="20"/>
        </w:trPr>
        <w:tc>
          <w:tcPr>
            <w:tcW w:w="8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183515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80"/>
          </w:cols>
          <w:pgMar w:left="400" w:top="1099" w:right="419" w:bottom="1440" w:gutter="0" w:footer="0" w:header="0"/>
        </w:sectPr>
      </w:pPr>
    </w:p>
    <w:bookmarkStart w:id="9" w:name="page10"/>
    <w:bookmarkEnd w:id="9"/>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OPAL FUELS INC.</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REDEEMABLE NON-CONTROLLING INTEREST, REDEEMABLE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PREFERRED NON-CONTROLLING INTEREST AND STOCKHOLDERS' EQUITY (DEFICIT)</w:t>
      </w:r>
    </w:p>
    <w:p>
      <w:pPr>
        <w:spacing w:after="0" w:line="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(In thousands of U.S. dollars, except per share data)</w:t>
      </w:r>
    </w:p>
    <w:p>
      <w:pPr>
        <w:spacing w:after="0" w:line="1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960" w:type="dxa"/>
            <w:vAlign w:val="bottom"/>
          </w:tcPr>
          <w:p>
            <w:pPr>
              <w:spacing w:after="0"/>
              <w:rPr>
                <w:sz w:val="16"/>
                <w:szCs w:val="16"/>
                <w:color w:val="auto"/>
              </w:rPr>
            </w:pPr>
          </w:p>
        </w:tc>
        <w:tc>
          <w:tcPr>
            <w:tcW w:w="12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3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2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D Common</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92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6"/>
                <w:szCs w:val="16"/>
                <w:color w:val="auto"/>
              </w:rPr>
            </w:pPr>
          </w:p>
        </w:tc>
        <w:tc>
          <w:tcPr>
            <w:tcW w:w="10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6"/>
                <w:szCs w:val="16"/>
                <w:color w:val="auto"/>
              </w:rPr>
            </w:pPr>
          </w:p>
        </w:tc>
        <w:tc>
          <w:tcPr>
            <w:tcW w:w="9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 in treasury</w:t>
            </w:r>
          </w:p>
        </w:tc>
        <w:tc>
          <w:tcPr>
            <w:tcW w:w="10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39"/>
        </w:trPr>
        <w:tc>
          <w:tcPr>
            <w:tcW w:w="9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w w:val="97"/>
              </w:rPr>
              <w:t>Non-</w:t>
            </w:r>
          </w:p>
        </w:tc>
        <w:tc>
          <w:tcPr>
            <w:tcW w:w="7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8"/>
              <w:spacing w:after="0" w:line="144" w:lineRule="exact"/>
              <w:rPr>
                <w:sz w:val="20"/>
                <w:szCs w:val="20"/>
                <w:color w:val="auto"/>
              </w:rPr>
            </w:pPr>
            <w:r>
              <w:rPr>
                <w:rFonts w:ascii="Times New Roman" w:cs="Times New Roman" w:eastAsia="Times New Roman" w:hAnsi="Times New Roman"/>
                <w:sz w:val="14"/>
                <w:szCs w:val="14"/>
                <w:color w:val="auto"/>
              </w:rPr>
              <w:t>Retained</w:t>
            </w:r>
          </w:p>
        </w:tc>
        <w:tc>
          <w:tcPr>
            <w:tcW w:w="9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color w:val="auto"/>
              </w:rPr>
              <w:t>Accumulated</w:t>
            </w:r>
          </w:p>
        </w:tc>
        <w:tc>
          <w:tcPr>
            <w:tcW w:w="72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108"/>
        </w:trPr>
        <w:tc>
          <w:tcPr>
            <w:tcW w:w="9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9"/>
                <w:szCs w:val="9"/>
                <w:color w:val="auto"/>
              </w:rPr>
            </w:pPr>
          </w:p>
        </w:tc>
        <w:tc>
          <w:tcPr>
            <w:tcW w:w="70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9"/>
                <w:szCs w:val="9"/>
                <w:color w:val="auto"/>
              </w:rPr>
            </w:pPr>
          </w:p>
        </w:tc>
        <w:tc>
          <w:tcPr>
            <w:tcW w:w="7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9"/>
                <w:szCs w:val="9"/>
                <w:color w:val="auto"/>
              </w:rPr>
            </w:pPr>
          </w:p>
        </w:tc>
        <w:tc>
          <w:tcPr>
            <w:tcW w:w="6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9"/>
                <w:szCs w:val="9"/>
                <w:color w:val="auto"/>
              </w:rPr>
            </w:pPr>
          </w:p>
        </w:tc>
        <w:tc>
          <w:tcPr>
            <w:tcW w:w="660" w:type="dxa"/>
            <w:vAlign w:val="bottom"/>
          </w:tcPr>
          <w:p>
            <w:pPr>
              <w:jc w:val="center"/>
              <w:ind w:right="29"/>
              <w:spacing w:after="0" w:line="108" w:lineRule="exact"/>
              <w:rPr>
                <w:sz w:val="20"/>
                <w:szCs w:val="20"/>
                <w:color w:val="auto"/>
              </w:rPr>
            </w:pPr>
            <w:r>
              <w:rPr>
                <w:rFonts w:ascii="Times New Roman" w:cs="Times New Roman" w:eastAsia="Times New Roman" w:hAnsi="Times New Roman"/>
                <w:sz w:val="12"/>
                <w:szCs w:val="12"/>
                <w:color w:val="auto"/>
              </w:rPr>
              <w:t>preferred</w:t>
            </w: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9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restart"/>
          </w:tcPr>
          <w:p>
            <w:pPr>
              <w:jc w:val="center"/>
              <w:ind w:right="49"/>
              <w:spacing w:after="0" w:line="135" w:lineRule="exact"/>
              <w:rPr>
                <w:sz w:val="20"/>
                <w:szCs w:val="20"/>
                <w:color w:val="auto"/>
              </w:rPr>
            </w:pPr>
            <w:r>
              <w:rPr>
                <w:rFonts w:ascii="Times New Roman" w:cs="Times New Roman" w:eastAsia="Times New Roman" w:hAnsi="Times New Roman"/>
                <w:sz w:val="14"/>
                <w:szCs w:val="14"/>
                <w:color w:val="auto"/>
              </w:rPr>
              <w:t>non-</w:t>
            </w:r>
          </w:p>
        </w:tc>
        <w:tc>
          <w:tcPr>
            <w:tcW w:w="120" w:type="dxa"/>
            <w:vAlign w:val="bottom"/>
          </w:tcPr>
          <w:p>
            <w:pPr>
              <w:spacing w:after="0"/>
              <w:rPr>
                <w:sz w:val="7"/>
                <w:szCs w:val="7"/>
                <w:color w:val="auto"/>
              </w:rPr>
            </w:pPr>
          </w:p>
        </w:tc>
        <w:tc>
          <w:tcPr>
            <w:tcW w:w="640" w:type="dxa"/>
            <w:vAlign w:val="bottom"/>
            <w:vMerge w:val="restart"/>
          </w:tcPr>
          <w:p>
            <w:pPr>
              <w:jc w:val="center"/>
              <w:ind w:right="28"/>
              <w:spacing w:after="0" w:line="135" w:lineRule="exact"/>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50"/>
        </w:trPr>
        <w:tc>
          <w:tcPr>
            <w:tcW w:w="9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Paid-in</w:t>
            </w: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comprehensive controlling</w:t>
            </w: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7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6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440" w:type="dxa"/>
            <w:vAlign w:val="bottom"/>
            <w:gridSpan w:val="6"/>
            <w:vMerge w:val="continue"/>
          </w:tcPr>
          <w:p>
            <w:pPr>
              <w:spacing w:after="0"/>
              <w:rPr>
                <w:sz w:val="12"/>
                <w:szCs w:val="12"/>
                <w:color w:val="auto"/>
              </w:rPr>
            </w:pP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640" w:type="dxa"/>
            <w:vAlign w:val="bottom"/>
            <w:tcBorders>
              <w:right w:val="single" w:sz="8" w:color="auto"/>
            </w:tcBorders>
            <w:gridSpan w:val="2"/>
            <w:vMerge w:val="continue"/>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controlling</w:t>
            </w:r>
          </w:p>
        </w:tc>
        <w:tc>
          <w:tcPr>
            <w:tcW w:w="7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6"/>
        </w:trPr>
        <w:tc>
          <w:tcPr>
            <w:tcW w:w="9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gridSpan w:val="2"/>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deficit)</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123"/>
        </w:trPr>
        <w:tc>
          <w:tcPr>
            <w:tcW w:w="960" w:type="dxa"/>
            <w:vAlign w:val="bottom"/>
            <w:shd w:val="clear" w:color="auto" w:fill="CCEEFF"/>
          </w:tcPr>
          <w:p>
            <w:pPr>
              <w:ind w:left="20"/>
              <w:spacing w:after="0" w:line="12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30,633,161</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121,500,000</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22,899,037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2,789</w:t>
            </w:r>
          </w:p>
        </w:tc>
        <w:tc>
          <w:tcPr>
            <w:tcW w:w="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(1,635,783)</w:t>
            </w: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 (11,614)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0" w:type="dxa"/>
            <w:vAlign w:val="bottom"/>
          </w:tcPr>
          <w:p>
            <w:pPr>
              <w:spacing w:after="0"/>
              <w:rPr>
                <w:sz w:val="1"/>
                <w:szCs w:val="1"/>
                <w:color w:val="auto"/>
              </w:rPr>
            </w:pPr>
          </w:p>
        </w:tc>
      </w:tr>
      <w:tr>
        <w:trPr>
          <w:trHeight w:val="200"/>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w:t>
            </w: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(904)</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for vesting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equity awards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1,360,166</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Distributions to</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non-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96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Change in</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23,581</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24,567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(24,567)</w:t>
            </w: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Payment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Capital</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contribution</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from non-</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7,402</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7,402</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2"/>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interest</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issuance, net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costs</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113,910</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warrants</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96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Redemption of</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6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960" w:type="dxa"/>
            <w:vAlign w:val="bottom"/>
            <w:shd w:val="clear" w:color="auto" w:fill="CCEEFF"/>
          </w:tcPr>
          <w:p>
            <w:pPr>
              <w:ind w:left="20"/>
              <w:spacing w:after="0" w:line="152"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Accretion of</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the redeemable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interest to its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(7,878)</w:t>
            </w:r>
          </w:p>
        </w:tc>
        <w:tc>
          <w:tcPr>
            <w:tcW w:w="0" w:type="dxa"/>
            <w:vAlign w:val="bottom"/>
          </w:tcPr>
          <w:p>
            <w:pPr>
              <w:spacing w:after="0"/>
              <w:rPr>
                <w:sz w:val="1"/>
                <w:szCs w:val="1"/>
                <w:color w:val="auto"/>
              </w:rPr>
            </w:pPr>
          </w:p>
        </w:tc>
      </w:tr>
      <w:tr>
        <w:trPr>
          <w:trHeight w:val="186"/>
        </w:trPr>
        <w:tc>
          <w:tcPr>
            <w:tcW w:w="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96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31,993,327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121,500,000</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22,899,037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19,632</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10,208</w:t>
            </w:r>
          </w:p>
        </w:tc>
        <w:tc>
          <w:tcPr>
            <w:tcW w:w="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(1,635,783)</w:t>
            </w: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 (11,614)</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18,427</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343,467</w:t>
            </w:r>
          </w:p>
        </w:tc>
        <w:tc>
          <w:tcPr>
            <w:tcW w:w="0" w:type="dxa"/>
            <w:vAlign w:val="bottom"/>
          </w:tcPr>
          <w:p>
            <w:pPr>
              <w:spacing w:after="0"/>
              <w:rPr>
                <w:sz w:val="1"/>
                <w:szCs w:val="1"/>
                <w:color w:val="auto"/>
              </w:rPr>
            </w:pPr>
          </w:p>
        </w:tc>
      </w:tr>
      <w:tr>
        <w:trPr>
          <w:trHeight w:val="199"/>
        </w:trPr>
        <w:tc>
          <w:tcPr>
            <w:tcW w:w="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vMerge w:val="continue"/>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00"/>
          </w:cols>
          <w:pgMar w:left="320" w:top="961" w:right="2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5"/>
        </w:trPr>
        <w:tc>
          <w:tcPr>
            <w:tcW w:w="940" w:type="dxa"/>
            <w:vAlign w:val="bottom"/>
          </w:tcPr>
          <w:p>
            <w:pPr>
              <w:spacing w:after="0"/>
              <w:rPr>
                <w:sz w:val="15"/>
                <w:szCs w:val="15"/>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 Common</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Class D Common</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Class A Common</w:t>
            </w:r>
          </w:p>
        </w:tc>
        <w:tc>
          <w:tcPr>
            <w:tcW w:w="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90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7"/>
                <w:szCs w:val="17"/>
                <w:color w:val="auto"/>
              </w:rPr>
            </w:pPr>
          </w:p>
        </w:tc>
        <w:tc>
          <w:tcPr>
            <w:tcW w:w="92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920" w:type="dxa"/>
            <w:vAlign w:val="bottom"/>
            <w:gridSpan w:val="2"/>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 in treasury</w:t>
            </w:r>
          </w:p>
        </w:tc>
        <w:tc>
          <w:tcPr>
            <w:tcW w:w="8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Mezzanine Equity</w:t>
            </w: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28"/>
              <w:spacing w:after="0" w:line="159" w:lineRule="exact"/>
              <w:rPr>
                <w:sz w:val="20"/>
                <w:szCs w:val="20"/>
                <w:color w:val="auto"/>
              </w:rPr>
            </w:pPr>
            <w:r>
              <w:rPr>
                <w:rFonts w:ascii="Times New Roman" w:cs="Times New Roman" w:eastAsia="Times New Roman" w:hAnsi="Times New Roman"/>
                <w:sz w:val="14"/>
                <w:szCs w:val="14"/>
                <w:color w:val="auto"/>
              </w:rPr>
              <w:t>Non-</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48"/>
              <w:spacing w:after="0" w:line="157" w:lineRule="exact"/>
              <w:rPr>
                <w:sz w:val="20"/>
                <w:szCs w:val="20"/>
                <w:color w:val="auto"/>
              </w:rPr>
            </w:pPr>
            <w:r>
              <w:rPr>
                <w:rFonts w:ascii="Times New Roman" w:cs="Times New Roman" w:eastAsia="Times New Roman" w:hAnsi="Times New Roman"/>
                <w:sz w:val="14"/>
                <w:szCs w:val="14"/>
                <w:color w:val="auto"/>
              </w:rPr>
              <w:t>Retained</w:t>
            </w:r>
          </w:p>
        </w:tc>
        <w:tc>
          <w:tcPr>
            <w:tcW w:w="9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color w:val="auto"/>
              </w:rPr>
              <w:t>Accumulated</w:t>
            </w:r>
          </w:p>
        </w:tc>
        <w:tc>
          <w:tcPr>
            <w:tcW w:w="7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color w:val="auto"/>
              </w:rPr>
              <w:t>redeemable</w:t>
            </w: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Redeemable</w:t>
            </w:r>
          </w:p>
        </w:tc>
        <w:tc>
          <w:tcPr>
            <w:tcW w:w="0" w:type="dxa"/>
            <w:vAlign w:val="bottom"/>
          </w:tcPr>
          <w:p>
            <w:pPr>
              <w:spacing w:after="0"/>
              <w:rPr>
                <w:sz w:val="1"/>
                <w:szCs w:val="1"/>
                <w:color w:val="auto"/>
              </w:rPr>
            </w:pPr>
          </w:p>
        </w:tc>
      </w:tr>
      <w:tr>
        <w:trPr>
          <w:trHeight w:val="94"/>
        </w:trPr>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Additional</w:t>
            </w:r>
          </w:p>
        </w:tc>
        <w:tc>
          <w:tcPr>
            <w:tcW w:w="120" w:type="dxa"/>
            <w:vAlign w:val="bottom"/>
          </w:tcPr>
          <w:p>
            <w:pPr>
              <w:spacing w:after="0"/>
              <w:rPr>
                <w:sz w:val="8"/>
                <w:szCs w:val="8"/>
                <w:color w:val="auto"/>
              </w:rPr>
            </w:pPr>
          </w:p>
        </w:tc>
        <w:tc>
          <w:tcPr>
            <w:tcW w:w="7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earnings</w:t>
            </w:r>
          </w:p>
        </w:tc>
        <w:tc>
          <w:tcPr>
            <w:tcW w:w="200" w:type="dxa"/>
            <w:vAlign w:val="bottom"/>
          </w:tcPr>
          <w:p>
            <w:pPr>
              <w:spacing w:after="0"/>
              <w:rPr>
                <w:sz w:val="8"/>
                <w:szCs w:val="8"/>
                <w:color w:val="auto"/>
              </w:rPr>
            </w:pPr>
          </w:p>
        </w:tc>
        <w:tc>
          <w:tcPr>
            <w:tcW w:w="7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8"/>
                <w:szCs w:val="8"/>
                <w:color w:val="auto"/>
              </w:rPr>
            </w:pPr>
          </w:p>
        </w:tc>
        <w:tc>
          <w:tcPr>
            <w:tcW w:w="6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color w:val="auto"/>
              </w:rPr>
              <w:t>non-</w:t>
            </w: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30"/>
              <w:spacing w:after="0" w:line="94" w:lineRule="exact"/>
              <w:rPr>
                <w:sz w:val="20"/>
                <w:szCs w:val="20"/>
                <w:color w:val="auto"/>
              </w:rPr>
            </w:pPr>
            <w:r>
              <w:rPr>
                <w:rFonts w:ascii="Times New Roman" w:cs="Times New Roman" w:eastAsia="Times New Roman" w:hAnsi="Times New Roman"/>
                <w:sz w:val="10"/>
                <w:szCs w:val="10"/>
                <w:color w:val="auto"/>
              </w:rPr>
              <w:t>preferred</w:t>
            </w: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vMerge w:val="restart"/>
          </w:tcPr>
          <w:p>
            <w:pPr>
              <w:jc w:val="center"/>
              <w:ind w:right="50"/>
              <w:spacing w:after="0" w:line="148" w:lineRule="exact"/>
              <w:rPr>
                <w:sz w:val="20"/>
                <w:szCs w:val="20"/>
                <w:color w:val="auto"/>
              </w:rPr>
            </w:pPr>
            <w:r>
              <w:rPr>
                <w:rFonts w:ascii="Times New Roman" w:cs="Times New Roman" w:eastAsia="Times New Roman" w:hAnsi="Times New Roman"/>
                <w:sz w:val="14"/>
                <w:szCs w:val="14"/>
                <w:color w:val="auto"/>
              </w:rPr>
              <w:t>non-</w:t>
            </w:r>
          </w:p>
        </w:tc>
        <w:tc>
          <w:tcPr>
            <w:tcW w:w="120" w:type="dxa"/>
            <w:vAlign w:val="bottom"/>
          </w:tcPr>
          <w:p>
            <w:pPr>
              <w:spacing w:after="0"/>
              <w:rPr>
                <w:sz w:val="8"/>
                <w:szCs w:val="8"/>
                <w:color w:val="auto"/>
              </w:rPr>
            </w:pPr>
          </w:p>
        </w:tc>
        <w:tc>
          <w:tcPr>
            <w:tcW w:w="640" w:type="dxa"/>
            <w:vAlign w:val="bottom"/>
            <w:vMerge w:val="restart"/>
          </w:tcPr>
          <w:p>
            <w:pPr>
              <w:jc w:val="center"/>
              <w:ind w:right="28"/>
              <w:spacing w:after="0" w:line="148" w:lineRule="exact"/>
              <w:rPr>
                <w:sz w:val="20"/>
                <w:szCs w:val="20"/>
                <w:color w:val="auto"/>
              </w:rPr>
            </w:pPr>
            <w:r>
              <w:rPr>
                <w:rFonts w:ascii="Times New Roman" w:cs="Times New Roman" w:eastAsia="Times New Roman" w:hAnsi="Times New Roman"/>
                <w:sz w:val="14"/>
                <w:szCs w:val="14"/>
                <w:color w:val="auto"/>
              </w:rPr>
              <w:t>non-</w:t>
            </w:r>
          </w:p>
        </w:tc>
        <w:tc>
          <w:tcPr>
            <w:tcW w:w="0" w:type="dxa"/>
            <w:vAlign w:val="bottom"/>
          </w:tcPr>
          <w:p>
            <w:pPr>
              <w:spacing w:after="0"/>
              <w:rPr>
                <w:sz w:val="1"/>
                <w:szCs w:val="1"/>
                <w:color w:val="auto"/>
              </w:rPr>
            </w:pPr>
          </w:p>
        </w:tc>
      </w:tr>
      <w:tr>
        <w:trPr>
          <w:trHeight w:val="50"/>
        </w:trPr>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98"/>
              </w:rPr>
              <w:t>Paid-in</w:t>
            </w:r>
          </w:p>
        </w:tc>
        <w:tc>
          <w:tcPr>
            <w:tcW w:w="24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color w:val="auto"/>
              </w:rPr>
              <w:t>(accumulated comprehensive controlling</w:t>
            </w: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Shares</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Amount</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440" w:type="dxa"/>
            <w:vAlign w:val="bottom"/>
            <w:gridSpan w:val="6"/>
            <w:vMerge w:val="continue"/>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Amount</w:t>
            </w:r>
          </w:p>
        </w:tc>
        <w:tc>
          <w:tcPr>
            <w:tcW w:w="8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7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controlling</w:t>
            </w:r>
          </w:p>
        </w:tc>
        <w:tc>
          <w:tcPr>
            <w:tcW w:w="760" w:type="dxa"/>
            <w:vAlign w:val="bottom"/>
            <w:gridSpan w:val="2"/>
          </w:tcPr>
          <w:p>
            <w:pPr>
              <w:jc w:val="center"/>
              <w:spacing w:after="0" w:line="148" w:lineRule="exact"/>
              <w:rPr>
                <w:sz w:val="20"/>
                <w:szCs w:val="20"/>
                <w:color w:val="auto"/>
              </w:rPr>
            </w:pPr>
            <w:r>
              <w:rPr>
                <w:rFonts w:ascii="Times New Roman" w:cs="Times New Roman" w:eastAsia="Times New Roman" w:hAnsi="Times New Roman"/>
                <w:sz w:val="14"/>
                <w:szCs w:val="14"/>
                <w:color w:val="auto"/>
              </w:rPr>
              <w:t>controlling</w:t>
            </w:r>
          </w:p>
        </w:tc>
        <w:tc>
          <w:tcPr>
            <w:tcW w:w="0" w:type="dxa"/>
            <w:vAlign w:val="bottom"/>
          </w:tcPr>
          <w:p>
            <w:pPr>
              <w:spacing w:after="0"/>
              <w:rPr>
                <w:sz w:val="1"/>
                <w:szCs w:val="1"/>
                <w:color w:val="auto"/>
              </w:rPr>
            </w:pPr>
          </w:p>
        </w:tc>
      </w:tr>
      <w:tr>
        <w:trPr>
          <w:trHeight w:val="195"/>
        </w:trPr>
        <w:tc>
          <w:tcPr>
            <w:tcW w:w="94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capital</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deficit)</w:t>
            </w: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income (loss)</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7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color w:val="auto"/>
              </w:rPr>
              <w:t>interests</w:t>
            </w: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interests</w:t>
            </w:r>
          </w:p>
        </w:tc>
        <w:tc>
          <w:tcPr>
            <w:tcW w:w="0" w:type="dxa"/>
            <w:vAlign w:val="bottom"/>
          </w:tcPr>
          <w:p>
            <w:pPr>
              <w:spacing w:after="0"/>
              <w:rPr>
                <w:sz w:val="1"/>
                <w:szCs w:val="1"/>
                <w:color w:val="auto"/>
              </w:rPr>
            </w:pPr>
          </w:p>
        </w:tc>
      </w:tr>
      <w:tr>
        <w:trPr>
          <w:trHeight w:val="121"/>
        </w:trPr>
        <w:tc>
          <w:tcPr>
            <w:tcW w:w="9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30,065,260</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71,500,000</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72,899,037</w:t>
            </w: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(137,004)</w:t>
            </w:r>
          </w:p>
        </w:tc>
        <w:tc>
          <w:tcPr>
            <w:tcW w:w="2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7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(1,635,783)</w:t>
            </w:r>
          </w:p>
        </w:tc>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 (11,614)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(147,831)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482,863</w:t>
            </w:r>
          </w:p>
        </w:tc>
        <w:tc>
          <w:tcPr>
            <w:tcW w:w="0" w:type="dxa"/>
            <w:vAlign w:val="bottom"/>
          </w:tcPr>
          <w:p>
            <w:pPr>
              <w:spacing w:after="0"/>
              <w:rPr>
                <w:sz w:val="1"/>
                <w:szCs w:val="1"/>
                <w:color w:val="auto"/>
              </w:rPr>
            </w:pPr>
          </w:p>
        </w:tc>
      </w:tr>
      <w:tr>
        <w:trPr>
          <w:trHeight w:val="202"/>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72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2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Other</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comprehensive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0" w:type="dxa"/>
            <w:vAlign w:val="bottom"/>
          </w:tcPr>
          <w:p>
            <w:pPr>
              <w:spacing w:after="0"/>
              <w:rPr>
                <w:sz w:val="1"/>
                <w:szCs w:val="1"/>
                <w:color w:val="auto"/>
              </w:rPr>
            </w:pPr>
          </w:p>
        </w:tc>
      </w:tr>
      <w:tr>
        <w:trPr>
          <w:trHeight w:val="19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common stock</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for vesting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equity awards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net of tax</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542,404</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(382)</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withholdings</w:t>
            </w: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Stock-based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1"/>
                <w:szCs w:val="11"/>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0" w:type="dxa"/>
            <w:vAlign w:val="bottom"/>
          </w:tcPr>
          <w:p>
            <w:pPr>
              <w:spacing w:after="0"/>
              <w:rPr>
                <w:sz w:val="1"/>
                <w:szCs w:val="1"/>
                <w:color w:val="auto"/>
              </w:rPr>
            </w:pPr>
          </w:p>
        </w:tc>
      </w:tr>
      <w:tr>
        <w:trPr>
          <w:trHeight w:val="202"/>
        </w:trPr>
        <w:tc>
          <w:tcPr>
            <w:tcW w:w="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w:t>
            </w: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tcBorders>
              <w:right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Distributions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to non-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94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Accretion of</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the redeemable</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preferred non-</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controlling</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interest to its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w:t>
            </w:r>
          </w:p>
        </w:tc>
        <w:tc>
          <w:tcPr>
            <w:tcW w:w="0" w:type="dxa"/>
            <w:vAlign w:val="bottom"/>
          </w:tcPr>
          <w:p>
            <w:pPr>
              <w:spacing w:after="0"/>
              <w:rPr>
                <w:sz w:val="1"/>
                <w:szCs w:val="1"/>
                <w:color w:val="auto"/>
              </w:rPr>
            </w:pPr>
          </w:p>
        </w:tc>
      </w:tr>
      <w:tr>
        <w:trPr>
          <w:trHeight w:val="19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w:t>
            </w: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9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Change in</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redemption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value of</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Redeemable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9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205,870</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2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205,959</w:t>
            </w: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(205,959)</w:t>
            </w:r>
          </w:p>
        </w:tc>
        <w:tc>
          <w:tcPr>
            <w:tcW w:w="0" w:type="dxa"/>
            <w:vAlign w:val="bottom"/>
          </w:tcPr>
          <w:p>
            <w:pPr>
              <w:spacing w:after="0"/>
              <w:rPr>
                <w:sz w:val="1"/>
                <w:szCs w:val="1"/>
                <w:color w:val="auto"/>
              </w:rPr>
            </w:pPr>
          </w:p>
        </w:tc>
      </w:tr>
      <w:tr>
        <w:trPr>
          <w:trHeight w:val="186"/>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interests</w:t>
            </w: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9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Payment of</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9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w:t>
            </w: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vMerge w:val="continue"/>
            <w:shd w:val="clear" w:color="auto" w:fill="CCEEFF"/>
          </w:tcPr>
          <w:p>
            <w:pPr>
              <w:spacing w:after="0"/>
              <w:rPr>
                <w:sz w:val="18"/>
                <w:szCs w:val="18"/>
                <w:color w:val="auto"/>
              </w:rPr>
            </w:pPr>
          </w:p>
        </w:tc>
        <w:tc>
          <w:tcPr>
            <w:tcW w:w="720" w:type="dxa"/>
            <w:vAlign w:val="bottom"/>
            <w:tcBorders>
              <w:bottom w:val="single" w:sz="8" w:color="CCEEFF"/>
            </w:tcBorders>
            <w:vMerge w:val="continue"/>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right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940" w:type="dxa"/>
            <w:vAlign w:val="bottom"/>
          </w:tcPr>
          <w:p>
            <w:pPr>
              <w:ind w:left="20"/>
              <w:spacing w:after="0" w:line="114"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30,607,664</w:t>
            </w: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71,500,000</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72,899,037</w:t>
            </w:r>
          </w:p>
        </w:tc>
        <w:tc>
          <w:tcPr>
            <w:tcW w:w="2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68,631</w:t>
            </w:r>
          </w:p>
        </w:tc>
        <w:tc>
          <w:tcPr>
            <w:tcW w:w="20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7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(1,635,783)</w:t>
            </w:r>
          </w:p>
        </w:tc>
        <w:tc>
          <w:tcPr>
            <w:tcW w:w="6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99"/>
              </w:rPr>
              <w:t>$ (11,614)</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57,726</w:t>
            </w: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276,719</w:t>
            </w:r>
          </w:p>
        </w:tc>
        <w:tc>
          <w:tcPr>
            <w:tcW w:w="0" w:type="dxa"/>
            <w:vAlign w:val="bottom"/>
          </w:tcPr>
          <w:p>
            <w:pPr>
              <w:spacing w:after="0"/>
              <w:rPr>
                <w:sz w:val="1"/>
                <w:szCs w:val="1"/>
                <w:color w:val="auto"/>
              </w:rPr>
            </w:pPr>
          </w:p>
        </w:tc>
      </w:tr>
      <w:tr>
        <w:trPr>
          <w:trHeight w:val="200"/>
        </w:trPr>
        <w:tc>
          <w:tcPr>
            <w:tcW w:w="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right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6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183515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60"/>
          </w:cols>
          <w:pgMar w:left="400" w:top="1014" w:right="239" w:bottom="1440" w:gutter="0" w:footer="0" w:header="0"/>
        </w:sectPr>
      </w:pPr>
    </w:p>
    <w:bookmarkStart w:id="11" w:name="page12"/>
    <w:bookmarkEnd w:id="11"/>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(In thousands of U.S. dollars)</w:t>
      </w:r>
    </w:p>
    <w:p>
      <w:pPr>
        <w:spacing w:after="0" w:line="12"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9" w:lineRule="exact"/>
        <w:rPr>
          <w:sz w:val="20"/>
          <w:szCs w:val="20"/>
          <w:color w:val="auto"/>
        </w:rPr>
      </w:pPr>
    </w:p>
    <w:tbl>
      <w:tblPr>
        <w:tblLayout w:type="fixed"/>
        <w:tblInd w:w="192" w:type="dxa"/>
        <w:tblCellMar>
          <w:top w:w="0" w:type="dxa"/>
          <w:left w:w="0" w:type="dxa"/>
          <w:bottom w:w="0" w:type="dxa"/>
          <w:right w:w="0" w:type="dxa"/>
        </w:tblCellMar>
      </w:tblPr>
      <w:tr>
        <w:trPr>
          <w:trHeight w:val="201"/>
        </w:trPr>
        <w:tc>
          <w:tcPr>
            <w:tcW w:w="792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8"/>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90"/>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1,284</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2"/>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94"/>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5,942</w:t>
            </w:r>
          </w:p>
        </w:tc>
      </w:tr>
      <w:tr>
        <w:trPr>
          <w:trHeight w:val="21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1,751</w:t>
            </w:r>
          </w:p>
        </w:tc>
      </w:tr>
      <w:tr>
        <w:trPr>
          <w:trHeight w:val="194"/>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Allowance for accounts receivable</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Loss from investments in other entities</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r>
      <w:tr>
        <w:trPr>
          <w:trHeight w:val="19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Distributions from return on investments in other entities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956</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7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income taxes</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9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1,240</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15"/>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r>
              <w:rPr>
                <w:rFonts w:ascii="Times New Roman" w:cs="Times New Roman" w:eastAsia="Times New Roman" w:hAnsi="Times New Roman"/>
                <w:sz w:val="18"/>
                <w:szCs w:val="18"/>
                <w:color w:val="auto"/>
                <w:vertAlign w:val="superscript"/>
              </w:rPr>
              <w:t>(1)</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18,918</w:t>
            </w:r>
          </w:p>
        </w:tc>
        <w:tc>
          <w:tcPr>
            <w:tcW w:w="34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8,689</w:t>
            </w:r>
          </w:p>
        </w:tc>
      </w:tr>
      <w:tr>
        <w:trPr>
          <w:trHeight w:val="19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Parts inventory</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8,799</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10,810</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4,621</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r>
      <w:tr>
        <w:trPr>
          <w:trHeight w:val="25"/>
        </w:trPr>
        <w:tc>
          <w:tcPr>
            <w:tcW w:w="7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29,679</w:t>
            </w:r>
          </w:p>
        </w:tc>
      </w:tr>
      <w:tr>
        <w:trPr>
          <w:trHeight w:val="17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9"/>
        </w:trPr>
        <w:tc>
          <w:tcPr>
            <w:tcW w:w="7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(24,367)</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return of investments in other entities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7,939</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related to investments in other entities</w:t>
            </w: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w:t>
            </w:r>
          </w:p>
        </w:tc>
      </w:tr>
      <w:tr>
        <w:trPr>
          <w:trHeight w:val="18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(19,384)</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w:t>
            </w:r>
          </w:p>
        </w:tc>
      </w:tr>
      <w:tr>
        <w:trPr>
          <w:trHeight w:val="25"/>
        </w:trPr>
        <w:tc>
          <w:tcPr>
            <w:tcW w:w="7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loans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128,382</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loans</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(33,058)</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redeemable preferred non-controlling interest and warrants issuance, net of issuance costs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116,670</w:t>
            </w:r>
          </w:p>
        </w:tc>
        <w:tc>
          <w:tcPr>
            <w:tcW w:w="34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792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4"/>
                <w:szCs w:val="14"/>
                <w:color w:val="auto"/>
              </w:rPr>
              <w:t>Redemption of redeemable preferred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w:t>
            </w: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(100,000)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Financing costs paid to other third parties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preferred dividends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8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0"/>
        </w:trPr>
        <w:tc>
          <w:tcPr>
            <w:tcW w:w="7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taxes related to net share settlement of equity awards</w:t>
            </w: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5"/>
        </w:trPr>
        <w:tc>
          <w:tcPr>
            <w:tcW w:w="79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7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115,124</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(4,732)</w:t>
            </w:r>
          </w:p>
        </w:tc>
      </w:tr>
      <w:tr>
        <w:trPr>
          <w:trHeight w:val="25"/>
        </w:trPr>
        <w:tc>
          <w:tcPr>
            <w:tcW w:w="7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restricted cash, and cash equivalents</w:t>
            </w: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108,656</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15,670</w:t>
            </w:r>
          </w:p>
        </w:tc>
      </w:tr>
      <w:tr>
        <w:trPr>
          <w:trHeight w:val="18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8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29,228</w:t>
            </w:r>
          </w:p>
        </w:tc>
      </w:tr>
      <w:tr>
        <w:trPr>
          <w:trHeight w:val="25"/>
        </w:trPr>
        <w:tc>
          <w:tcPr>
            <w:tcW w:w="79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88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136,974</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44,898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152" w:hanging="152"/>
        <w:spacing w:after="0"/>
        <w:tabs>
          <w:tab w:leader="none" w:pos="15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(increase) decrease from related parties of $(2,009) and $7,461 for the three months ended March 31, 2026 and 2025, respectively</w:t>
      </w:r>
    </w:p>
    <w:p>
      <w:pPr>
        <w:spacing w:after="0" w:line="56" w:lineRule="exact"/>
        <w:rPr>
          <w:rFonts w:ascii="Times New Roman" w:cs="Times New Roman" w:eastAsia="Times New Roman" w:hAnsi="Times New Roman"/>
          <w:sz w:val="19"/>
          <w:szCs w:val="19"/>
          <w:color w:val="auto"/>
          <w:vertAlign w:val="superscript"/>
        </w:rPr>
      </w:pPr>
    </w:p>
    <w:p>
      <w:pPr>
        <w:ind w:left="152" w:hanging="152"/>
        <w:spacing w:after="0" w:line="188" w:lineRule="auto"/>
        <w:tabs>
          <w:tab w:leader="none" w:pos="152"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decrease from related parties of $(6,055) and $(2,299) for the three months ended March 31, 2026 and 2025, respectively</w:t>
      </w:r>
    </w:p>
    <w:p>
      <w:pPr>
        <w:spacing w:after="0" w:line="214" w:lineRule="exact"/>
        <w:rPr>
          <w:sz w:val="20"/>
          <w:szCs w:val="20"/>
          <w:color w:val="auto"/>
        </w:rPr>
      </w:pPr>
    </w:p>
    <w:tbl>
      <w:tblPr>
        <w:tblLayout w:type="fixed"/>
        <w:tblInd w:w="152" w:type="dxa"/>
        <w:tblCellMar>
          <w:top w:w="0" w:type="dxa"/>
          <w:left w:w="0" w:type="dxa"/>
          <w:bottom w:w="0" w:type="dxa"/>
          <w:right w:w="0" w:type="dxa"/>
        </w:tblCellMar>
      </w:tblPr>
      <w:tr>
        <w:trPr>
          <w:trHeight w:val="215"/>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6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19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paid, net of $398 and $524 capitalized, respectively</w:t>
            </w:r>
          </w:p>
        </w:tc>
        <w:tc>
          <w:tcPr>
            <w:tcW w:w="16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6,749</w:t>
            </w:r>
          </w:p>
        </w:tc>
        <w:tc>
          <w:tcPr>
            <w:tcW w:w="5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6,625</w:t>
            </w:r>
          </w:p>
        </w:tc>
      </w:tr>
      <w:tr>
        <w:trPr>
          <w:trHeight w:val="25"/>
        </w:trPr>
        <w:tc>
          <w:tcPr>
            <w:tcW w:w="6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5"/>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0"/>
        </w:trPr>
        <w:tc>
          <w:tcPr>
            <w:tcW w:w="6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warrants in connection with redeemable preferred non-controlling interest financing</w:t>
            </w:r>
          </w:p>
        </w:tc>
        <w:tc>
          <w:tcPr>
            <w:tcW w:w="16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2,760</w:t>
            </w:r>
          </w:p>
        </w:tc>
        <w:tc>
          <w:tcPr>
            <w:tcW w:w="58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5"/>
        </w:trPr>
        <w:tc>
          <w:tcPr>
            <w:tcW w:w="68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plant and equipment included in accrued expenses and other current liabilities</w:t>
            </w:r>
          </w:p>
        </w:tc>
        <w:tc>
          <w:tcPr>
            <w:tcW w:w="166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24,632</w:t>
            </w:r>
          </w:p>
        </w:tc>
        <w:tc>
          <w:tcPr>
            <w:tcW w:w="580" w:type="dxa"/>
            <w:vAlign w:val="bottom"/>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26,808</w:t>
            </w:r>
          </w:p>
        </w:tc>
      </w:tr>
      <w:tr>
        <w:trPr>
          <w:trHeight w:val="25"/>
        </w:trPr>
        <w:tc>
          <w:tcPr>
            <w:tcW w:w="68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46"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183515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092"/>
          </w:cols>
          <w:pgMar w:left="328" w:top="1099" w:right="47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0" w:lineRule="exact"/>
        <w:rPr>
          <w:sz w:val="20"/>
          <w:szCs w:val="20"/>
          <w:color w:val="auto"/>
        </w:rPr>
      </w:pPr>
    </w:p>
    <w:p>
      <w:pPr>
        <w:ind w:right="6380" w:firstLine="8"/>
        <w:spacing w:after="0" w:line="489" w:lineRule="auto"/>
        <w:tabs>
          <w:tab w:leader="none" w:pos="179"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 Basis of Presentation and Principles of Consolidation</w:t>
      </w:r>
    </w:p>
    <w:p>
      <w:pPr>
        <w:spacing w:after="0" w:line="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are prepared in accordance with generally accepted accounting principles in the United States ("U.S. GAAP"). The Company’s unaudited condensed consolidated financial statements include the assets and liabilities of these subsidiaries. All intercompany transactions and balances have been eliminated in consolidation.</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consolidates all entities in which it holds a majority voting interest, as well as variable interest entities ("VIEs") for which it is determined to be the primary beneficiary. The Company's variable interests in each of the VIEs arise primarily from ownership of membership interests, construction commitments, the provision of operating and maintenance services, and the provision of environmental credit processing services to VIEs. The Company reassesses its primary beneficiary status on an ongoing basis.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Noncontrolling interests related to the Company’s VIEs are presented separately from stockholders' deficit on the condensed consolidated balance sheets and are reported as non-redeemable non-controlling interests within the condensed consolidated statements of changes in redeemable non-controlling interest, redeemable preferred non-controlling interest and stockholders' deficit.</w:t>
      </w:r>
    </w:p>
    <w:p>
      <w:pPr>
        <w:spacing w:after="0" w:line="108"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Certain amounts in the prior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financial statements have been reclassified to conform to the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presentation. These reclassifications had no impact on previously reported total assets, total liabilities, stockholders' deficit, net loss, or condensed consolidated statements of cash flows.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significant estimates and assumptions of the Company include the residual value of the useful lives of property, plant and equipment, the fair value of long-lived assets, asset retirement obligations, percentage completion for revenue recognition, incremental borrowing rate for calculating the right-of-use assets and lease liabilities, and the fair value of the reporting units of goodwill.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Disaggregation of Income Statement Expenses, which requires additional, disaggregated disclosure about certain income statement expense line items. The ASU is effective for annual periods beginning after December 15, 2026, and interim periods beginning after December 15, 2027. The amendments are to be applied prospectively with the option for retrospective application. The Company is currently evaluating the impact that this guidance will have on the disclosures within our condensed consolidated financial statements.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2025-10, </w:t>
      </w:r>
      <w:r>
        <w:rPr>
          <w:rFonts w:ascii="Times New Roman" w:cs="Times New Roman" w:eastAsia="Times New Roman" w:hAnsi="Times New Roman"/>
          <w:sz w:val="18"/>
          <w:szCs w:val="18"/>
          <w:i w:val="1"/>
          <w:iCs w:val="1"/>
          <w:color w:val="auto"/>
        </w:rPr>
        <w:t>Accounting for Government Grants Received by Business Entities</w:t>
      </w:r>
      <w:r>
        <w:rPr>
          <w:rFonts w:ascii="Times New Roman" w:cs="Times New Roman" w:eastAsia="Times New Roman" w:hAnsi="Times New Roman"/>
          <w:sz w:val="18"/>
          <w:szCs w:val="18"/>
          <w:color w:val="auto"/>
        </w:rPr>
        <w:t xml:space="preserve"> (Topic 832). This ASU establishes a unified accounting model for business entities when recognizing, measuring, and presenting government grants. The ASU categorizes grants as either related to an asset or related to income. A grant related to income is recognized in earnings in a systematic and rational manner over the periods in which the entity recognizes the related expenses for which the grant is intended to compensate. Presentation of the grant on the income statement can be either as a component of other income or as a deduction from the related expenses. The standard is effective for annual periods beginning after December 15, 2028 and interim periods within those annual periods. However, the ASU permits early adoption. The Company is considering early adopting the provisions of ASU 2025-10 and is still assessing the impact on its financial statements, including the presentation of its Section 45Z production tax credits.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3" w:name="page14"/>
    <w:bookmarkEnd w:id="13"/>
    <w:p>
      <w:pPr>
        <w:jc w:val="both"/>
        <w:spacing w:after="0" w:line="265"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Parts inventory is stated at historical cost, which is determined using the average cost method, and is recorded at the lower of cost or net realizable value. An annual review of inventory is performed to identify obsolete items.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Credits Held for Sale</w:t>
      </w:r>
    </w:p>
    <w:p>
      <w:pPr>
        <w:spacing w:after="0" w:line="18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$2,210 and $5,847 as part of Cost of sales - Fuel Station Services in the condensed consolidated statements of operations to adjust environmental credits held for sale to lower of cost and net realizable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Accrued expenses and other current liabilities consist primarily of accrued capital expenditures, accrued payroll and related benefits, accrued environmental credit rebates, and other miscellaneous accrued operating expenses. Accrued environmental credit rebates represent the Company's liabilities for dispensing services provided by third-party vendors.</w:t>
      </w:r>
    </w:p>
    <w:p>
      <w:pPr>
        <w:spacing w:after="0" w:line="148"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40" w:type="dxa"/>
            <w:vAlign w:val="bottom"/>
          </w:tcPr>
          <w:p>
            <w:pPr>
              <w:spacing w:after="0"/>
              <w:rPr>
                <w:sz w:val="17"/>
                <w:szCs w:val="17"/>
                <w:color w:val="auto"/>
              </w:rPr>
            </w:pP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0"/>
        </w:trPr>
        <w:tc>
          <w:tcPr>
            <w:tcW w:w="5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w:t>
            </w:r>
          </w:p>
        </w:tc>
      </w:tr>
      <w:tr>
        <w:trPr>
          <w:trHeight w:val="24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6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environmental credit rebates</w:t>
            </w: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r>
      <w:tr>
        <w:trPr>
          <w:trHeight w:val="249"/>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r>
      <w:tr>
        <w:trPr>
          <w:trHeight w:val="25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2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w:t>
            </w:r>
          </w:p>
        </w:tc>
      </w:tr>
      <w:tr>
        <w:trPr>
          <w:trHeight w:val="25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62,890</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63,857</w:t>
            </w:r>
          </w:p>
        </w:tc>
      </w:tr>
      <w:tr>
        <w:trPr>
          <w:trHeight w:val="20"/>
        </w:trPr>
        <w:tc>
          <w:tcPr>
            <w:tcW w:w="5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Amounts become billable in accordance with contract terms, generally based on progress toward completion and the achievement of contractual milestones. Cost and estimated earnings in excess of billings amounted to $4,920 and $6,489 as of March 31, 2026 and December 31, 2025, respectively.</w:t>
      </w:r>
    </w:p>
    <w:p>
      <w:pPr>
        <w:spacing w:after="0" w:line="15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and other deferred construction revenue. Billings in excess of costs and estimated earnings represent amounts billed to or collected from customers in advance of the satisfaction of the related performance obligations. These amounts are recognized as revenue as the Company satisfies its performance obligations over the remaining contract term.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recognized revenue of $1,353 that was included in contract liabilities at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2025, the Company recognized revenue of $2,307 that was included in contract liabilities at December 31, 2024.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remaining performance obligations represent the unrecognized revenue value of its contract commitments. The Company's remaining performance obligations may significantly vary each reporting period based on the timing of major new contract commitments. As of March 31, 2026, the Company had a remaining performance obligation of $36,902 of which $26,052 is expected to be recognized within the next 12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Vendors and Concentration of Credit Risk</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At March 31, 2026, one customer accounted for 36% of accounts receivable. At December 31, 2025, four customers accounted for 63% of accounts receivable.</w:t>
      </w:r>
    </w:p>
    <w:p>
      <w:pPr>
        <w:spacing w:after="0" w:line="13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During the three months ended March 31, 2026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there were no concentrations in the volume of business transacted with any individual vendor. During the three months ended March 31, 2025, there was one supplier that accounted for approximately 19.3% of the Company’s total purchases.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7. Reportable Segments and Geographic Information</w:t>
      </w:r>
      <w:r>
        <w:rPr>
          <w:rFonts w:ascii="Times New Roman" w:cs="Times New Roman" w:eastAsia="Times New Roman" w:hAnsi="Times New Roman"/>
          <w:sz w:val="18"/>
          <w:szCs w:val="18"/>
          <w:color w:val="auto"/>
        </w:rPr>
        <w:t xml:space="preserve"> for details on revenue concentration.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INVESTMENTS IN OTHER ENTITIES AND VARIABLE INTEREST ENTITIES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VIEs consist of landfill or dairy manure RNG facilities that are either under construction or in operation. OPAL’s share of design capacity for these facilities ranges from approximately 43,750 MMBtu to 1,327,140 MMBtu per year. These entities are financed through the Opal Term Loan, the Sunoma Loan, or the Paragon Loan. The Paragon Loan was obtained directly by the joint venture and is not consolidated.</w:t>
      </w:r>
    </w:p>
    <w:p>
      <w:pPr>
        <w:spacing w:after="0" w:line="1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VIEs for which the Company is not the primary beneficiary are accounted for under the equity method. As of March 31, 2026, Sunoma, Central Valley and CMS were consolidated VIEs.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condensed consolidated balance sheets summarize the major consolidated balance sheet items for consolidated VIEs as of March 31, 2026 and December 31, 2025. The information is presented on an aggregate basis based on similar risk and reward characteristics and the nature of our involvement with the VIEs. All VIEs are RNG facilities reported under the RNG Fuel Supply segment, and the Company’s interests are primarily equity-based.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ownership interests and carrying values of Investment in Other Entities:</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5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Pine Bend</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Noble Road</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GREP</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Land2Gas</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Paragon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r>
      <w:tr>
        <w:trPr>
          <w:trHeight w:val="222"/>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Percentage of ownership</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r>
      <w:tr>
        <w:trPr>
          <w:trHeight w:val="222"/>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19,864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20,755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36,554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153,456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231,223</w:t>
            </w:r>
          </w:p>
        </w:tc>
      </w:tr>
      <w:tr>
        <w:trPr>
          <w:trHeight w:val="229"/>
        </w:trPr>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19,710</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150,684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224,282</w:t>
            </w:r>
          </w:p>
        </w:tc>
      </w:tr>
    </w:tbl>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carrying value of the Company’s equity method investments exceeded its proportionate share of the underlying net assets of its investees by $120,464 and $122,165, respectively. This basis difference primarily relates to the gain recognized upon the deconsolidation of certain RNG project entities, which increased the Company’s investment basis. The Company determined that this basis difference is attributable to construction in progress and will be amortized over the related assets’ estimated useful life of 20 years beginning when the assets are placed in service. The amortization of this basis difference, which reduces equity in earnings, was $1,700 and $1,700 and reflected in loss from equity method investments in the condensed consolidated statements of operations for the three months ended March 31, 2026 and 2025,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loss from equity method investments:</w:t>
      </w:r>
    </w:p>
    <w:p>
      <w:pPr>
        <w:spacing w:after="0" w:line="233"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7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15" w:lineRule="exact"/>
        <w:rPr>
          <w:sz w:val="20"/>
          <w:szCs w:val="20"/>
          <w:color w:val="auto"/>
        </w:rPr>
      </w:pPr>
    </w:p>
    <w:tbl>
      <w:tblPr>
        <w:tblLayout w:type="fixed"/>
        <w:tblInd w:w="220" w:type="dxa"/>
        <w:tblCellMar>
          <w:top w:w="0" w:type="dxa"/>
          <w:left w:w="0" w:type="dxa"/>
          <w:bottom w:w="0" w:type="dxa"/>
          <w:right w:w="0" w:type="dxa"/>
        </w:tblCellMar>
      </w:tblPr>
      <w:tr>
        <w:trPr>
          <w:trHeight w:val="242"/>
        </w:trPr>
        <w:tc>
          <w:tcPr>
            <w:tcW w:w="758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r>
      <w:tr>
        <w:trPr>
          <w:trHeight w:val="24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62"/>
        </w:trPr>
        <w:tc>
          <w:tcPr>
            <w:tcW w:w="758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3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r>
    </w:tbl>
    <w:p>
      <w:pPr>
        <w:spacing w:after="0" w:line="130" w:lineRule="exact"/>
        <w:rPr>
          <w:sz w:val="20"/>
          <w:szCs w:val="20"/>
          <w:color w:val="auto"/>
        </w:rPr>
      </w:pPr>
    </w:p>
    <w:p>
      <w:pPr>
        <w:ind w:firstLine="8"/>
        <w:spacing w:after="0"/>
        <w:tabs>
          <w:tab w:leader="none" w:pos="165"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Net loss from equity method investments represents the Company's portion of the net loss from equity method investments including amortization of any basis differences.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financial information for our portion of the assets and liabilities in equity method investees in the aggregate is as follows: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60" w:type="dxa"/>
            <w:vAlign w:val="bottom"/>
          </w:tcPr>
          <w:p>
            <w:pPr>
              <w:spacing w:after="0"/>
              <w:rPr>
                <w:sz w:val="17"/>
                <w:szCs w:val="17"/>
                <w:color w:val="auto"/>
              </w:rPr>
            </w:pPr>
          </w:p>
        </w:tc>
        <w:tc>
          <w:tcPr>
            <w:tcW w:w="15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9"/>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27,566</w:t>
            </w:r>
          </w:p>
        </w:tc>
      </w:tr>
      <w:tr>
        <w:trPr>
          <w:trHeight w:val="249"/>
        </w:trPr>
        <w:tc>
          <w:tcPr>
            <w:tcW w:w="77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Noncurrent assets</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306,088</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305,900</w:t>
            </w:r>
          </w:p>
        </w:tc>
      </w:tr>
      <w:tr>
        <w:trPr>
          <w:trHeight w:val="249"/>
        </w:trPr>
        <w:tc>
          <w:tcPr>
            <w:tcW w:w="7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321,925</w:t>
            </w: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333,466</w:t>
            </w:r>
          </w:p>
        </w:tc>
      </w:tr>
      <w:tr>
        <w:trPr>
          <w:trHeight w:val="249"/>
        </w:trPr>
        <w:tc>
          <w:tcPr>
            <w:tcW w:w="7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41,082</w:t>
            </w:r>
          </w:p>
        </w:tc>
        <w:tc>
          <w:tcPr>
            <w:tcW w:w="2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35,874</w:t>
            </w:r>
          </w:p>
        </w:tc>
      </w:tr>
      <w:tr>
        <w:trPr>
          <w:trHeight w:val="256"/>
        </w:trPr>
        <w:tc>
          <w:tcPr>
            <w:tcW w:w="7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Noncurrent liabilities</w:t>
            </w:r>
          </w:p>
        </w:tc>
        <w:tc>
          <w:tcPr>
            <w:tcW w:w="3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77,702</w:t>
            </w:r>
          </w:p>
        </w:tc>
        <w:tc>
          <w:tcPr>
            <w:tcW w:w="26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81,288</w:t>
            </w:r>
          </w:p>
        </w:tc>
      </w:tr>
      <w:tr>
        <w:trPr>
          <w:trHeight w:val="25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118,784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117,162</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maximum exposure to loss is limited to its equity investment in the unconsolidated entities.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LOANS</w:t>
            </w: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90"/>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table summarizes the borrowings under the various loan facilities as of March 31, 2026 and December 31, 2025: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81"/>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24"/>
                <w:szCs w:val="24"/>
                <w:color w:val="auto"/>
              </w:rPr>
            </w:pPr>
          </w:p>
        </w:tc>
        <w:tc>
          <w:tcPr>
            <w:tcW w:w="188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44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74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Effective interest rate</w:t>
            </w:r>
          </w:p>
        </w:tc>
        <w:tc>
          <w:tcPr>
            <w:tcW w:w="13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40" w:type="dxa"/>
            <w:vAlign w:val="bottom"/>
          </w:tcPr>
          <w:p>
            <w:pPr>
              <w:spacing w:after="0"/>
              <w:rPr>
                <w:sz w:val="19"/>
                <w:szCs w:val="19"/>
                <w:color w:val="auto"/>
              </w:rPr>
            </w:pPr>
          </w:p>
        </w:tc>
      </w:tr>
      <w:tr>
        <w:trPr>
          <w:trHeight w:val="249"/>
        </w:trPr>
        <w:tc>
          <w:tcPr>
            <w:tcW w:w="20" w:type="dxa"/>
            <w:vAlign w:val="bottom"/>
          </w:tcPr>
          <w:p>
            <w:pPr>
              <w:spacing w:after="0"/>
              <w:rPr>
                <w:sz w:val="21"/>
                <w:szCs w:val="21"/>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2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6.8 %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321,618</w:t>
            </w:r>
          </w:p>
        </w:tc>
        <w:tc>
          <w:tcPr>
            <w:tcW w:w="440" w:type="dxa"/>
            <w:vAlign w:val="bottom"/>
          </w:tcPr>
          <w:p>
            <w:pPr>
              <w:spacing w:after="0"/>
              <w:rPr>
                <w:sz w:val="21"/>
                <w:szCs w:val="21"/>
                <w:color w:val="auto"/>
              </w:rPr>
            </w:pPr>
          </w:p>
        </w:tc>
      </w:tr>
      <w:tr>
        <w:trPr>
          <w:trHeight w:val="249"/>
        </w:trPr>
        <w:tc>
          <w:tcPr>
            <w:tcW w:w="2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w:t>
            </w:r>
          </w:p>
        </w:tc>
        <w:tc>
          <w:tcPr>
            <w:tcW w:w="1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40" w:type="dxa"/>
            <w:vAlign w:val="bottom"/>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w:t>
            </w:r>
          </w:p>
        </w:tc>
        <w:tc>
          <w:tcPr>
            <w:tcW w:w="2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8.7 %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19,090</w:t>
            </w:r>
          </w:p>
        </w:tc>
        <w:tc>
          <w:tcPr>
            <w:tcW w:w="44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Loan</w:t>
            </w:r>
          </w:p>
        </w:tc>
        <w:tc>
          <w:tcPr>
            <w:tcW w:w="2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6.7 %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440" w:type="dxa"/>
            <w:vAlign w:val="bottom"/>
          </w:tcPr>
          <w:p>
            <w:pPr>
              <w:spacing w:after="0"/>
              <w:rPr>
                <w:sz w:val="21"/>
                <w:szCs w:val="21"/>
                <w:color w:val="auto"/>
              </w:rPr>
            </w:pPr>
          </w:p>
        </w:tc>
      </w:tr>
      <w:tr>
        <w:trPr>
          <w:trHeight w:val="262"/>
        </w:trPr>
        <w:tc>
          <w:tcPr>
            <w:tcW w:w="20" w:type="dxa"/>
            <w:vAlign w:val="bottom"/>
          </w:tcPr>
          <w:p>
            <w:pPr>
              <w:spacing w:after="0"/>
              <w:rPr>
                <w:sz w:val="22"/>
                <w:szCs w:val="22"/>
                <w:color w:val="auto"/>
              </w:rPr>
            </w:pPr>
          </w:p>
        </w:tc>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w:t>
            </w:r>
          </w:p>
        </w:tc>
        <w:tc>
          <w:tcPr>
            <w:tcW w:w="440" w:type="dxa"/>
            <w:vAlign w:val="bottom"/>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loans</w:t>
            </w:r>
          </w:p>
        </w:tc>
        <w:tc>
          <w:tcPr>
            <w:tcW w:w="17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(19,473)</w:t>
            </w:r>
          </w:p>
        </w:tc>
        <w:tc>
          <w:tcPr>
            <w:tcW w:w="2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440" w:type="dxa"/>
            <w:vAlign w:val="bottom"/>
          </w:tcPr>
          <w:p>
            <w:pPr>
              <w:spacing w:after="0"/>
              <w:rPr>
                <w:sz w:val="21"/>
                <w:szCs w:val="21"/>
                <w:color w:val="auto"/>
              </w:rPr>
            </w:pPr>
          </w:p>
        </w:tc>
      </w:tr>
      <w:tr>
        <w:trPr>
          <w:trHeight w:val="269"/>
        </w:trPr>
        <w:tc>
          <w:tcPr>
            <w:tcW w:w="20" w:type="dxa"/>
            <w:vAlign w:val="bottom"/>
          </w:tcPr>
          <w:p>
            <w:pPr>
              <w:spacing w:after="0"/>
              <w:rPr>
                <w:sz w:val="23"/>
                <w:szCs w:val="23"/>
                <w:color w:val="auto"/>
              </w:rPr>
            </w:pPr>
          </w:p>
        </w:tc>
        <w:tc>
          <w:tcPr>
            <w:tcW w:w="5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long-term loan</w:t>
            </w:r>
          </w:p>
        </w:tc>
        <w:tc>
          <w:tcPr>
            <w:tcW w:w="17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427,698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337,063</w:t>
            </w:r>
          </w:p>
        </w:tc>
        <w:tc>
          <w:tcPr>
            <w:tcW w:w="440" w:type="dxa"/>
            <w:vAlign w:val="bottom"/>
          </w:tcPr>
          <w:p>
            <w:pPr>
              <w:spacing w:after="0"/>
              <w:rPr>
                <w:sz w:val="23"/>
                <w:szCs w:val="23"/>
                <w:color w:val="auto"/>
              </w:rPr>
            </w:pPr>
          </w:p>
        </w:tc>
      </w:tr>
      <w:tr>
        <w:trPr>
          <w:trHeight w:val="20"/>
        </w:trPr>
        <w:tc>
          <w:tcPr>
            <w:tcW w:w="7540" w:type="dxa"/>
            <w:vAlign w:val="bottom"/>
            <w:gridSpan w:val="3"/>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65"/>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March 31, 2026, principal maturities of debt are expected as follows, excluding any undrawn debt facilities: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4"/>
        </w:trPr>
        <w:tc>
          <w:tcPr>
            <w:tcW w:w="20" w:type="dxa"/>
            <w:vAlign w:val="bottom"/>
          </w:tcPr>
          <w:p>
            <w:pPr>
              <w:spacing w:after="0"/>
              <w:rPr>
                <w:sz w:val="24"/>
                <w:szCs w:val="24"/>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62"/>
        </w:trPr>
        <w:tc>
          <w:tcPr>
            <w:tcW w:w="2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Nine months ending December 31, 2026</w:t>
            </w: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14,659</w:t>
            </w:r>
          </w:p>
        </w:tc>
      </w:tr>
      <w:tr>
        <w:trPr>
          <w:trHeight w:val="25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18,950</w:t>
            </w:r>
          </w:p>
        </w:tc>
      </w:tr>
      <w:tr>
        <w:trPr>
          <w:trHeight w:val="25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410,056</w:t>
            </w:r>
          </w:p>
        </w:tc>
      </w:tr>
      <w:tr>
        <w:trPr>
          <w:trHeight w:val="256"/>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2,395</w:t>
            </w:r>
          </w:p>
        </w:tc>
      </w:tr>
      <w:tr>
        <w:trPr>
          <w:trHeight w:val="256"/>
        </w:trPr>
        <w:tc>
          <w:tcPr>
            <w:tcW w:w="5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2,589</w:t>
            </w:r>
          </w:p>
        </w:tc>
      </w:tr>
      <w:tr>
        <w:trPr>
          <w:trHeight w:val="256"/>
        </w:trPr>
        <w:tc>
          <w:tcPr>
            <w:tcW w:w="2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78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7,943</w:t>
            </w:r>
          </w:p>
        </w:tc>
      </w:tr>
      <w:tr>
        <w:trPr>
          <w:trHeight w:val="263"/>
        </w:trPr>
        <w:tc>
          <w:tcPr>
            <w:tcW w:w="20" w:type="dxa"/>
            <w:vAlign w:val="bottom"/>
            <w:shd w:val="clear" w:color="auto" w:fill="CCEEFF"/>
          </w:tcPr>
          <w:p>
            <w:pPr>
              <w:spacing w:after="0"/>
              <w:rPr>
                <w:sz w:val="22"/>
                <w:szCs w:val="22"/>
                <w:color w:val="auto"/>
              </w:rPr>
            </w:pPr>
          </w:p>
        </w:tc>
        <w:tc>
          <w:tcPr>
            <w:tcW w:w="574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456,592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the Company drew $128,382 under its term loan facility pursuant to its existing credit agreement. A portion of the proceeds from the borrowing was used to repay $20,000 outstanding under the revolving loan facility. As of March 31, 2026, the Company had utilized $10,747 of availability under the revolver loan to provide for the issuance of letters of credit to support the operations of OPAL Fuels Intermediate HoldCo LLC (the “Borrower”) and certain subsidiaries of the Borrower (the “Guarantors”).</w:t>
      </w:r>
    </w:p>
    <w:p>
      <w:pPr>
        <w:spacing w:after="0" w:line="14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the Company commenced principal payments under its credit agreement. In addition, beginning in the first quarter of 2026, the Company is subject to a quarterly cash sweep pursuant to which, within two business days after the required delivery of quarterly financial statements, a percentage of distributable cash is required to be applied to repay outstanding borrowings, with the applicable percentage determined based on the Company’s consolidated debt to cash flow ratio. If the required financial statements are not delivered within the specified timeframe, 100% of distributable cash is required to be applied to the cash sweep.</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Company utilized $927 for the issuance of letters of credit to support the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Sales-Type Leases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the Company entered into a new sales-type lease. Upon commencement, the carrying value of the underlying assets was removed from the balance sheet and a net investment in lease was recognized, measured at the present value of future lease payments discounted at the rate implicit in the lease. At that time, $2,246 was recognized within fuel station services revenues and $1,838 was recorded in cost of sales - fuel station services.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 maturity analysis of lease receivables reflecting undiscounted cash flows to be received on an annual basis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2026</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29"/>
        </w:trPr>
        <w:tc>
          <w:tcPr>
            <w:tcW w:w="9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7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29"/>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11,413</w:t>
            </w:r>
          </w:p>
        </w:tc>
      </w:tr>
      <w:tr>
        <w:trPr>
          <w:trHeight w:val="222"/>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20,931</w:t>
            </w:r>
          </w:p>
        </w:tc>
      </w:tr>
      <w:tr>
        <w:trPr>
          <w:trHeight w:val="222"/>
        </w:trPr>
        <w:tc>
          <w:tcPr>
            <w:tcW w:w="9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based on implicit rate</w:t>
            </w:r>
          </w:p>
        </w:tc>
        <w:tc>
          <w:tcPr>
            <w:tcW w:w="7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r>
      <w:tr>
        <w:trPr>
          <w:trHeight w:val="229"/>
        </w:trPr>
        <w:tc>
          <w:tcPr>
            <w:tcW w:w="9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Plus: Unguaranteed residual asset</w:t>
            </w:r>
          </w:p>
        </w:tc>
        <w:tc>
          <w:tcPr>
            <w:tcW w:w="7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47"/>
        </w:trPr>
        <w:tc>
          <w:tcPr>
            <w:tcW w:w="9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4400" w:firstLine="8"/>
        <w:spacing w:after="0" w:line="462" w:lineRule="auto"/>
        <w:tabs>
          <w:tab w:leader="none" w:pos="179"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 AND FAIR VALUE MEASUREMENTS Commodity Swap Contracts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 of commodity swaps on the condensed consolidated statements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38"/>
        </w:trPr>
        <w:tc>
          <w:tcPr>
            <w:tcW w:w="4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Gain (Loss) Recognized</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8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swaps - realized</w:t>
            </w:r>
          </w:p>
        </w:tc>
        <w:tc>
          <w:tcPr>
            <w:tcW w:w="840" w:type="dxa"/>
            <w:vAlign w:val="bottom"/>
          </w:tcPr>
          <w:p>
            <w:pPr>
              <w:spacing w:after="0"/>
              <w:rPr>
                <w:sz w:val="22"/>
                <w:szCs w:val="22"/>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swaps - unrealized</w:t>
            </w:r>
          </w:p>
        </w:tc>
        <w:tc>
          <w:tcPr>
            <w:tcW w:w="840" w:type="dxa"/>
            <w:vAlign w:val="bottom"/>
            <w:shd w:val="clear" w:color="auto" w:fill="CCEEFF"/>
          </w:tcPr>
          <w:p>
            <w:pPr>
              <w:spacing w:after="0"/>
              <w:rPr>
                <w:sz w:val="22"/>
                <w:szCs w:val="22"/>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Renewable Power</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5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swaps - realized</w:t>
            </w:r>
          </w:p>
        </w:tc>
        <w:tc>
          <w:tcPr>
            <w:tcW w:w="840" w:type="dxa"/>
            <w:vAlign w:val="bottom"/>
          </w:tcPr>
          <w:p>
            <w:pPr>
              <w:spacing w:after="0"/>
              <w:rPr>
                <w:sz w:val="22"/>
                <w:szCs w:val="22"/>
                <w:color w:val="auto"/>
              </w:rPr>
            </w:pPr>
          </w:p>
        </w:tc>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 RNG Fuel</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4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5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swaps - unrealized</w:t>
            </w:r>
          </w:p>
        </w:tc>
        <w:tc>
          <w:tcPr>
            <w:tcW w:w="840" w:type="dxa"/>
            <w:vAlign w:val="bottom"/>
            <w:shd w:val="clear" w:color="auto" w:fill="CCEEFF"/>
          </w:tcPr>
          <w:p>
            <w:pPr>
              <w:spacing w:after="0"/>
              <w:rPr>
                <w:sz w:val="22"/>
                <w:szCs w:val="22"/>
                <w:color w:val="auto"/>
              </w:rPr>
            </w:pPr>
          </w:p>
        </w:tc>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 RNG Fuel</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4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 net loss</w:t>
            </w:r>
          </w:p>
        </w:tc>
        <w:tc>
          <w:tcPr>
            <w:tcW w:w="84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700" w:type="dxa"/>
            <w:vAlign w:val="bottom"/>
            <w:gridSpan w:val="2"/>
            <w:vMerge w:val="restart"/>
          </w:tcPr>
          <w:p>
            <w:pPr>
              <w:jc w:val="right"/>
              <w:ind w:right="261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5"/>
        </w:trPr>
        <w:tc>
          <w:tcPr>
            <w:tcW w:w="4720" w:type="dxa"/>
            <w:vAlign w:val="bottom"/>
          </w:tcPr>
          <w:p>
            <w:pPr>
              <w:spacing w:after="0"/>
              <w:rPr>
                <w:sz w:val="24"/>
                <w:szCs w:val="24"/>
                <w:color w:val="auto"/>
              </w:rPr>
            </w:pPr>
          </w:p>
        </w:tc>
        <w:tc>
          <w:tcPr>
            <w:tcW w:w="37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7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 summarizes the derivative assets and liabilities related to commodity swaps as of March 31, 2026 and December 31,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800" w:type="dxa"/>
            <w:vAlign w:val="bottom"/>
            <w:tcBorders>
              <w:bottom w:val="single" w:sz="8" w:color="auto"/>
            </w:tcBorders>
          </w:tcPr>
          <w:p>
            <w:pPr>
              <w:spacing w:after="0"/>
              <w:rPr>
                <w:sz w:val="18"/>
                <w:szCs w:val="18"/>
                <w:color w:val="auto"/>
              </w:rPr>
            </w:pPr>
          </w:p>
        </w:tc>
        <w:tc>
          <w:tcPr>
            <w:tcW w:w="288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Location of Fair value recognized in</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5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6"/>
                <w:szCs w:val="16"/>
                <w:b w:val="1"/>
                <w:bCs w:val="1"/>
                <w:color w:val="auto"/>
              </w:rPr>
              <w:t>March 31, 2026</w:t>
            </w:r>
          </w:p>
        </w:tc>
        <w:tc>
          <w:tcPr>
            <w:tcW w:w="15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8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0" w:type="dxa"/>
            <w:vAlign w:val="bottom"/>
          </w:tcPr>
          <w:p>
            <w:pPr>
              <w:spacing w:after="0"/>
              <w:rPr>
                <w:sz w:val="1"/>
                <w:szCs w:val="1"/>
                <w:color w:val="auto"/>
              </w:rPr>
            </w:pPr>
          </w:p>
        </w:tc>
      </w:tr>
      <w:tr>
        <w:trPr>
          <w:trHeight w:val="21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80" w:type="dxa"/>
            <w:vAlign w:val="bottom"/>
          </w:tcPr>
          <w:p>
            <w:pPr>
              <w:ind w:left="20"/>
              <w:spacing w:after="0" w:line="175" w:lineRule="exact"/>
              <w:rPr>
                <w:sz w:val="20"/>
                <w:szCs w:val="20"/>
                <w:color w:val="auto"/>
              </w:rPr>
            </w:pPr>
            <w:r>
              <w:rPr>
                <w:rFonts w:ascii="Times New Roman" w:cs="Times New Roman" w:eastAsia="Times New Roman" w:hAnsi="Times New Roman"/>
                <w:sz w:val="18"/>
                <w:szCs w:val="18"/>
                <w:color w:val="auto"/>
              </w:rPr>
              <w:t>Prepaid expense and other current</w:t>
            </w:r>
          </w:p>
        </w:tc>
        <w:tc>
          <w:tcPr>
            <w:tcW w:w="0" w:type="dxa"/>
            <w:vAlign w:val="bottom"/>
          </w:tcPr>
          <w:p>
            <w:pPr>
              <w:spacing w:after="0"/>
              <w:rPr>
                <w:sz w:val="1"/>
                <w:szCs w:val="1"/>
                <w:color w:val="auto"/>
              </w:rPr>
            </w:pPr>
          </w:p>
        </w:tc>
      </w:tr>
      <w:tr>
        <w:trPr>
          <w:trHeight w:val="242"/>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unrealized gain on commodity swaps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74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175"/>
        </w:trPr>
        <w:tc>
          <w:tcPr>
            <w:tcW w:w="5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0" w:type="dxa"/>
            <w:vAlign w:val="bottom"/>
          </w:tcPr>
          <w:p>
            <w:pPr>
              <w:spacing w:after="0"/>
              <w:rPr>
                <w:sz w:val="1"/>
                <w:szCs w:val="1"/>
                <w:color w:val="auto"/>
              </w:rPr>
            </w:pPr>
          </w:p>
        </w:tc>
      </w:tr>
      <w:tr>
        <w:trPr>
          <w:trHeight w:val="24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unrealized loss on commodity swaps</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(92) liabilities</w:t>
            </w:r>
          </w:p>
        </w:tc>
        <w:tc>
          <w:tcPr>
            <w:tcW w:w="0" w:type="dxa"/>
            <w:vAlign w:val="bottom"/>
          </w:tcPr>
          <w:p>
            <w:pPr>
              <w:spacing w:after="0"/>
              <w:rPr>
                <w:sz w:val="1"/>
                <w:szCs w:val="1"/>
                <w:color w:val="auto"/>
              </w:rPr>
            </w:pPr>
          </w:p>
        </w:tc>
      </w:tr>
      <w:tr>
        <w:trPr>
          <w:trHeight w:val="256"/>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 - current portion of unrealized gain on commodity swaps</w:t>
            </w:r>
          </w:p>
        </w:tc>
        <w:tc>
          <w:tcPr>
            <w:tcW w:w="1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0" w:type="dxa"/>
            <w:vAlign w:val="bottom"/>
          </w:tcPr>
          <w:p>
            <w:pPr>
              <w:spacing w:after="0"/>
              <w:rPr>
                <w:sz w:val="1"/>
                <w:szCs w:val="1"/>
                <w:color w:val="auto"/>
              </w:rPr>
            </w:pPr>
          </w:p>
        </w:tc>
      </w:tr>
      <w:tr>
        <w:trPr>
          <w:trHeight w:val="247"/>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commodity swaps - unrealized gain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74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8"/>
          <w:szCs w:val="18"/>
          <w:color w:val="auto"/>
        </w:rPr>
        <w:t>There were no amounts offset in the condensed consolidated balance sheets as of the period-end dates. In addition, there were no collateral balances with counterparties outstanding as of the period-end dates.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2026, the Company issued the Warrants with an initial estimated fair value of $2,760. Changes in fair value of $710 were recognized in other (expense) income, net, resulting in an estimated fair value of $3,470 as of March 31, 2026. The key inputs into the Black-Scholes option pricing model for the Warrants were as follows for the relevant periods:</w:t>
      </w:r>
    </w:p>
    <w:p>
      <w:pPr>
        <w:spacing w:after="0" w:line="174" w:lineRule="exact"/>
        <w:rPr>
          <w:sz w:val="20"/>
          <w:szCs w:val="20"/>
          <w:color w:val="auto"/>
        </w:rPr>
      </w:pPr>
    </w:p>
    <w:tbl>
      <w:tblPr>
        <w:tblLayout w:type="fixed"/>
        <w:tblInd w:w="620" w:type="dxa"/>
        <w:tblCellMar>
          <w:top w:w="0" w:type="dxa"/>
          <w:left w:w="0" w:type="dxa"/>
          <w:bottom w:w="0" w:type="dxa"/>
          <w:right w:w="0" w:type="dxa"/>
        </w:tblCellMar>
      </w:tblPr>
      <w:tr>
        <w:trPr>
          <w:trHeight w:val="242"/>
        </w:trPr>
        <w:tc>
          <w:tcPr>
            <w:tcW w:w="584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9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As of March 6, 2026</w:t>
            </w:r>
          </w:p>
        </w:tc>
      </w:tr>
      <w:tr>
        <w:trPr>
          <w:trHeight w:val="22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59.1 %</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57.7 %</w:t>
            </w:r>
          </w:p>
        </w:tc>
      </w:tr>
      <w:tr>
        <w:trPr>
          <w:trHeight w:val="22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March 31, 2026 and December 31, 2025.</w:t>
      </w:r>
    </w:p>
    <w:p>
      <w:pPr>
        <w:spacing w:after="0" w:line="183"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March 31, 2026 and December 31, 2025, set forth by level, within the fair value hierarchy:</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Fair values as of March 31, 2026</w:t>
            </w:r>
          </w:p>
        </w:tc>
        <w:tc>
          <w:tcPr>
            <w:tcW w:w="1140" w:type="dxa"/>
            <w:vAlign w:val="bottom"/>
            <w:tcBorders>
              <w:bottom w:val="single" w:sz="8" w:color="auto"/>
            </w:tcBorders>
          </w:tcPr>
          <w:p>
            <w:pPr>
              <w:spacing w:after="0"/>
              <w:rPr>
                <w:sz w:val="21"/>
                <w:szCs w:val="21"/>
                <w:color w:val="auto"/>
              </w:rPr>
            </w:pPr>
          </w:p>
        </w:tc>
      </w:tr>
      <w:tr>
        <w:trPr>
          <w:trHeight w:val="249"/>
        </w:trPr>
        <w:tc>
          <w:tcPr>
            <w:tcW w:w="53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9"/>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128,317</w:t>
            </w:r>
          </w:p>
        </w:tc>
      </w:tr>
      <w:tr>
        <w:trPr>
          <w:trHeight w:val="262"/>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600</w:t>
            </w:r>
          </w:p>
        </w:tc>
        <w:tc>
          <w:tcPr>
            <w:tcW w:w="1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9"/>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Commodity swap contracts</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2,539</w:t>
            </w:r>
          </w:p>
        </w:tc>
        <w:tc>
          <w:tcPr>
            <w:tcW w:w="1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r>
      <w:tr>
        <w:trPr>
          <w:trHeight w:val="26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9"/>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3,470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w:t>
            </w:r>
          </w:p>
        </w:tc>
      </w:tr>
      <w:tr>
        <w:trPr>
          <w:trHeight w:val="875"/>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03"/>
        </w:trPr>
        <w:tc>
          <w:tcPr>
            <w:tcW w:w="5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8" w:name="page19"/>
    <w:bookmarkEnd w:id="18"/>
    <w:p>
      <w:pPr>
        <w:ind w:left="6940"/>
        <w:spacing w:after="0"/>
        <w:rPr>
          <w:sz w:val="20"/>
          <w:szCs w:val="20"/>
          <w:color w:val="auto"/>
        </w:rPr>
      </w:pPr>
      <w:r>
        <w:rPr>
          <w:rFonts w:ascii="Times New Roman" w:cs="Times New Roman" w:eastAsia="Times New Roman" w:hAnsi="Times New Roman"/>
          <w:sz w:val="18"/>
          <w:szCs w:val="18"/>
          <w:b w:val="1"/>
          <w:bCs w:val="1"/>
          <w:color w:val="auto"/>
        </w:rPr>
        <w:t>Fair values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3413125</wp:posOffset>
            </wp:positionH>
            <wp:positionV relativeFrom="paragraph">
              <wp:posOffset>27940</wp:posOffset>
            </wp:positionV>
            <wp:extent cx="37242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24275"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5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9"/>
        </w:trPr>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22,969</w:t>
            </w:r>
          </w:p>
        </w:tc>
      </w:tr>
      <w:tr>
        <w:trPr>
          <w:trHeight w:val="256"/>
        </w:trPr>
        <w:tc>
          <w:tcPr>
            <w:tcW w:w="5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Commodity swap contracts</w:t>
            </w: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2,082</w:t>
            </w:r>
          </w:p>
        </w:tc>
        <w:tc>
          <w:tcPr>
            <w:tcW w:w="152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PARTIES</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Related parties are represented by Fortistar LLC ("Fortistar") and other affiliates, subsidiaries and entities under common control with Fortistar or NextEra Energy Marketing, LLC (“NextEra”).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revenues recorded from related parties: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6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2026</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00" w:type="dxa"/>
            <w:vAlign w:val="bottom"/>
          </w:tcPr>
          <w:p>
            <w:pPr>
              <w:spacing w:after="0"/>
              <w:rPr>
                <w:sz w:val="15"/>
                <w:szCs w:val="15"/>
                <w:color w:val="auto"/>
              </w:rPr>
            </w:pPr>
          </w:p>
        </w:tc>
        <w:tc>
          <w:tcPr>
            <w:tcW w:w="1240" w:type="dxa"/>
            <w:vAlign w:val="bottom"/>
          </w:tcPr>
          <w:p>
            <w:pPr>
              <w:jc w:val="center"/>
              <w:ind w:right="70"/>
              <w:spacing w:after="0" w:line="173"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swaps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Environmental processing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8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Borders>
              <w:bottom w:val="single" w:sz="8" w:color="CCEEFF"/>
            </w:tcBorders>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Service agreements </w:t>
            </w:r>
            <w:r>
              <w:rPr>
                <w:rFonts w:ascii="Times New Roman" w:cs="Times New Roman" w:eastAsia="Times New Roman" w:hAnsi="Times New Roman"/>
                <w:sz w:val="23"/>
                <w:szCs w:val="23"/>
                <w:color w:val="auto"/>
                <w:vertAlign w:val="superscript"/>
              </w:rPr>
              <w:t>(4)</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8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gridSpan w:val="4"/>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9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00" w:type="dxa"/>
            <w:vAlign w:val="bottom"/>
          </w:tcPr>
          <w:p>
            <w:pPr>
              <w:spacing w:after="0"/>
              <w:rPr>
                <w:sz w:val="15"/>
                <w:szCs w:val="15"/>
                <w:color w:val="auto"/>
              </w:rPr>
            </w:pPr>
          </w:p>
        </w:tc>
        <w:tc>
          <w:tcPr>
            <w:tcW w:w="1240" w:type="dxa"/>
            <w:vAlign w:val="bottom"/>
          </w:tcPr>
          <w:p>
            <w:pPr>
              <w:jc w:val="center"/>
              <w:ind w:right="70"/>
              <w:spacing w:after="0" w:line="173" w:lineRule="exact"/>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0" w:type="dxa"/>
            <w:vAlign w:val="bottom"/>
          </w:tcPr>
          <w:p>
            <w:pPr>
              <w:spacing w:after="0"/>
              <w:rPr>
                <w:sz w:val="1"/>
                <w:szCs w:val="1"/>
                <w:color w:val="auto"/>
              </w:rPr>
            </w:pPr>
          </w:p>
        </w:tc>
      </w:tr>
      <w:tr>
        <w:trPr>
          <w:trHeight w:val="238"/>
        </w:trPr>
        <w:tc>
          <w:tcPr>
            <w:tcW w:w="69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46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92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14,979</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Commodity swaps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29"/>
        </w:trPr>
        <w:tc>
          <w:tcPr>
            <w:tcW w:w="69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Environmental processing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8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0" w:hanging="152"/>
        <w:spacing w:after="0" w:line="270" w:lineRule="auto"/>
        <w:tabs>
          <w:tab w:leader="none" w:pos="177"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RIN and LCFS sales to NextEra. Includes revenues of $5,674 and $5,017 recognized under the Green Gas Contract, which were recorded within RNG fuel revenues for the three months ended March 31, 2026 and 2025, respectively.</w:t>
      </w: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revenue earned under ISDA and REC sales agreements with NextEra.</w:t>
      </w:r>
    </w:p>
    <w:p>
      <w:pPr>
        <w:spacing w:after="0" w:line="55" w:lineRule="exact"/>
        <w:rPr>
          <w:rFonts w:ascii="Times New Roman" w:cs="Times New Roman" w:eastAsia="Times New Roman" w:hAnsi="Times New Roman"/>
          <w:sz w:val="22"/>
          <w:szCs w:val="22"/>
          <w:color w:val="auto"/>
          <w:vertAlign w:val="superscript"/>
        </w:rPr>
      </w:pPr>
    </w:p>
    <w:p>
      <w:pPr>
        <w:ind w:left="160" w:hanging="152"/>
        <w:spacing w:after="0"/>
        <w:tabs>
          <w:tab w:leader="none" w:pos="163"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environmental processing fees earned under agreements with equity method investments, related to the generation and marketing of RINs and LCFS.</w:t>
      </w:r>
    </w:p>
    <w:p>
      <w:pPr>
        <w:spacing w:after="0" w:line="215" w:lineRule="exact"/>
        <w:rPr>
          <w:rFonts w:ascii="Times New Roman" w:cs="Times New Roman" w:eastAsia="Times New Roman" w:hAnsi="Times New Roman"/>
          <w:sz w:val="20"/>
          <w:szCs w:val="20"/>
          <w:color w:val="auto"/>
          <w:vertAlign w:val="superscript"/>
        </w:rPr>
      </w:pPr>
    </w:p>
    <w:p>
      <w:pPr>
        <w:ind w:left="180" w:hanging="172"/>
        <w:spacing w:after="0"/>
        <w:tabs>
          <w:tab w:leader="none" w:pos="180" w:val="left"/>
        </w:tabs>
        <w:numPr>
          <w:ilvl w:val="0"/>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management fees earned under an agreement with Fortistar.</w:t>
      </w:r>
    </w:p>
    <w:p>
      <w:pPr>
        <w:spacing w:after="0" w:line="15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service agreements with related parties which are included in selling, general and administrative within the Company's condensed consolidated statements of operations: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4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2"/>
        </w:trPr>
        <w:tc>
          <w:tcPr>
            <w:tcW w:w="85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 - fixed compensation</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 services</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1,224</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22"/>
        </w:trPr>
        <w:tc>
          <w:tcPr>
            <w:tcW w:w="8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related party fees</w:t>
            </w: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1,997</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0"/>
        </w:trPr>
        <w:tc>
          <w:tcPr>
            <w:tcW w:w="8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various balances for related parties included in the Company's condensed consolidated balance sheets as of March 31, 2026 and December 31, 2025:</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19" w:name="page20"/>
    <w:bookmarkEnd w:id="19"/>
    <w:tbl>
      <w:tblPr>
        <w:tblLayout w:type="fixed"/>
        <w:tblInd w:w="40" w:type="dxa"/>
        <w:tblCellMar>
          <w:top w:w="0" w:type="dxa"/>
          <w:left w:w="0" w:type="dxa"/>
          <w:bottom w:w="0" w:type="dxa"/>
          <w:right w:w="0" w:type="dxa"/>
        </w:tblCellMar>
      </w:tblPr>
      <w:tr>
        <w:trPr>
          <w:trHeight w:val="238"/>
        </w:trPr>
        <w:tc>
          <w:tcPr>
            <w:tcW w:w="3840" w:type="dxa"/>
            <w:vAlign w:val="bottom"/>
            <w:tcBorders>
              <w:bottom w:val="single" w:sz="8" w:color="CCEEFF"/>
            </w:tcBorders>
          </w:tcPr>
          <w:p>
            <w:pPr>
              <w:spacing w:after="0"/>
              <w:rPr>
                <w:sz w:val="20"/>
                <w:szCs w:val="20"/>
                <w:color w:val="auto"/>
              </w:rPr>
            </w:pPr>
          </w:p>
        </w:tc>
        <w:tc>
          <w:tcPr>
            <w:tcW w:w="4220" w:type="dxa"/>
            <w:vAlign w:val="bottom"/>
            <w:tcBorders>
              <w:bottom w:val="single" w:sz="8" w:color="CCEEFF"/>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Location in Balance Sheet</w:t>
            </w: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   December 31, 2025</w:t>
            </w: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AR - NextEra</w:t>
            </w:r>
          </w:p>
        </w:tc>
        <w:tc>
          <w:tcPr>
            <w:tcW w:w="4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5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r>
      <w:tr>
        <w:trPr>
          <w:trHeight w:val="25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r>
      <w:tr>
        <w:trPr>
          <w:trHeight w:val="222"/>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receivables - related party</w:t>
            </w:r>
          </w:p>
        </w:tc>
        <w:tc>
          <w:tcPr>
            <w:tcW w:w="4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15,327</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w:t>
            </w: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56"/>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equity method investment entities</w:t>
            </w:r>
          </w:p>
        </w:tc>
        <w:tc>
          <w:tcPr>
            <w:tcW w:w="4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5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5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5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r>
      <w:tr>
        <w:trPr>
          <w:trHeight w:val="222"/>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 related party</w:t>
            </w:r>
          </w:p>
        </w:tc>
        <w:tc>
          <w:tcPr>
            <w:tcW w:w="4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5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0"/>
        </w:trPr>
        <w:tc>
          <w:tcPr>
            <w:tcW w:w="38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REPORTABLE SEGMENTS AND GEOGRAPHIC INFORMATION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organized into three operating segments.</w:t>
      </w:r>
    </w:p>
    <w:p>
      <w:pPr>
        <w:spacing w:after="0" w:line="183"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During the fourth quarter of 2025, the Company changed the presentation of information reviewed by the Chief Operating Decision Makers (“CODM”) to allocate certain Corporate general and administrative costs, including consulting, insurance, and payroll expenses, to the related reportable segments. Segment information has been retrospectively revised to reflect this change. All the assets and revenue-generating activities, aside from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type lease in Canada, were domiciled in the United States for the three months ended March 31, 2026 and 2025. Transactions between reportable segments are accounted for using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pricing. Intersegment revenues and expenses are eliminated in consolidation.</w:t>
      </w:r>
    </w:p>
    <w:p>
      <w:pPr>
        <w:spacing w:after="0" w:line="13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During the fourth quarter of 2025, the Company changed the presentation of information reviewed by the CODM to allocate certain Corporate general and administrative costs, including consulting, insurance, and payroll expenses, to the related reportable segments. Segment information has been retrospectively revised to reflect this change. For the three months ended March 31, 2025, amounts reallocated from Corporate to RNG Fuel, Fuel Station Services, and Renewable Power were $2,292, $336, and $962, respectively.</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reflects the financial data used to calculate each reportable segment’s income (loss) and includes reconciliations to the Company's consolidated revenue and consolidated net income for the three months ended March 31, 2026: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5"/>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6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8"/>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Pr>
          <w:p>
            <w:pPr>
              <w:spacing w:after="0"/>
              <w:rPr>
                <w:sz w:val="20"/>
                <w:szCs w:val="20"/>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73,375</w:t>
            </w:r>
          </w:p>
        </w:tc>
      </w:tr>
      <w:tr>
        <w:trPr>
          <w:trHeight w:val="25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22"/>
        </w:trPr>
        <w:tc>
          <w:tcPr>
            <w:tcW w:w="35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21,780</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49,597</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78,548</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78,548</w:t>
            </w:r>
          </w:p>
        </w:tc>
      </w:tr>
      <w:tr>
        <w:trPr>
          <w:trHeight w:val="229"/>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(5,173)</w:t>
            </w:r>
          </w:p>
        </w:tc>
      </w:tr>
      <w:tr>
        <w:trPr>
          <w:trHeight w:val="243"/>
        </w:trPr>
        <w:tc>
          <w:tcPr>
            <w:tcW w:w="3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73,375</w:t>
            </w:r>
          </w:p>
        </w:tc>
      </w:tr>
      <w:tr>
        <w:trPr>
          <w:trHeight w:val="242"/>
        </w:trPr>
        <w:tc>
          <w:tcPr>
            <w:tcW w:w="3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49"/>
        </w:trPr>
        <w:tc>
          <w:tcPr>
            <w:tcW w:w="35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Segment and Corporate Expenses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62"/>
        </w:trPr>
        <w:tc>
          <w:tcPr>
            <w:tcW w:w="3540" w:type="dxa"/>
            <w:vAlign w:val="bottom"/>
            <w:shd w:val="clear" w:color="auto" w:fill="CCEEFF"/>
          </w:tcPr>
          <w:p>
            <w:pPr>
              <w:ind w:left="60"/>
              <w:spacing w:after="0" w:line="262" w:lineRule="exact"/>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23"/>
                <w:szCs w:val="23"/>
                <w:i w:val="1"/>
                <w:iCs w:val="1"/>
                <w:color w:val="auto"/>
                <w:vertAlign w:val="superscript"/>
              </w:rPr>
              <w:t>(1)</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35,390</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18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r>
      <w:tr>
        <w:trPr>
          <w:trHeight w:val="25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r>
      <w:tr>
        <w:trPr>
          <w:trHeight w:val="25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c>
          <w:tcPr>
            <w:tcW w:w="18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5,884</w:t>
            </w:r>
          </w:p>
        </w:tc>
      </w:tr>
      <w:tr>
        <w:trPr>
          <w:trHeight w:val="25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5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80" w:type="dxa"/>
            <w:vAlign w:val="bottom"/>
          </w:tcPr>
          <w:p>
            <w:pPr>
              <w:spacing w:after="0"/>
              <w:rPr>
                <w:sz w:val="22"/>
                <w:szCs w:val="22"/>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5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r>
      <w:tr>
        <w:trPr>
          <w:trHeight w:val="25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r>
      <w:tr>
        <w:trPr>
          <w:trHeight w:val="256"/>
        </w:trPr>
        <w:tc>
          <w:tcPr>
            <w:tcW w:w="3540" w:type="dxa"/>
            <w:vAlign w:val="bottom"/>
            <w:shd w:val="clear" w:color="auto" w:fill="CCEEFF"/>
          </w:tcPr>
          <w:p>
            <w:pPr>
              <w:ind w:left="60"/>
              <w:spacing w:after="0" w:line="25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36"/>
        </w:trPr>
        <w:tc>
          <w:tcPr>
            <w:tcW w:w="35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Segment (loss) income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w:t>
            </w:r>
          </w:p>
        </w:tc>
      </w:tr>
      <w:tr>
        <w:trPr>
          <w:trHeight w:val="236"/>
        </w:trPr>
        <w:tc>
          <w:tcPr>
            <w:tcW w:w="3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2"/>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or loss (segment income</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6"/>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(loss))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56"/>
        </w:trPr>
        <w:tc>
          <w:tcPr>
            <w:tcW w:w="3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Income tax benefit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r>
      <w:tr>
        <w:trPr>
          <w:trHeight w:val="249"/>
        </w:trPr>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(5,593)</w:t>
            </w:r>
          </w:p>
        </w:tc>
      </w:tr>
      <w:tr>
        <w:trPr>
          <w:trHeight w:val="20"/>
        </w:trPr>
        <w:tc>
          <w:tcPr>
            <w:tcW w:w="3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160" w:hanging="152"/>
        <w:spacing w:after="0"/>
        <w:tabs>
          <w:tab w:leader="none" w:pos="181"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significant expense categories and amounts align with the segment-level information that is regularly provided to the CODM. Intersegment expenses are included within the amounts shown in the line Cost of sales and no intersegment profit was recognized.</w:t>
      </w:r>
    </w:p>
    <w:p>
      <w:pPr>
        <w:spacing w:after="0" w:line="16"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for each reportable segment include:</w:t>
      </w:r>
    </w:p>
    <w:p>
      <w:pPr>
        <w:spacing w:after="0" w:line="1" w:lineRule="exact"/>
        <w:rPr>
          <w:rFonts w:ascii="Times New Roman" w:cs="Times New Roman" w:eastAsia="Times New Roman" w:hAnsi="Times New Roman"/>
          <w:sz w:val="22"/>
          <w:szCs w:val="22"/>
          <w:color w:val="auto"/>
          <w:vertAlign w:val="superscript"/>
        </w:rPr>
      </w:pPr>
    </w:p>
    <w:p>
      <w:pPr>
        <w:ind w:left="640" w:hanging="310"/>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 payroll, consulting, insurance and other expenses</w:t>
      </w:r>
    </w:p>
    <w:p>
      <w:pPr>
        <w:spacing w:after="0" w:line="6"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 gain on RNG dispensing and payroll</w:t>
      </w:r>
    </w:p>
    <w:p>
      <w:pPr>
        <w:spacing w:after="0" w:line="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 payroll, consulting, insurance and other expenses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other financial data for the reportable segments as of March 31,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0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4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30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5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224,282</w:t>
            </w:r>
          </w:p>
        </w:tc>
      </w:tr>
      <w:tr>
        <w:trPr>
          <w:trHeight w:val="25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702,171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28,228</w:t>
            </w:r>
          </w:p>
        </w:tc>
        <w:tc>
          <w:tcPr>
            <w:tcW w:w="3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1,060,602</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the Company made the following cash payments for capital expenditures: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13"/>
        </w:trPr>
        <w:tc>
          <w:tcPr>
            <w:tcW w:w="3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00" w:type="dxa"/>
            <w:vAlign w:val="bottom"/>
          </w:tcPr>
          <w:p>
            <w:pPr>
              <w:spacing w:after="0"/>
              <w:rPr>
                <w:sz w:val="18"/>
                <w:szCs w:val="18"/>
                <w:color w:val="auto"/>
              </w:rPr>
            </w:pPr>
          </w:p>
        </w:tc>
        <w:tc>
          <w:tcPr>
            <w:tcW w:w="1480" w:type="dxa"/>
            <w:vAlign w:val="bottom"/>
            <w:gridSpan w:val="2"/>
          </w:tcPr>
          <w:p>
            <w:pPr>
              <w:jc w:val="center"/>
              <w:ind w:right="470"/>
              <w:spacing w:after="0"/>
              <w:rPr>
                <w:sz w:val="20"/>
                <w:szCs w:val="20"/>
                <w:color w:val="auto"/>
              </w:rPr>
            </w:pPr>
            <w:r>
              <w:rPr>
                <w:rFonts w:ascii="Times New Roman" w:cs="Times New Roman" w:eastAsia="Times New Roman" w:hAnsi="Times New Roman"/>
                <w:sz w:val="18"/>
                <w:szCs w:val="18"/>
                <w:b w:val="1"/>
                <w:bCs w:val="1"/>
                <w:color w:val="auto"/>
                <w:w w:val="99"/>
              </w:rPr>
              <w:t>Renewable</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20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Services</w:t>
            </w:r>
          </w:p>
        </w:tc>
        <w:tc>
          <w:tcPr>
            <w:tcW w:w="200" w:type="dxa"/>
            <w:vAlign w:val="bottom"/>
          </w:tcPr>
          <w:p>
            <w:pPr>
              <w:spacing w:after="0"/>
              <w:rPr>
                <w:sz w:val="20"/>
                <w:szCs w:val="20"/>
                <w:color w:val="auto"/>
              </w:rPr>
            </w:pPr>
          </w:p>
        </w:tc>
        <w:tc>
          <w:tcPr>
            <w:tcW w:w="7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Pr>
          <w:p>
            <w:pPr>
              <w:spacing w:after="0"/>
              <w:rPr>
                <w:sz w:val="20"/>
                <w:szCs w:val="20"/>
                <w:color w:val="auto"/>
              </w:rPr>
            </w:pP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354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Cash paid for purchases of property, plant and</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7"/>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21"/>
                <w:szCs w:val="21"/>
                <w:color w:val="auto"/>
              </w:rPr>
            </w:pP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24,367</w:t>
            </w:r>
          </w:p>
        </w:tc>
      </w:tr>
      <w:tr>
        <w:trPr>
          <w:trHeight w:val="888"/>
        </w:trPr>
        <w:tc>
          <w:tcPr>
            <w:tcW w:w="3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3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following table reflects the financial data used to calculate each reportable segment’s income (loss) and includes reconciliations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revenue and consolidated net (loss) income for the three months ended March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3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6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Pr>
          <w:p>
            <w:pPr>
              <w:spacing w:after="0"/>
              <w:rPr>
                <w:sz w:val="20"/>
                <w:szCs w:val="20"/>
                <w:color w:val="auto"/>
              </w:rPr>
            </w:pPr>
          </w:p>
        </w:tc>
        <w:tc>
          <w:tcPr>
            <w:tcW w:w="13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85,407</w:t>
            </w:r>
          </w:p>
        </w:tc>
      </w:tr>
      <w:tr>
        <w:trPr>
          <w:trHeight w:val="256"/>
        </w:trPr>
        <w:tc>
          <w:tcPr>
            <w:tcW w:w="3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r>
      <w:tr>
        <w:trPr>
          <w:trHeight w:val="222"/>
        </w:trPr>
        <w:tc>
          <w:tcPr>
            <w:tcW w:w="36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27,737</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55,071</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89,938</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89,938</w:t>
            </w:r>
          </w:p>
        </w:tc>
      </w:tr>
      <w:tr>
        <w:trPr>
          <w:trHeight w:val="229"/>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Revenue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6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r>
      <w:tr>
        <w:trPr>
          <w:trHeight w:val="243"/>
        </w:trPr>
        <w:tc>
          <w:tcPr>
            <w:tcW w:w="3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4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85,407</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85,407</w:t>
            </w:r>
          </w:p>
        </w:tc>
      </w:tr>
      <w:tr>
        <w:trPr>
          <w:trHeight w:val="242"/>
        </w:trPr>
        <w:tc>
          <w:tcPr>
            <w:tcW w:w="3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49"/>
        </w:trPr>
        <w:tc>
          <w:tcPr>
            <w:tcW w:w="364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Segment and Corporate Expenses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3640" w:type="dxa"/>
            <w:vAlign w:val="bottom"/>
            <w:shd w:val="clear" w:color="auto" w:fill="CCEEFF"/>
          </w:tcPr>
          <w:p>
            <w:pPr>
              <w:ind w:left="60"/>
              <w:spacing w:after="0" w:line="262" w:lineRule="exact"/>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23"/>
                <w:szCs w:val="23"/>
                <w:i w:val="1"/>
                <w:iCs w:val="1"/>
                <w:color w:val="auto"/>
                <w:vertAlign w:val="superscript"/>
              </w:rPr>
              <w:t>(1)</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12,153</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180" w:type="dxa"/>
            <w:vAlign w:val="bottom"/>
          </w:tcPr>
          <w:p>
            <w:pPr>
              <w:spacing w:after="0"/>
              <w:rPr>
                <w:sz w:val="22"/>
                <w:szCs w:val="22"/>
                <w:color w:val="auto"/>
              </w:rPr>
            </w:pP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r>
      <w:tr>
        <w:trPr>
          <w:trHeight w:val="25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method investments</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180" w:type="dxa"/>
            <w:vAlign w:val="bottom"/>
          </w:tcPr>
          <w:p>
            <w:pPr>
              <w:spacing w:after="0"/>
              <w:rPr>
                <w:sz w:val="22"/>
                <w:szCs w:val="22"/>
                <w:color w:val="auto"/>
              </w:rPr>
            </w:pP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5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 development and startup costs</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80" w:type="dxa"/>
            <w:vAlign w:val="bottom"/>
          </w:tcPr>
          <w:p>
            <w:pPr>
              <w:spacing w:after="0"/>
              <w:rPr>
                <w:sz w:val="22"/>
                <w:szCs w:val="22"/>
                <w:color w:val="auto"/>
              </w:rPr>
            </w:pPr>
          </w:p>
        </w:tc>
        <w:tc>
          <w:tcPr>
            <w:tcW w:w="13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r>
      <w:tr>
        <w:trPr>
          <w:trHeight w:val="256"/>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10,670</w:t>
            </w:r>
          </w:p>
        </w:tc>
      </w:tr>
      <w:tr>
        <w:trPr>
          <w:trHeight w:val="256"/>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56"/>
        </w:trPr>
        <w:tc>
          <w:tcPr>
            <w:tcW w:w="3640" w:type="dxa"/>
            <w:vAlign w:val="bottom"/>
            <w:shd w:val="clear" w:color="auto" w:fill="CCEEFF"/>
          </w:tcPr>
          <w:p>
            <w:pPr>
              <w:ind w:left="60"/>
              <w:spacing w:after="0" w:line="25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4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r>
      <w:tr>
        <w:trPr>
          <w:trHeight w:val="236"/>
        </w:trPr>
        <w:tc>
          <w:tcPr>
            <w:tcW w:w="36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Segment (loss) income</w:t>
            </w: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236"/>
        </w:trPr>
        <w:tc>
          <w:tcPr>
            <w:tcW w:w="3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08"/>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Reconciliation of profit or loss (segment income /</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2"/>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(loss))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r>
      <w:tr>
        <w:trPr>
          <w:trHeight w:val="222"/>
        </w:trPr>
        <w:tc>
          <w:tcPr>
            <w:tcW w:w="3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20"/>
        </w:trPr>
        <w:tc>
          <w:tcPr>
            <w:tcW w:w="3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160" w:hanging="152"/>
        <w:spacing w:after="0"/>
        <w:tabs>
          <w:tab w:leader="none" w:pos="181"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significant expense categories and amounts align with the segment-level information that is regularly provided to the CODM. Intersegment expenses are included within the amounts shown in line Cost of sales and no intersegment profit was recognized.</w:t>
      </w:r>
    </w:p>
    <w:p>
      <w:pPr>
        <w:spacing w:after="0" w:line="16"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items for each reportable segment include:</w:t>
      </w:r>
    </w:p>
    <w:p>
      <w:pPr>
        <w:spacing w:after="0" w:line="1"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 payroll, consulting, insurance and other expenses</w:t>
      </w:r>
    </w:p>
    <w:p>
      <w:pPr>
        <w:spacing w:after="0" w:line="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Fuel Station Services - payroll expenses, gain on RNG dispensing and asset impairment</w:t>
      </w:r>
    </w:p>
    <w:p>
      <w:pPr>
        <w:spacing w:after="0" w:line="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Power - payroll, consulting, insurance and other expenses, and asset impairment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certain other financial data for the reportable segments for as of December 31, 2025:</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Fuel Station</w:t>
            </w:r>
          </w:p>
        </w:tc>
        <w:tc>
          <w:tcPr>
            <w:tcW w:w="160" w:type="dxa"/>
            <w:vAlign w:val="bottom"/>
          </w:tcPr>
          <w:p>
            <w:pPr>
              <w:spacing w:after="0"/>
              <w:rPr>
                <w:sz w:val="18"/>
                <w:szCs w:val="18"/>
                <w:color w:val="auto"/>
              </w:rPr>
            </w:pPr>
          </w:p>
        </w:tc>
        <w:tc>
          <w:tcPr>
            <w:tcW w:w="10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8"/>
        </w:trPr>
        <w:tc>
          <w:tcPr>
            <w:tcW w:w="29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20"/>
                <w:szCs w:val="20"/>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6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9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segment disclosures</w:t>
            </w:r>
          </w:p>
        </w:tc>
        <w:tc>
          <w:tcPr>
            <w:tcW w:w="10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5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231,223</w:t>
            </w:r>
          </w:p>
        </w:tc>
      </w:tr>
      <w:tr>
        <w:trPr>
          <w:trHeight w:val="25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assets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675,988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28,740</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959,469</w:t>
            </w: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made the following cash payments for capital expenditures: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5"/>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Fuel Station</w:t>
            </w: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Renewable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tcPr>
          <w:p>
            <w:pPr>
              <w:spacing w:after="0"/>
              <w:rPr>
                <w:sz w:val="20"/>
                <w:szCs w:val="20"/>
                <w:color w:val="auto"/>
              </w:rPr>
            </w:pPr>
          </w:p>
        </w:tc>
        <w:tc>
          <w:tcPr>
            <w:tcW w:w="14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Power</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 Segments</w:t>
            </w:r>
          </w:p>
        </w:tc>
        <w:tc>
          <w:tcPr>
            <w:tcW w:w="180" w:type="dxa"/>
            <w:vAlign w:val="bottom"/>
          </w:tcPr>
          <w:p>
            <w:pPr>
              <w:spacing w:after="0"/>
              <w:rPr>
                <w:sz w:val="20"/>
                <w:szCs w:val="20"/>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4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paid for purchases of property, plant and</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6,886 $</w:t>
            </w:r>
          </w:p>
        </w:tc>
        <w:tc>
          <w:tcPr>
            <w:tcW w:w="76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11,566</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11,566</w:t>
            </w:r>
          </w:p>
        </w:tc>
        <w:tc>
          <w:tcPr>
            <w:tcW w:w="0" w:type="dxa"/>
            <w:vAlign w:val="bottom"/>
          </w:tcPr>
          <w:p>
            <w:pPr>
              <w:spacing w:after="0"/>
              <w:rPr>
                <w:sz w:val="1"/>
                <w:szCs w:val="1"/>
                <w:color w:val="auto"/>
              </w:rPr>
            </w:pPr>
          </w:p>
        </w:tc>
      </w:tr>
      <w:tr>
        <w:trPr>
          <w:trHeight w:val="234"/>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71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reflects revenues from external customers by type for the reportable segments: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00" w:type="dxa"/>
            <w:vAlign w:val="bottom"/>
            <w:gridSpan w:val="5"/>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RNG Fuel</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Brown gas sales</w:t>
            </w:r>
          </w:p>
        </w:tc>
        <w:tc>
          <w:tcPr>
            <w:tcW w:w="180" w:type="dxa"/>
            <w:vAlign w:val="bottom"/>
          </w:tcPr>
          <w:p>
            <w:pPr>
              <w:spacing w:after="0"/>
              <w:rPr>
                <w:sz w:val="19"/>
                <w:szCs w:val="19"/>
                <w:color w:val="auto"/>
              </w:rPr>
            </w:pPr>
          </w:p>
        </w:tc>
        <w:tc>
          <w:tcPr>
            <w:tcW w:w="1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RNG Fuel</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27,599</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Fuel Station Services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OPAL owned stations</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Environmental attributes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RNG marketing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Third party station service and maintenance</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Borders>
              <w:bottom w:val="single" w:sz="8" w:color="CCEEFF"/>
            </w:tcBorders>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(2)</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5,727</w:t>
            </w: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Fuel Station Services</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50,678</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4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Renewable Power</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Electricity sales</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Environmental attributes </w:t>
            </w:r>
            <w:r>
              <w:rPr>
                <w:rFonts w:ascii="Times New Roman" w:cs="Times New Roman" w:eastAsia="Times New Roman" w:hAnsi="Times New Roman"/>
                <w:sz w:val="23"/>
                <w:szCs w:val="23"/>
                <w:color w:val="auto"/>
                <w:vertAlign w:val="superscript"/>
              </w:rPr>
              <w:t>(3)</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Capacity</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7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Lease revenues </w:t>
            </w:r>
            <w:r>
              <w:rPr>
                <w:rFonts w:ascii="Times New Roman" w:cs="Times New Roman" w:eastAsia="Times New Roman" w:hAnsi="Times New Roman"/>
                <w:sz w:val="23"/>
                <w:szCs w:val="23"/>
                <w:color w:val="auto"/>
                <w:vertAlign w:val="superscript"/>
              </w:rPr>
              <w:t>(4)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ind w:left="120"/>
              <w:spacing w:after="0" w:line="229"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(5)</w:t>
            </w: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7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Renewable Power</w:t>
            </w:r>
          </w:p>
        </w:tc>
        <w:tc>
          <w:tcPr>
            <w:tcW w:w="1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7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40" w:type="dxa"/>
            <w:vAlign w:val="bottom"/>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7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40" w:type="dxa"/>
            <w:vAlign w:val="bottom"/>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180" w:type="dxa"/>
            <w:vAlign w:val="bottom"/>
          </w:tcPr>
          <w:p>
            <w:pPr>
              <w:spacing w:after="0"/>
              <w:rPr>
                <w:sz w:val="19"/>
                <w:szCs w:val="19"/>
                <w:color w:val="auto"/>
              </w:rPr>
            </w:pPr>
          </w:p>
        </w:tc>
        <w:tc>
          <w:tcPr>
            <w:tcW w:w="106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67,416</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lease arrangements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76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firstLine="8"/>
        <w:spacing w:after="0"/>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from RNG marketing in the Fuel Station Services segment relate to revenues earned from Environmental Attribute generation and monetization services.</w:t>
      </w:r>
    </w:p>
    <w:p>
      <w:pPr>
        <w:spacing w:after="0" w:line="375" w:lineRule="exact"/>
        <w:rPr>
          <w:rFonts w:ascii="Times New Roman" w:cs="Times New Roman" w:eastAsia="Times New Roman" w:hAnsi="Times New Roman"/>
          <w:sz w:val="20"/>
          <w:szCs w:val="20"/>
          <w:color w:val="auto"/>
          <w:vertAlign w:val="superscript"/>
        </w:rPr>
      </w:pPr>
    </w:p>
    <w:p>
      <w:pPr>
        <w:jc w:val="both"/>
        <w:ind w:firstLine="8"/>
        <w:spacing w:after="0" w:line="278" w:lineRule="auto"/>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Fuel Station Services lease revenue relates to revenue from fuel purchasing agreements where we determined that we transferred the right to control the use of the station to the purchaser. Includes sales-type lease revenues of $2,246 and $— respectively, for the for the three months ended March 31, 2026 and 2025, from customers domiciled outside of the United States. All remaining lease revenue relates to operating leases.</w:t>
      </w:r>
    </w:p>
    <w:p>
      <w:pPr>
        <w:spacing w:after="0" w:line="127" w:lineRule="exact"/>
        <w:rPr>
          <w:rFonts w:ascii="Times New Roman" w:cs="Times New Roman" w:eastAsia="Times New Roman" w:hAnsi="Times New Roman"/>
          <w:sz w:val="20"/>
          <w:szCs w:val="20"/>
          <w:color w:val="auto"/>
          <w:vertAlign w:val="superscript"/>
        </w:rPr>
      </w:pPr>
    </w:p>
    <w:p>
      <w:pPr>
        <w:ind w:firstLine="8"/>
        <w:spacing w:after="0"/>
        <w:tabs>
          <w:tab w:leader="none" w:pos="16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revenues of $— and $3,617 respectively, for the for the three months ended March 31, 2026 and 2025, from customers domiciled outside of the United States.</w:t>
      </w:r>
    </w:p>
    <w:p>
      <w:pPr>
        <w:spacing w:after="0" w:line="388" w:lineRule="exact"/>
        <w:rPr>
          <w:rFonts w:ascii="Times New Roman" w:cs="Times New Roman" w:eastAsia="Times New Roman" w:hAnsi="Times New Roman"/>
          <w:sz w:val="20"/>
          <w:szCs w:val="20"/>
          <w:color w:val="auto"/>
          <w:vertAlign w:val="superscript"/>
        </w:rPr>
      </w:pPr>
    </w:p>
    <w:p>
      <w:pPr>
        <w:ind w:firstLine="8"/>
        <w:spacing w:after="0" w:line="270" w:lineRule="auto"/>
        <w:tabs>
          <w:tab w:leader="none" w:pos="17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Renewable Power operating lease revenue relates to revenue from power purchase agreements where we determined that we transferred the right to control the use of the power plant to the purchaser.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23" w:name="page24"/>
    <w:bookmarkEnd w:id="23"/>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management fee revenues earned from management of operations of equity method entities</w:t>
      </w:r>
    </w:p>
    <w:p>
      <w:pPr>
        <w:spacing w:after="0" w:line="17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tables below outline the revenue from customers that comprise 10% or more of the Company's consolidated revenue, along with their respective percentages of revenue by each segment.</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44"/>
        </w:trPr>
        <w:tc>
          <w:tcPr>
            <w:tcW w:w="38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0" w:type="dxa"/>
            <w:vAlign w:val="bottom"/>
            <w:tcBorders>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A</w:t>
            </w:r>
          </w:p>
        </w:tc>
        <w:tc>
          <w:tcPr>
            <w:tcW w:w="300" w:type="dxa"/>
            <w:vAlign w:val="bottom"/>
          </w:tcPr>
          <w:p>
            <w:pPr>
              <w:spacing w:after="0"/>
              <w:rPr>
                <w:sz w:val="14"/>
                <w:szCs w:val="14"/>
                <w:color w:val="auto"/>
              </w:rPr>
            </w:pPr>
          </w:p>
        </w:tc>
        <w:tc>
          <w:tcPr>
            <w:tcW w:w="14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6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14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42"/>
        </w:trPr>
        <w:tc>
          <w:tcPr>
            <w:tcW w:w="3840" w:type="dxa"/>
            <w:vAlign w:val="bottom"/>
            <w:tcBorders>
              <w:bottom w:val="single" w:sz="8" w:color="CCEEFF"/>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2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0" w:type="dxa"/>
            <w:vAlign w:val="bottom"/>
          </w:tcPr>
          <w:p>
            <w:pPr>
              <w:spacing w:after="0"/>
              <w:rPr>
                <w:sz w:val="1"/>
                <w:szCs w:val="1"/>
                <w:color w:val="auto"/>
              </w:rPr>
            </w:pPr>
          </w:p>
        </w:tc>
      </w:tr>
      <w:tr>
        <w:trPr>
          <w:trHeight w:val="24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16,917</w:t>
            </w:r>
          </w:p>
        </w:tc>
        <w:tc>
          <w:tcPr>
            <w:tcW w:w="20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23.1 % $</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20,101</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0" w:type="dxa"/>
            <w:vAlign w:val="bottom"/>
          </w:tcPr>
          <w:p>
            <w:pPr>
              <w:spacing w:after="0"/>
              <w:rPr>
                <w:sz w:val="1"/>
                <w:szCs w:val="1"/>
                <w:color w:val="auto"/>
              </w:rPr>
            </w:pPr>
          </w:p>
        </w:tc>
      </w:tr>
      <w:tr>
        <w:trPr>
          <w:trHeight w:val="269"/>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300" w:type="dxa"/>
            <w:vAlign w:val="bottom"/>
          </w:tcPr>
          <w:p>
            <w:pPr>
              <w:spacing w:after="0"/>
              <w:rPr>
                <w:sz w:val="23"/>
                <w:szCs w:val="23"/>
                <w:color w:val="auto"/>
              </w:rPr>
            </w:pPr>
          </w:p>
        </w:tc>
        <w:tc>
          <w:tcPr>
            <w:tcW w:w="1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10,856</w:t>
            </w: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14.8 %</w:t>
            </w: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15,344</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0" w:type="dxa"/>
            <w:vAlign w:val="bottom"/>
          </w:tcPr>
          <w:p>
            <w:pPr>
              <w:spacing w:after="0"/>
              <w:rPr>
                <w:sz w:val="1"/>
                <w:szCs w:val="1"/>
                <w:color w:val="auto"/>
              </w:rPr>
            </w:pPr>
          </w:p>
        </w:tc>
      </w:tr>
      <w:tr>
        <w:trPr>
          <w:trHeight w:val="26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30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872</w:t>
            </w:r>
          </w:p>
        </w:tc>
        <w:tc>
          <w:tcPr>
            <w:tcW w:w="2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1.2 %</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2"/>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28,645</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39.0 % $</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36,611</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2"/>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8"/>
        </w:trPr>
        <w:tc>
          <w:tcPr>
            <w:tcW w:w="3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17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0" w:type="dxa"/>
            <w:vAlign w:val="bottom"/>
            <w:tcBorders>
              <w:bottom w:val="single" w:sz="8" w:color="auto"/>
            </w:tcBorders>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168"/>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B</w:t>
            </w:r>
          </w:p>
        </w:tc>
        <w:tc>
          <w:tcPr>
            <w:tcW w:w="300" w:type="dxa"/>
            <w:vAlign w:val="bottom"/>
          </w:tcPr>
          <w:p>
            <w:pPr>
              <w:spacing w:after="0"/>
              <w:rPr>
                <w:sz w:val="14"/>
                <w:szCs w:val="14"/>
                <w:color w:val="auto"/>
              </w:rPr>
            </w:pPr>
          </w:p>
        </w:tc>
        <w:tc>
          <w:tcPr>
            <w:tcW w:w="14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60" w:type="dxa"/>
            <w:vAlign w:val="bottom"/>
          </w:tcPr>
          <w:p>
            <w:pPr>
              <w:jc w:val="right"/>
              <w:ind w:right="410"/>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14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7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Percentage of total</w:t>
            </w:r>
          </w:p>
        </w:tc>
        <w:tc>
          <w:tcPr>
            <w:tcW w:w="0" w:type="dxa"/>
            <w:vAlign w:val="bottom"/>
          </w:tcPr>
          <w:p>
            <w:pPr>
              <w:spacing w:after="0"/>
              <w:rPr>
                <w:sz w:val="1"/>
                <w:szCs w:val="1"/>
                <w:color w:val="auto"/>
              </w:rPr>
            </w:pPr>
          </w:p>
        </w:tc>
      </w:tr>
      <w:tr>
        <w:trPr>
          <w:trHeight w:val="242"/>
        </w:trPr>
        <w:tc>
          <w:tcPr>
            <w:tcW w:w="384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20" w:type="dxa"/>
            <w:vAlign w:val="bottom"/>
            <w:tcBorders>
              <w:bottom w:val="single" w:sz="8" w:color="auto"/>
            </w:tcBorders>
            <w:vMerge w:val="continue"/>
          </w:tcPr>
          <w:p>
            <w:pPr>
              <w:spacing w:after="0"/>
              <w:rPr>
                <w:sz w:val="21"/>
                <w:szCs w:val="21"/>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0" w:type="dxa"/>
            <w:vAlign w:val="bottom"/>
          </w:tcPr>
          <w:p>
            <w:pPr>
              <w:spacing w:after="0"/>
              <w:rPr>
                <w:sz w:val="1"/>
                <w:szCs w:val="1"/>
                <w:color w:val="auto"/>
              </w:rPr>
            </w:pPr>
          </w:p>
        </w:tc>
      </w:tr>
      <w:tr>
        <w:trPr>
          <w:trHeight w:val="263"/>
        </w:trPr>
        <w:tc>
          <w:tcPr>
            <w:tcW w:w="3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3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7,843</w:t>
            </w:r>
          </w:p>
        </w:tc>
        <w:tc>
          <w:tcPr>
            <w:tcW w:w="20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10.7 %</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2"/>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7,843</w:t>
            </w:r>
          </w:p>
        </w:tc>
        <w:tc>
          <w:tcPr>
            <w:tcW w:w="2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10.7 % $</w:t>
            </w: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285" w:lineRule="auto"/>
        <w:tabs>
          <w:tab w:leader="none" w:pos="331"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 REDEEMABLE PREFERRED NON-CONTROLLING INTEREST AND STOCKHOLDERS' EQUITY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March 31, 2026, the Company is authorized to issue 340,000,000 shares of Class A common stock, 160,000,000 shares of Class B common stock, 160,000,000 shares of Class C common stock, and 160,000,000 shares of Class D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B and Class D common stock do not have any economic value except voting rights as described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Preferred Non-controlling Interests</w:t>
      </w:r>
    </w:p>
    <w:p>
      <w:pPr>
        <w:spacing w:after="0" w:line="160"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Upon completion of the Business Combination, the Company effectively assumed the Series 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and Series A preferred units previously issued by OPAL Fuels LLC to Hillman and NextEra, respectively. Following the transaction, these preferred units were presented as redeemable preferred non-controlling interests in the Company’s condensed consolidated financial statements.</w:t>
      </w:r>
    </w:p>
    <w:p>
      <w:pPr>
        <w:spacing w:after="0" w:line="1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2026, OPAL Fuels LLC (“Opal Fuels”), the Company’s primary operating consolidated subsidiary, entered into a subscription agreement (“Subscription Agreement”) with Preferred Fuels LLC, (“Preferred Fuels” or “Investor”), an entity under common control with the Company. Pursuant to the Subscription Agreement Preferred Fuels committed to purchase up to $180,000 (the “Offering”) of Series A preferred units of Opal Fuels in multiple closings. At the initial closing on March 6, 2026, Preferred Fuels purchased 1,200,000 preferred units for aggregate proceeds of $120,000. OPAL Fuels may, in its sole discretion, require Preferred Fuels to fund up to an additional $60,000 (or “Undrawn Commitment”) within one year of the initial closing (“or Availability Period”), subject to the terms of the Subscription Agreement. Additionally, pursuant to the Subscription Agreement, the Investor also has a right of first offer to purchase up to an additional 700,000 Units for an aggregate purchase price of up to $70,000 in the Offering in the event that OPAL Fuels intends to sell any additional units prior to the two (2) year anniversary of the initial closing. Opal Fuels used the proceeds received from the issuance of the Series A preferred units on March 6, 2026 to redeem all of the previously issued and outstanding Series A preferred units.</w:t>
      </w:r>
    </w:p>
    <w:p>
      <w:pPr>
        <w:spacing w:after="0" w:line="14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connection with the initial closing on March 6, 2026, OPAL Fuels Inc. issued to Preferred Fuels warrants (“Warrants”) to purchase up to 2,160,000 shares of Class A common stock (the “Warrant Shares”) at an exercise price per share of $2.67, subject to customary anti-dilution adjustments. The Warrants expire on March 6, 2034. A holder of the Warrants shall not have the right to exercise the Warrants without prior approval by the Company’s Board of Directors 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24" w:name="page25"/>
    <w:bookmarkEnd w:id="24"/>
    <w:p>
      <w:pPr>
        <w:jc w:val="both"/>
        <w:spacing w:after="0" w:line="259" w:lineRule="auto"/>
        <w:rPr>
          <w:sz w:val="20"/>
          <w:szCs w:val="20"/>
          <w:color w:val="auto"/>
        </w:rPr>
      </w:pPr>
      <w:r>
        <w:rPr>
          <w:rFonts w:ascii="Times New Roman" w:cs="Times New Roman" w:eastAsia="Times New Roman" w:hAnsi="Times New Roman"/>
          <w:sz w:val="18"/>
          <w:szCs w:val="18"/>
          <w:color w:val="auto"/>
        </w:rPr>
        <w:t>the extent that after giving effect to such exercise, such person would beneficially own in excess of 19.9% of the Company’s outstanding common stock immediately after giving effect to such exercise. Up to 720,000 shares of the Warrant Shares are forfeitable if Preferred Fuels fails to fund issuance of the remaining Series A preferred units during the Availability Period provided Opal Fuels requested such funding. As of March 31, 2026, no drawdown request has been made.</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up to 840,000 shares issuable on a pro rata basis upon future purchases by Preferred Fuels of up to an additional 700,000 Series A preferred units (up to $70,000) within two years of the initial closing pursuant to its right of first offer. No Subsequent Warrant Shares have been issued as of March 31, 2026.</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recorded Series A preferred units as redeemable noncontrolling interest in its condensed consolidated financial statements at the amount of proceeds received, less the fair value of the Warrants of $2,760 and directly attributable issuance costs of $3,330. The Series A preferred units are subsequently remeasured to their redemption value as of each reporting date as if such reporting date were the redemption date. The Company concluded that the Warrants are not indexed to the Company’s equity. The Warrants are accounted for as liabilities in the Company’s condensed consolidated financial statements, within other long-term liabilities with changes in fair value recognized in other (expense) income, net.</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changes in the redeemable preferred non-controlling interests which represent Series A and Series A-1 preferred units outstanding at OPAL Fuels level from December 31, 2025 to March 31, 2026: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860" w:type="dxa"/>
            <w:vAlign w:val="bottom"/>
          </w:tcPr>
          <w:p>
            <w:pPr>
              <w:spacing w:after="0"/>
              <w:rPr>
                <w:sz w:val="18"/>
                <w:szCs w:val="18"/>
                <w:color w:val="auto"/>
              </w:rPr>
            </w:pPr>
          </w:p>
        </w:tc>
        <w:tc>
          <w:tcPr>
            <w:tcW w:w="2740" w:type="dxa"/>
            <w:vAlign w:val="bottom"/>
            <w:tcBorders>
              <w:bottom w:val="single" w:sz="8" w:color="auto"/>
            </w:tcBorders>
            <w:gridSpan w:val="3"/>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Series A-1 preferred units</w:t>
            </w:r>
          </w:p>
        </w:tc>
        <w:tc>
          <w:tcPr>
            <w:tcW w:w="2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Series A preferred units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4"/>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December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0" w:type="dxa"/>
            <w:vAlign w:val="bottom"/>
          </w:tcPr>
          <w:p>
            <w:pPr>
              <w:spacing w:after="0"/>
              <w:rPr>
                <w:sz w:val="1"/>
                <w:szCs w:val="1"/>
                <w:color w:val="auto"/>
              </w:rPr>
            </w:pPr>
          </w:p>
        </w:tc>
      </w:tr>
      <w:tr>
        <w:trPr>
          <w:trHeight w:val="141"/>
        </w:trPr>
        <w:tc>
          <w:tcPr>
            <w:tcW w:w="486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Issuance of Series A preferred units, net of issuance costs and fair value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2"/>
                <w:szCs w:val="12"/>
                <w:color w:val="auto"/>
              </w:rPr>
            </w:pPr>
          </w:p>
        </w:tc>
        <w:tc>
          <w:tcPr>
            <w:tcW w:w="124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2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113,910</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Warrant</w:t>
            </w:r>
          </w:p>
        </w:tc>
        <w:tc>
          <w:tcPr>
            <w:tcW w:w="12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Series A preferred units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dividends attributable to redeemable non-controlling interest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499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dividends attributable to Class A common stockholders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105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preferred dividends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to redemption value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2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March 31, 2026</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Redeemable Preferred Units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Series A-1 preferred units held by Hillman RNG Investments LLC (Hillman), Series A preferred units previously held by NextEra affiliated entity and the new Series A preferred units (collectively the “Preferred Units”) held by Preferred Fuels, have substantially the same terms and features (unless specified otherwise) which are listed below:</w:t>
      </w:r>
    </w:p>
    <w:p>
      <w:pPr>
        <w:spacing w:after="0" w:line="131"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The Series A-1 preferred units do not have any voting rights. The Series A preferred units carry no voting rights except as required by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as provided under certain protective covenants in the Subscription Agreement.</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Series A-1 preferred units are entitled to receive dividends at a rate of 8% per annum. The Series A preferred units are entitled to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quarterly distributions at a rate of 12% per annum (“Preferred Coupon”), compounding quarterly. Dividends on each series begin accruing from the issuance date, are mandatory and cumulative. OPAL Fuels may elect to pay up to 2% per annum of the 12% Series A Preferred Coupon in kind through the issuance of additional Series A preferred units.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Liquidation preference: </w:t>
      </w:r>
      <w:r>
        <w:rPr>
          <w:rFonts w:ascii="Times New Roman" w:cs="Times New Roman" w:eastAsia="Times New Roman" w:hAnsi="Times New Roman"/>
          <w:sz w:val="18"/>
          <w:szCs w:val="18"/>
          <w:color w:val="auto"/>
        </w:rPr>
        <w:t>In the event of a liquidation of OPAL Fuels, each holder of Series A and Series A-1 units is entitled to receive, on a pro rata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original issue price of $100 per unit plus any accrued and unpaid dividends, out of assets available for distribution after payment of debt, liabilities, and liquidation expenses.</w:t>
      </w:r>
    </w:p>
    <w:p>
      <w:pPr>
        <w:spacing w:after="0" w:line="13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Redemption and Conversion: </w:t>
      </w:r>
      <w:r>
        <w:rPr>
          <w:rFonts w:ascii="Times New Roman" w:cs="Times New Roman" w:eastAsia="Times New Roman" w:hAnsi="Times New Roman"/>
          <w:sz w:val="18"/>
          <w:szCs w:val="18"/>
          <w:color w:val="auto"/>
        </w:rPr>
        <w:t>OPAL Fuels may redeem each series of Preferred Units at any time at the original issue price of $100 per unit plus accrued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unpaid dividends. Under the Series A preferred units, the Company was required to respond within 90 days from the date of the holder’s redemption notice in accordance with the applicable terms.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5" w:name="page26"/>
    <w:bookmarkEnd w:id="25"/>
    <w:p>
      <w:pPr>
        <w:jc w:val="both"/>
        <w:spacing w:after="0" w:line="253" w:lineRule="auto"/>
        <w:rPr>
          <w:sz w:val="20"/>
          <w:szCs w:val="20"/>
          <w:color w:val="auto"/>
        </w:rPr>
      </w:pPr>
      <w:r>
        <w:rPr>
          <w:rFonts w:ascii="Times New Roman" w:cs="Times New Roman" w:eastAsia="Times New Roman" w:hAnsi="Times New Roman"/>
          <w:sz w:val="18"/>
          <w:szCs w:val="18"/>
          <w:color w:val="auto"/>
        </w:rPr>
        <w:t>Preferred Fuels may require redemption upon (i) a change of control, (ii) an uncured material debt default or breach of protective covenants continuing for 60 days, or (iii) at any time on or after the fifth anniversary of the initial closing (March 6, 2031). In the event OPAL Fuels fails to redeem the Series A preferred units when requested: (1) the Preferred Coupon rate increases by an additional 0.50% per quarter, subject to a maximum of 4.00% per annum above the then-applicable rate, with all accrued distributions compounding quarterly at the Preferred Coupon plus the penalty rate; and (2) any residual cash flow of OPAL Fuels and its subsidiaries after operating expenses and capital expenditures must be applied to redeem the Series A preferred units at the applicable Redemption Price until the failure is cured. The applicable Redemption Price is (i) a price equal to at least 1.15 times the original issue price (inclusive of all fees paid and accrued dividends) on or prior to the first anniversary of the initial closing, (ii) 102% of the original issue price (exclusive of fees) after the first but on or prior to the second anniversary, and (iii) the original issue price plus accrued and unpaid cash dividends thereafter. Preferred Fuels also has the right, but not the obligation, to appoint a single director to the Board of Directors of OPAL Fuels Inc. if the redemption failure is not cured within 90 days.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NET LOSS PER SHARE</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9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0"/>
        </w:trPr>
        <w:tc>
          <w:tcPr>
            <w:tcW w:w="868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2"/>
        </w:trPr>
        <w:tc>
          <w:tcPr>
            <w:tcW w:w="86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Class A common stockholders basic and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56"/>
        </w:trPr>
        <w:tc>
          <w:tcPr>
            <w:tcW w:w="8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basic</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28,298,861</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27,718,912</w:t>
            </w:r>
          </w:p>
        </w:tc>
      </w:tr>
      <w:tr>
        <w:trPr>
          <w:trHeight w:val="222"/>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of Class A common stock - diluted</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28,298,861</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27,718,912</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6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Net loss per share of Class A common stock</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bl>
    <w:p>
      <w:pPr>
        <w:spacing w:after="0" w:line="2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basic loss per share for the three months ended March 31, 2026 and 2025 does not include 1,635,783 shares in treasury and 716,650 shares that are issued and outstanding but are contingent on achieving earnout targets.</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the diluted loss per share of Class A common stock for the three months ended March 31, 2026 and 2025 does not include redeemable preferred non-controlling interests because the substantive contingency for conversion has not been met as of March 31, 2026. It also excludes redeemable non-controlling interests for the three months ended March 31, 2026 and 2025.</w:t>
      </w:r>
    </w:p>
    <w:p>
      <w:pPr>
        <w:spacing w:after="0" w:line="1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For the periods in which loss per share is presented, the following securities were excluded from the computation of diluted loss per share since their impact would have been antidilutive:</w:t>
      </w:r>
    </w:p>
    <w:p>
      <w:pPr>
        <w:spacing w:after="0" w:line="159" w:lineRule="exact"/>
        <w:rPr>
          <w:sz w:val="20"/>
          <w:szCs w:val="20"/>
          <w:color w:val="auto"/>
        </w:rPr>
      </w:pPr>
    </w:p>
    <w:tbl>
      <w:tblPr>
        <w:tblLayout w:type="fixed"/>
        <w:tblInd w:w="256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27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2"/>
        </w:trPr>
        <w:tc>
          <w:tcPr>
            <w:tcW w:w="34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2,355,563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498,661</w:t>
            </w:r>
          </w:p>
        </w:tc>
      </w:tr>
      <w:tr>
        <w:trPr>
          <w:trHeight w:val="229"/>
        </w:trPr>
        <w:tc>
          <w:tcPr>
            <w:tcW w:w="34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Unvested PSUs </w:t>
            </w:r>
            <w:r>
              <w:rPr>
                <w:rFonts w:ascii="Times New Roman" w:cs="Times New Roman" w:eastAsia="Times New Roman" w:hAnsi="Times New Roman"/>
                <w:sz w:val="23"/>
                <w:szCs w:val="23"/>
                <w:color w:val="auto"/>
                <w:vertAlign w:val="superscript"/>
              </w:rPr>
              <w:t>(1)</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2,742,780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2,055,356</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5,070,990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4,474,415</w:t>
            </w:r>
          </w:p>
        </w:tc>
      </w:tr>
      <w:tr>
        <w:trPr>
          <w:trHeight w:val="229"/>
        </w:trPr>
        <w:tc>
          <w:tcPr>
            <w:tcW w:w="3440" w:type="dxa"/>
            <w:vAlign w:val="bottom"/>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3"/>
                <w:szCs w:val="23"/>
                <w:color w:val="auto"/>
                <w:vertAlign w:val="superscript"/>
              </w:rPr>
              <w:t>(2)</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2,160,000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 Fuels Class B Units</w:t>
            </w:r>
          </w:p>
        </w:tc>
        <w:tc>
          <w:tcPr>
            <w:tcW w:w="1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144,399,037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144,399,037</w:t>
            </w:r>
          </w:p>
        </w:tc>
      </w:tr>
    </w:tbl>
    <w:p>
      <w:pPr>
        <w:spacing w:after="0" w:line="231"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All unvested PSUs are contingent on achieving performance targets</w:t>
      </w:r>
    </w:p>
    <w:p>
      <w:pPr>
        <w:spacing w:after="0" w:line="150"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720,000 warrants that are subject to forfeiture contingent on obtaining additional funding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For the three months ended March 31, 2026, the Company recorded $5,709 income tax benefit, respectively, as a result of the generation of 45z credits. The Company also sold ITCs to the buyer for net proceeds of $9,563.</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For the three months ended March 31, 2025, the Company recorded $8,037 income tax benefit.</w:t>
      </w:r>
    </w:p>
    <w:p>
      <w:pPr>
        <w:spacing w:after="0" w:line="19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evaluates the realizability of the deferred tax assets on a quarterly basis and establishes a valuation allowance when it is more likely than not that all or a portion of a deferred tax asset may not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2022 Omnibus Equity Incentive Plan (the "2022 Plan") in 2022 which was approved by our stockholders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other stock-based awards. The Company registered 19,811,726 shares of Class A common stock that can be issued under this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generally vest over three years and expire ten years from the date of grant.</w:t>
      </w:r>
    </w:p>
    <w:p>
      <w:pPr>
        <w:spacing w:after="0" w:line="18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fair value of the stock options granted in the three months ended March 31, 2026 was estimated at $1.76 per option using the Black-Scholes model. The valuation was based on the following assumptions: share price of $2.46, exercise price of $2.52, expiration of 10 years, annual risk-free interest rate of 4.30% and expected volatility of 59%.</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during the three months ended March 31, 2026 consisted of the following (in thousands, except for share and per share data):</w:t>
      </w:r>
    </w:p>
    <w:p>
      <w:pPr>
        <w:spacing w:after="0" w:line="196"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45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79"/>
        </w:trPr>
        <w:tc>
          <w:tcPr>
            <w:tcW w:w="45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66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184"/>
        </w:trPr>
        <w:tc>
          <w:tcPr>
            <w:tcW w:w="456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0" w:type="dxa"/>
            <w:vAlign w:val="bottom"/>
            <w:shd w:val="clear" w:color="auto" w:fill="CCEEFF"/>
          </w:tcPr>
          <w:p>
            <w:pPr>
              <w:spacing w:after="0"/>
              <w:rPr>
                <w:sz w:val="15"/>
                <w:szCs w:val="15"/>
                <w:color w:val="auto"/>
              </w:rPr>
            </w:pPr>
          </w:p>
        </w:tc>
        <w:tc>
          <w:tcPr>
            <w:tcW w:w="1640" w:type="dxa"/>
            <w:vAlign w:val="bottom"/>
            <w:vMerge w:val="continue"/>
            <w:shd w:val="clear" w:color="auto" w:fill="CCEEFF"/>
          </w:tcPr>
          <w:p>
            <w:pPr>
              <w:spacing w:after="0"/>
              <w:rPr>
                <w:sz w:val="15"/>
                <w:szCs w:val="15"/>
                <w:color w:val="auto"/>
              </w:rPr>
            </w:pPr>
          </w:p>
        </w:tc>
        <w:tc>
          <w:tcPr>
            <w:tcW w:w="16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6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0" w:type="dxa"/>
            <w:vAlign w:val="bottom"/>
          </w:tcPr>
          <w:p>
            <w:pPr>
              <w:spacing w:after="0"/>
              <w:rPr>
                <w:sz w:val="1"/>
                <w:szCs w:val="1"/>
                <w:color w:val="auto"/>
              </w:rPr>
            </w:pPr>
          </w:p>
        </w:tc>
      </w:tr>
      <w:tr>
        <w:trPr>
          <w:trHeight w:val="22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1,590,653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764,910</w:t>
            </w:r>
          </w:p>
        </w:tc>
        <w:tc>
          <w:tcPr>
            <w:tcW w:w="1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2.52</w:t>
            </w: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2,355,563</w:t>
            </w:r>
          </w:p>
        </w:tc>
        <w:tc>
          <w:tcPr>
            <w:tcW w:w="1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2.68</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0" w:type="dxa"/>
            <w:vAlign w:val="bottom"/>
          </w:tcPr>
          <w:p>
            <w:pPr>
              <w:spacing w:after="0"/>
              <w:rPr>
                <w:sz w:val="1"/>
                <w:szCs w:val="1"/>
                <w:color w:val="auto"/>
              </w:rPr>
            </w:pPr>
          </w:p>
        </w:tc>
      </w:tr>
      <w:tr>
        <w:trPr>
          <w:trHeight w:val="247"/>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as of March 31, 2026</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739,398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460"/>
        <w:spacing w:after="0" w:line="280"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three months ended March 31, 2026 and 2025 was $1.76 and $1.44 per share, respectively.</w:t>
      </w:r>
    </w:p>
    <w:p>
      <w:pPr>
        <w:spacing w:after="0" w:line="12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The aggregate intrinsic value of the outstanding stock options is $1,107 and $922 as of March 31, 2026 and December 31, 2025, respectively. The aggregate intrinsic value of the vested and exercisable stock options is zero as of March 31, 2026 and December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Units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applicable performance period for the units granted in 2026 is from January 1, 2026 to December 31, 2028, with all such units scheduled to vest on March 31, 2029, subject to the achievement of certain performance criteria. The applicable performance period for the units granted in 2025 is from January 1, 2025 to December 31, 2027, with all such units scheduled to vest on March 31, 2028, subject to the achievement of certain performance criteria.</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7" w:name="page28"/>
    <w:bookmarkEnd w:id="27"/>
    <w:tbl>
      <w:tblPr>
        <w:tblLayout w:type="fixed"/>
        <w:tblInd w:w="2180" w:type="dxa"/>
        <w:tblCellMar>
          <w:top w:w="0" w:type="dxa"/>
          <w:left w:w="0" w:type="dxa"/>
          <w:bottom w:w="0" w:type="dxa"/>
          <w:right w:w="0" w:type="dxa"/>
        </w:tblCellMar>
      </w:tblPr>
      <w:tr>
        <w:trPr>
          <w:trHeight w:val="207"/>
        </w:trPr>
        <w:tc>
          <w:tcPr>
            <w:tcW w:w="34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184"/>
        </w:trPr>
        <w:tc>
          <w:tcPr>
            <w:tcW w:w="346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76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spacing w:after="0"/>
              <w:rPr>
                <w:sz w:val="19"/>
                <w:szCs w:val="19"/>
                <w:color w:val="auto"/>
              </w:rPr>
            </w:pPr>
          </w:p>
        </w:tc>
        <w:tc>
          <w:tcPr>
            <w:tcW w:w="1680" w:type="dxa"/>
            <w:vAlign w:val="bottom"/>
            <w:tcBorders>
              <w:bottom w:val="single" w:sz="8" w:color="auto"/>
            </w:tcBorders>
            <w:vMerge w:val="continue"/>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1" w:right="339" w:bottom="1440" w:gutter="0" w:footer="0" w:header="0"/>
        </w:sectPr>
      </w:pPr>
    </w:p>
    <w:p>
      <w:pPr>
        <w:ind w:left="2180"/>
        <w:spacing w:after="0"/>
        <w:rPr>
          <w:sz w:val="20"/>
          <w:szCs w:val="20"/>
          <w:color w:val="auto"/>
        </w:rPr>
      </w:pPr>
      <w:r>
        <w:rPr>
          <w:rFonts w:ascii="Times New Roman" w:cs="Times New Roman" w:eastAsia="Times New Roman" w:hAnsi="Times New Roman"/>
          <w:sz w:val="17"/>
          <w:szCs w:val="17"/>
          <w:color w:val="auto"/>
        </w:rPr>
        <w:t>Unvested as of December 31, 2025</w:t>
      </w:r>
    </w:p>
    <w:p>
      <w:pPr>
        <w:spacing w:after="0" w:line="3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Granted</w:t>
      </w:r>
    </w:p>
    <w:p>
      <w:pPr>
        <w:spacing w:after="0" w:line="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Vested</w:t>
      </w:r>
    </w:p>
    <w:p>
      <w:pPr>
        <w:spacing w:after="0" w:line="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Withheld for settlement of taxes</w:t>
      </w:r>
    </w:p>
    <w:p>
      <w:pPr>
        <w:spacing w:after="0" w:line="2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Forfeited</w:t>
      </w:r>
    </w:p>
    <w:p>
      <w:pPr>
        <w:spacing w:after="0" w:line="57"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8"/>
          <w:szCs w:val="18"/>
          <w:color w:val="auto"/>
        </w:rPr>
        <w:t>Unvested as of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1,936,307</w:t>
            </w:r>
          </w:p>
        </w:tc>
        <w:tc>
          <w:tcPr>
            <w:tcW w:w="7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1,006,623</w:t>
            </w:r>
          </w:p>
        </w:tc>
        <w:tc>
          <w:tcPr>
            <w:tcW w:w="7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(46,840)</w:t>
            </w:r>
          </w:p>
        </w:tc>
        <w:tc>
          <w:tcPr>
            <w:tcW w:w="7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r>
      <w:tr>
        <w:trPr>
          <w:trHeight w:val="229"/>
        </w:trPr>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w:t>
            </w:r>
          </w:p>
        </w:tc>
        <w:tc>
          <w:tcPr>
            <w:tcW w:w="76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r>
      <w:tr>
        <w:trPr>
          <w:trHeight w:val="234"/>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(127,378)</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r>
      <w:tr>
        <w:trPr>
          <w:trHeight w:val="222"/>
        </w:trPr>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2,742,780</w:t>
            </w:r>
          </w:p>
        </w:tc>
        <w:tc>
          <w:tcPr>
            <w:tcW w:w="7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w:t>
            </w:r>
          </w:p>
        </w:tc>
      </w:tr>
      <w:tr>
        <w:trPr>
          <w:trHeight w:val="20"/>
        </w:trPr>
        <w:tc>
          <w:tcPr>
            <w:tcW w:w="1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-2200910</wp:posOffset>
            </wp:positionH>
            <wp:positionV relativeFrom="paragraph">
              <wp:posOffset>-768350</wp:posOffset>
            </wp:positionV>
            <wp:extent cx="4391025"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91025" cy="14541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-477520</wp:posOffset>
            </wp:positionV>
            <wp:extent cx="439102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91025" cy="145415"/>
                    </a:xfrm>
                    <a:prstGeom prst="rect">
                      <a:avLst/>
                    </a:prstGeom>
                    <a:noFill/>
                  </pic:spPr>
                </pic:pic>
              </a:graphicData>
            </a:graphic>
          </wp:anchor>
        </w:drawing>
        <w:drawing>
          <wp:anchor simplePos="0" relativeHeight="251657728" behindDoc="1" locked="0" layoutInCell="0" allowOverlap="1">
            <wp:simplePos x="0" y="0"/>
            <wp:positionH relativeFrom="column">
              <wp:posOffset>-2200910</wp:posOffset>
            </wp:positionH>
            <wp:positionV relativeFrom="paragraph">
              <wp:posOffset>-187325</wp:posOffset>
            </wp:positionV>
            <wp:extent cx="4391025"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91025" cy="1708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720"/>
            <w:col w:w="5600"/>
          </w:cols>
          <w:pgMar w:left="320" w:top="1121"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unvested shares as of March 31, 2026, and changes during the three months ended March 31, 2026, is presented below.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33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0" w:type="dxa"/>
            <w:vAlign w:val="bottom"/>
          </w:tcPr>
          <w:p>
            <w:pPr>
              <w:spacing w:after="0"/>
              <w:rPr>
                <w:sz w:val="1"/>
                <w:szCs w:val="1"/>
                <w:color w:val="auto"/>
              </w:rPr>
            </w:pPr>
          </w:p>
        </w:tc>
      </w:tr>
      <w:tr>
        <w:trPr>
          <w:trHeight w:val="184"/>
        </w:trPr>
        <w:tc>
          <w:tcPr>
            <w:tcW w:w="338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Number of Units</w:t>
            </w:r>
          </w:p>
        </w:tc>
        <w:tc>
          <w:tcPr>
            <w:tcW w:w="178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21" w:right="339"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17"/>
          <w:szCs w:val="17"/>
          <w:color w:val="auto"/>
        </w:rPr>
        <w:t>Unvested as of December 31, 2025</w:t>
      </w:r>
    </w:p>
    <w:p>
      <w:pPr>
        <w:spacing w:after="0" w:line="3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Granted</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Vested</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Withheld for settlement of taxes</w:t>
      </w:r>
    </w:p>
    <w:p>
      <w:pPr>
        <w:spacing w:after="0" w:line="5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Unvested as of March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4,302,842</w:t>
            </w: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2,588,172</w:t>
            </w:r>
          </w:p>
        </w:tc>
        <w:tc>
          <w:tcPr>
            <w:tcW w:w="7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(1,313,326)</w:t>
            </w:r>
          </w:p>
        </w:tc>
        <w:tc>
          <w:tcPr>
            <w:tcW w:w="72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r>
      <w:tr>
        <w:trPr>
          <w:trHeight w:val="234"/>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(506,718)</w:t>
            </w:r>
          </w:p>
        </w:tc>
        <w:tc>
          <w:tcPr>
            <w:tcW w:w="7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3.03</w:t>
            </w:r>
          </w:p>
        </w:tc>
      </w:tr>
      <w:tr>
        <w:trPr>
          <w:trHeight w:val="222"/>
        </w:trPr>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5,070,970</w:t>
            </w:r>
          </w:p>
        </w:tc>
        <w:tc>
          <w:tcPr>
            <w:tcW w:w="7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2.59</w:t>
            </w:r>
          </w:p>
        </w:tc>
      </w:tr>
      <w:tr>
        <w:trPr>
          <w:trHeight w:val="20"/>
        </w:trPr>
        <w:tc>
          <w:tcPr>
            <w:tcW w:w="1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-622935</wp:posOffset>
            </wp:positionV>
            <wp:extent cx="433070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330700" cy="145415"/>
                    </a:xfrm>
                    <a:prstGeom prst="rect">
                      <a:avLst/>
                    </a:prstGeom>
                    <a:noFill/>
                  </pic:spPr>
                </pic:pic>
              </a:graphicData>
            </a:graphic>
          </wp:anchor>
        </w:drawing>
        <w:drawing>
          <wp:anchor simplePos="0" relativeHeight="251657728" behindDoc="1" locked="0" layoutInCell="0" allowOverlap="1">
            <wp:simplePos x="0" y="0"/>
            <wp:positionH relativeFrom="column">
              <wp:posOffset>-2149475</wp:posOffset>
            </wp:positionH>
            <wp:positionV relativeFrom="paragraph">
              <wp:posOffset>-332740</wp:posOffset>
            </wp:positionV>
            <wp:extent cx="433070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3070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720"/>
            <w:col w:w="5640"/>
          </w:cols>
          <w:pgMar w:left="320" w:top="1121" w:right="33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fair value of shares vested during the three months ended March 31, 2026 and 2025, was $6,015 and $4,241 respectively.</w:t>
      </w:r>
    </w:p>
    <w:p>
      <w:pPr>
        <w:spacing w:after="0" w:line="19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stock-based compensation expense for the above stock awards under the 2022 Plan as well as Parent Equity Awards is included in the selling, general and administrative expenses:</w:t>
      </w:r>
    </w:p>
    <w:p>
      <w:pPr>
        <w:spacing w:after="0" w:line="15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12700</wp:posOffset>
            </wp:positionV>
            <wp:extent cx="1879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79600" cy="8255"/>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Plan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Parent equity awards</w:t>
            </w: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Stock-based compensation expense related to unvested awards yet to be recognized as of March 31, 2026 totaled $18,514 and is expected to be recognized, on a weighted average basis, over 2.30 years.</w:t>
      </w:r>
    </w:p>
    <w:p>
      <w:pPr>
        <w:spacing w:after="0" w:line="118" w:lineRule="exact"/>
        <w:rPr>
          <w:sz w:val="20"/>
          <w:szCs w:val="20"/>
          <w:color w:val="auto"/>
        </w:rPr>
      </w:pPr>
    </w:p>
    <w:p>
      <w:pPr>
        <w:ind w:right="7520" w:firstLine="8"/>
        <w:spacing w:after="0" w:line="462" w:lineRule="auto"/>
        <w:tabs>
          <w:tab w:leader="none" w:pos="269"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Letters of Credit</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2026 and December 31, 2025, the Company was required to maintain standby letters of credit totaling $11,675 and $15,504, respectively, to support obligations of certain Company's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the total amount of lease payments on an undiscounted basis on our lease contracts as of March 31, 2026:</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80" w:type="dxa"/>
            <w:vAlign w:val="bottom"/>
          </w:tcPr>
          <w:p>
            <w:pPr>
              <w:spacing w:after="0"/>
              <w:rPr>
                <w:sz w:val="17"/>
                <w:szCs w:val="17"/>
                <w:color w:val="auto"/>
              </w:rPr>
            </w:pP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7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80" w:type="dxa"/>
            <w:vAlign w:val="bottom"/>
            <w:tcBorders>
              <w:bottom w:val="single" w:sz="8" w:color="auto"/>
            </w:tcBorders>
            <w:gridSpan w:val="2"/>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ending December 31,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w:t>
            </w:r>
          </w:p>
        </w:tc>
        <w:tc>
          <w:tcPr>
            <w:tcW w:w="0" w:type="dxa"/>
            <w:vAlign w:val="bottom"/>
          </w:tcPr>
          <w:p>
            <w:pPr>
              <w:spacing w:after="0"/>
              <w:rPr>
                <w:sz w:val="1"/>
                <w:szCs w:val="1"/>
                <w:color w:val="auto"/>
              </w:rPr>
            </w:pPr>
          </w:p>
        </w:tc>
      </w:tr>
      <w:tr>
        <w:trPr>
          <w:trHeight w:val="229"/>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9"/>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undiscounted cashflows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$24,628</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$27,379</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Guaranty</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March 30, 2026, Land2Gas LLC, a 50%-owned equity method investee, sold $22,926 of investment tax credits to Athene Annuity and Life Company and Athene Annuity Re II Ltd. for net proceeds of $21,550, of which the Company's 50% share was $10,775. Land2Gas LLC is obligated to return the purchase price and reimburse any taxes, interest, and penalties if the credits are disallowed or recaptured.</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Company and an unaffiliated third party (together, the "Guarantors") each guarantee 50% of these obligations and have entered into a cross-indemnification agreement allocating losses attributable to each party's respective causation. The guarantees include credit support provisions whereby, upon specified credit-related events — including either Guarantor's net worth falling below defined thresholds — the applicable Guarantor may be required to provide letters of credit or cash collateral to the buyers.</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maximum potential exposure represents its 50% proportionate share of the purchase price repayment and related tax indemnification obligations. The Company evaluated these arrangements under ASC 460 and ASC 450 and determined that no material liability was required to be recognized as of March 31,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Contractor Claims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California’s Central Valley. In December 2021, a second indirect subsidiary of the Company, VS Digester, LLC (“VS”) entered into a nearly identical EPC Contract (collectively, the "EPC Contracts") for the design and construction of a second facility, also in California’s Central Valley. CEI’s performance under both of the EPC Contracts is fully bonded by licensed sureties.</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CEI has submitted a series of change order requests seeking to increase the EPC Contract Price by approximately $14,000, per project, primarily due to: (1) modifications to CEI’s design drawings which are required to meet its contracted performance guaranties, and (2) a default by one of CEI’s major equipment manufacturers. The Company disputes the vast majority of the change order requests.</w:t>
      </w:r>
    </w:p>
    <w:p>
      <w:pPr>
        <w:spacing w:after="0" w:line="1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January 2024, the Company filed a civil lawsuit captioned, MD Digester, LLC. et. al. vs. VEC Partners, Inc. et. al.; with the California Superior Court, County of San Joaquin; Action No. STK- CV-UCC-2024-0000185 and commenced a related arbitration proceeding in order to obtain a formal determination on the claims; American Arbitration Association ("AAA") Case No. 01-24-0000-0775. The Superior Court Action has been stayed, pending the conclusion of the arbitration. In the meantime, the AAA has empaneled three experienced arbitrators and has set the hearing date for the matter, currently scheduled in May 2027.</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EPC Agreement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performance bond surety, Atlantic Specialty Insurance Company of the termination and demanded that it perform under the bond. Atlantic has denied the claim.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21" w:right="339" w:bottom="1440" w:gutter="0" w:footer="0" w:header="0"/>
        </w:sectPr>
      </w:pPr>
    </w:p>
    <w:bookmarkStart w:id="29" w:name="page30"/>
    <w:bookmarkEnd w:id="29"/>
    <w:p>
      <w:pPr>
        <w:jc w:val="both"/>
        <w:spacing w:after="0" w:line="265" w:lineRule="auto"/>
        <w:rPr>
          <w:sz w:val="20"/>
          <w:szCs w:val="20"/>
          <w:color w:val="auto"/>
        </w:rPr>
      </w:pPr>
      <w:r>
        <w:rPr>
          <w:rFonts w:ascii="Times New Roman" w:cs="Times New Roman" w:eastAsia="Times New Roman" w:hAnsi="Times New Roman"/>
          <w:sz w:val="18"/>
          <w:szCs w:val="18"/>
          <w:color w:val="auto"/>
        </w:rPr>
        <w:t>Similarly, on July 11, 2024, VS issued a Notice of Default and Demand to Cure, advising CEI of its defaults and giving it an opportunity to cure. CEI failed to do so, and on August 27, 2024, VS terminated CEI for default. VS has notified CEI’s bond surety, also Atlantic, of the second termination and demanded that it perform under the bond. The surety has denied the claim.</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a result of CEI’s default and Atlantic’s denial of the claims, MD and VS have amended their claims in the AAA arbitration to include breach of contract claims against CEI and breach of performance bond claims against Atlantic (who was formally joined into the arbitration on November 20, 2024) in the AAA Arbitration with CEI.</w:t>
      </w:r>
    </w:p>
    <w:p>
      <w:pPr>
        <w:spacing w:after="0" w:line="1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CEI has since recorded mechanic’s liens against each of the projects for 4,948 (MD) and 1,984 (VS), and recently filed actions with the Stanislaus and San Joaquin County Superior Courts, respectively, to enforce their liens. It is expected that these claims will be stayed and consolidated with the pending arbitration proceeding.</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AAA proceeding is scheduled for evidentiary hearing from May 3 through June 7, 2027. Based upon the deposition testimony and the expert reports that were exchanged on February 23, 2026, the Company reasonably believes that it will demonstrate that the terminations were justified and for cause. Issues related to damages, i.e., the cost to complete the projects, are evolving and it is premature to offer an opinion on the strength of this component of the case.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Subcontractor Lien Claims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above-referenced action and arbitration, several of CEI’s subcontractors have recorded mechanic’s liens against the MD and VS projects for 3,141, which the Company is obligated to defend and indemnify the dairy owners from and against. Several of liens were untimely and have been released voluntarily by the claimants, others were released through the recording of release bonds by Company.</w:t>
      </w:r>
    </w:p>
    <w:p>
      <w:pPr>
        <w:spacing w:after="0" w:line="13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NWP Industries, L.P. ("NWP") and Argo Sales ("Argo") claims have been settled and will be dismissed as to MD and VS when the settlement payments have been fully funded.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Former Development Partner/Construction Manager</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2024, the Company filed an action in the Orange County Superior Court (Case No. 30- 2024-01415510-CU-BC-CXC) against its former development partner and construction manager, Sierra Renewable Organics Management, LLC, as well as its principal (Ethan Werner) and affiliated engineering firm (CH Four Biogas) for Breach of Contract, Indemnity, Declaratory Relief, Intentional Misrepresentation and Negligent Misrepresentation relating to the design and development of the Projects. The defendants have recently filed an answer and certain cross claims. Discovery in the case is now underway.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our unaudited condensed consolidated financial statements as of March 31, 2026 and for the three months ended March 31, 2026 and 2025, and the audited consolidated financial statements and notes thereto included in the Company's Annual Report on Form 10-K for the fiscal year ended December 31, 2025, as filed with the SEC on March 16, 2026. In addition to historical information, this discussion and analysis includes certain forward-looking statements which reflect our current expectations. The Company's actual results may materially differ from these forward-looking statements.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Opal Fuels Inc. (the "Company", "Opal", "we", "our" and "us") is a vertically integrated leader in the capture and conversion of biogas into low carbon intensity Renewable Power and RNG. We are also a leader in the marketing and distribution of RNG to heavy duty trucking and other hard to de-carbonize industrial sectors. RNG is chemically identical to the natural gas used for cooking, heating homes and fueling natural gas engines, with one significant difference: RNG is produced by recycling methane emissions created by decaying organic waste as opposed to natural gas which is a fossil fuel pumped from the ground. We have participated in the biogas-to-energy industry for over 20 years.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Biogas is generated by microbes as they break down organic matter in the absence of oxygen, and comprised of non-fossil waste gas, with high concentrations of methane, which is the primary component of RNG and the source for combustion utilized by Renewable Power plants to generate electricity. Biogas can not only be collected and processed to remove impurities for use as RNG (a form of high-Btu fuel) and injected into existing natural gas pipelines as it is fully interchangeable with fossil natural gas, but partially treated biogas can be used directly in heating applications (as a form of medium-Btu fuel) or in the production of Renewable Power. Our principal sources of biogas are (i) LFG, which is produced by the decomposition of organic waste at landfills, and (ii) dairy manure, which is processed through anaerobic digesters to produce the biogas.</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also design, develop, construct, operate and service Fueling Stations for trucking fleets across the country that use natural gas to displace diesel as their transportation fuel. We have participated in the alternative vehicle fuels industry for over a decade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assumptions that affect the reported amounts of assets and liabilities, revenues, costs and expenses and related disclosure of contingent assets and liabilities at the date of our financial statements. Actual results may differ from these estimates under different assumptions and conditions.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Critical accounting policies are those that reflect significant judgments of uncertainties and potentially result in materially different results under different assumptions and conditions. For a detailed description of all our accounting policies, see Note </w:t>
      </w:r>
      <w:r>
        <w:rPr>
          <w:rFonts w:ascii="Times New Roman" w:cs="Times New Roman" w:eastAsia="Times New Roman" w:hAnsi="Times New Roman"/>
          <w:sz w:val="18"/>
          <w:szCs w:val="18"/>
          <w:i w:val="1"/>
          <w:iCs w:val="1"/>
          <w:color w:val="auto"/>
        </w:rPr>
        <w:t>1. Summary of Significant Accounting Policies</w:t>
      </w:r>
      <w:r>
        <w:rPr>
          <w:rFonts w:ascii="Times New Roman" w:cs="Times New Roman" w:eastAsia="Times New Roman" w:hAnsi="Times New Roman"/>
          <w:sz w:val="18"/>
          <w:szCs w:val="18"/>
          <w:color w:val="auto"/>
        </w:rPr>
        <w:t>, to our condensed consolidated financial statements included herein and the section titled “Critical Accounting Policies and Estimates” contained in Part II, Item 7 of our Annual Report on Form 10-K for the year ended December 31, 2025. There have been no material changes to our critical accounting policies since our Annual Report on Form 10-K for the year ended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and Trends Influencing our Results of Operations</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principal factors affecting our results of operations and financial condition are the markets for RNG, Renewable Power, and associated Environmental Attributes, access to suitable biogas production resources, the regulatory environment of our industry, and the seasonality of demand and pricing for our products. Additional factors and trends affecting our business are discussed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within our Annual Report on Form 10-K for the year ended December 31, 2025.</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color w:val="auto"/>
        </w:rPr>
        <w:t>Market Demand for RNG</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RINs in accordance with the mandates established by the Energy Independence and Security Act of 2007. In June 2023, the EPA set RVOs for 2023 through 2025 via a new Set rule. This three year RVO is expected to reduce volatility in RIN pricing for the associated period. On the state level, the economics of RNG are enhanced by low-carbon fuel initiatives, particularly well-established programs in California, Washington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spacing w:after="0" w:line="14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Transportation, including heavy-duty trucking, generates approximately 30% of overall carbon dioxide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also exposed to the commodity prices of natural gas and diesel, which serve as alternative fuel for RNG and therefore impact the demand for RNG.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 Markets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also generate revenues from sales of Renewable Power generated by our biogas-to-Renewable Power projects, and associated RECs. RECs exist because of legal and governmental regulatory requirements in Europe and the United States, and a change in law or in governmental policies concerning Renewable Power, LFG, or RECs could affect the market for, and the pricing of, such power and credits.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and associated RECs, together with the revenue opportunities and conversion costs associated with converting our LFG sites to RNG production, could have a significant impact on our future profitability.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landscape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on the demand for our products. For more information, see our risk factor titled </w:t>
      </w:r>
      <w:r>
        <w:rPr>
          <w:rFonts w:ascii="Times New Roman" w:cs="Times New Roman" w:eastAsia="Times New Roman" w:hAnsi="Times New Roman"/>
          <w:sz w:val="18"/>
          <w:szCs w:val="18"/>
          <w:i w:val="1"/>
          <w:iCs w:val="1"/>
          <w:color w:val="auto"/>
        </w:rPr>
        <w:t>"The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of our business depends upon tax and other government incentives for the generation of RNG and Renewable Power, any of which could change at any time and such changes may negatively impact our growth strategy." </w:t>
      </w:r>
      <w:r>
        <w:rPr>
          <w:rFonts w:ascii="Times New Roman" w:cs="Times New Roman" w:eastAsia="Times New Roman" w:hAnsi="Times New Roman"/>
          <w:sz w:val="18"/>
          <w:szCs w:val="18"/>
          <w:color w:val="auto"/>
        </w:rPr>
        <w:t>within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 Government regulations have become increasingly stringent and complying with changes in regulations may result in significant additional operating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We generate revenues from the sale of RNG Fuel, Renewable Power, and associated Environmental Attributes, as well as from the construction, fuel supply, and servicing of Fueling Stations for commercial transportation vehicles using</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natural gas to power their fleets. These revenue sources are presented in our consolidated statements of operations under the following captions:</w:t>
      </w:r>
    </w:p>
    <w:p>
      <w:pPr>
        <w:spacing w:after="0" w:line="193" w:lineRule="exact"/>
        <w:rPr>
          <w:sz w:val="20"/>
          <w:szCs w:val="20"/>
          <w:color w:val="auto"/>
        </w:rPr>
      </w:pPr>
    </w:p>
    <w:p>
      <w:pPr>
        <w:ind w:left="340" w:hanging="332"/>
        <w:spacing w:after="0" w:line="285"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The RNG Fuel segment includes RNG supply as well as the associated generation and sale of commodity natural gas and environmental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credits, and consists of:</w:t>
      </w:r>
    </w:p>
    <w:p>
      <w:pPr>
        <w:spacing w:after="0" w:line="23" w:lineRule="exact"/>
        <w:rPr>
          <w:rFonts w:ascii="Times New Roman" w:cs="Times New Roman" w:eastAsia="Times New Roman" w:hAnsi="Times New Roman"/>
          <w:sz w:val="18"/>
          <w:szCs w:val="18"/>
          <w:color w:val="auto"/>
        </w:rPr>
      </w:pPr>
    </w:p>
    <w:p>
      <w:pPr>
        <w:ind w:left="660" w:hanging="330"/>
        <w:spacing w:after="0" w:line="280" w:lineRule="auto"/>
        <w:tabs>
          <w:tab w:leader="none" w:pos="65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Production Facilities – the design, development, construction, maintenance and operation of facilities that convert raw biogas into pipeline quality natural gas; and</w:t>
      </w:r>
    </w:p>
    <w:p>
      <w:pPr>
        <w:spacing w:after="0" w:line="4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in both operating and construction projects.</w:t>
      </w:r>
    </w:p>
    <w:p>
      <w:pPr>
        <w:spacing w:after="0" w:line="98" w:lineRule="exact"/>
        <w:rPr>
          <w:rFonts w:ascii="Times New Roman" w:cs="Times New Roman" w:eastAsia="Times New Roman" w:hAnsi="Times New Roman"/>
          <w:sz w:val="18"/>
          <w:szCs w:val="18"/>
          <w:color w:val="auto"/>
        </w:rPr>
      </w:pPr>
    </w:p>
    <w:p>
      <w:pPr>
        <w:ind w:left="340" w:hanging="332"/>
        <w:spacing w:after="0" w:line="285"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Through the Fuel Station Services segment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provide construction and maintenance services to third-party owners of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Fueling Stations and perform fuel dispensing activities including generation and minting of environmental credits. This segment includes:</w:t>
      </w:r>
    </w:p>
    <w:p>
      <w:pPr>
        <w:spacing w:after="0" w:line="23"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division that builds compact fueling systems and defueling systems;</w:t>
      </w:r>
    </w:p>
    <w:p>
      <w:pPr>
        <w:spacing w:after="0" w:line="102"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Design/Build contracts where the Company serves as general contractor for construction of Fueling Stations, typically structured as Guarantee Maximum Price or fixed priced contracts for customers, generally lasting less than one year;</w:t>
      </w:r>
    </w:p>
    <w:p>
      <w:pPr>
        <w:spacing w:after="0" w:line="41"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and maintenance contracts for RNG/CNG Fueling Stations; and</w:t>
      </w:r>
    </w:p>
    <w:p>
      <w:pPr>
        <w:spacing w:after="0" w:line="88" w:lineRule="exact"/>
        <w:rPr>
          <w:rFonts w:ascii="Times New Roman" w:cs="Times New Roman" w:eastAsia="Times New Roman" w:hAnsi="Times New Roman"/>
          <w:sz w:val="18"/>
          <w:szCs w:val="18"/>
          <w:color w:val="auto"/>
        </w:rPr>
      </w:pPr>
    </w:p>
    <w:p>
      <w:pPr>
        <w:ind w:left="660" w:right="20" w:hanging="330"/>
        <w:spacing w:after="0" w:line="280" w:lineRule="auto"/>
        <w:tabs>
          <w:tab w:leader="none" w:pos="67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RNG and CNG Fuel Dispensing Stations - This includes both the dispensing (or sale) of RNG, CNG, and environmental credit generation and monetization. We operate Fueling Stations that dispense both CNG and RNG fuel for vehicles.</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67"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Portfolio. </w:t>
      </w:r>
      <w:r>
        <w:rPr>
          <w:rFonts w:ascii="Times New Roman" w:cs="Times New Roman" w:eastAsia="Times New Roman" w:hAnsi="Times New Roman"/>
          <w:sz w:val="18"/>
          <w:szCs w:val="18"/>
          <w:color w:val="auto"/>
        </w:rPr>
        <w:t>The Renewable Power segment generates Renewable Power and associated Environmental Attributes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combustion of biogas from landfills which is then sold to public utilities throughout the United States. Please see </w:t>
      </w:r>
      <w:r>
        <w:rPr>
          <w:rFonts w:ascii="Times New Roman" w:cs="Times New Roman" w:eastAsia="Times New Roman" w:hAnsi="Times New Roman"/>
          <w:sz w:val="18"/>
          <w:szCs w:val="18"/>
          <w:i w:val="1"/>
          <w:iCs w:val="1"/>
          <w:color w:val="auto"/>
        </w:rPr>
        <w:t>Note 7. Reportable Segments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Geographic Information </w:t>
      </w:r>
      <w:r>
        <w:rPr>
          <w:rFonts w:ascii="Times New Roman" w:cs="Times New Roman" w:eastAsia="Times New Roman" w:hAnsi="Times New Roman"/>
          <w:sz w:val="18"/>
          <w:szCs w:val="18"/>
          <w:color w:val="auto"/>
        </w:rPr>
        <w:t>to our condensed consolidated financial statements for additional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of sales associated with each revenue category are as follows:</w:t>
      </w:r>
    </w:p>
    <w:p>
      <w:pPr>
        <w:spacing w:after="0" w:line="193" w:lineRule="exact"/>
        <w:rPr>
          <w:sz w:val="20"/>
          <w:szCs w:val="20"/>
          <w:color w:val="auto"/>
        </w:rPr>
      </w:pPr>
    </w:p>
    <w:p>
      <w:pPr>
        <w:ind w:left="340" w:hanging="332"/>
        <w:spacing w:after="0" w:line="285"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w:t>
      </w:r>
      <w:r>
        <w:rPr>
          <w:rFonts w:ascii="Times New Roman" w:cs="Times New Roman" w:eastAsia="Times New Roman" w:hAnsi="Times New Roman"/>
          <w:sz w:val="18"/>
          <w:szCs w:val="18"/>
          <w:color w:val="auto"/>
        </w:rPr>
        <w:t>Includes royalty payments to biogas site owners for the biogas we use; service provider costs; salaries and other indirect expenses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production process, utilities, transportation, storage, and insurance; and depreciation of production facilities.</w:t>
      </w:r>
    </w:p>
    <w:p>
      <w:pPr>
        <w:spacing w:after="0" w:line="1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Includes equipment supplier costs; service provider costs; and salaries and other indirect expenses.</w:t>
      </w:r>
    </w:p>
    <w:p>
      <w:pPr>
        <w:spacing w:after="0" w:line="102" w:lineRule="exact"/>
        <w:rPr>
          <w:rFonts w:ascii="Times New Roman" w:cs="Times New Roman" w:eastAsia="Times New Roman" w:hAnsi="Times New Roman"/>
          <w:sz w:val="18"/>
          <w:szCs w:val="18"/>
          <w:color w:val="auto"/>
        </w:rPr>
      </w:pPr>
    </w:p>
    <w:p>
      <w:pPr>
        <w:ind w:left="340" w:hanging="332"/>
        <w:spacing w:after="0" w:line="285"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w:t>
      </w:r>
      <w:r>
        <w:rPr>
          <w:rFonts w:ascii="Times New Roman" w:cs="Times New Roman" w:eastAsia="Times New Roman" w:hAnsi="Times New Roman"/>
          <w:sz w:val="18"/>
          <w:szCs w:val="18"/>
          <w:color w:val="auto"/>
        </w:rPr>
        <w:t>Includes land usage costs; service provider costs; salaries and other indirect expenses related to the production process; utilities;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depreciation of production facilities.</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Project development and startup costs includes certain development costs such as legal fees, consulting fees for joint venture structuring, royalties to the landfill owner, fines, settlements, site lease expenses and certification costs on our RNG projects under construction. Additionally, we also incur certain expenses on new RNG projects during the first two years that such projects are operational, such as virtual pipeline costs (incurred until a physical interconnect pipeline is built) and ramp up costs incurred during the certification period.</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Selling, general, and administrative expense consists of costs involving corporate overhead functions, including the cost of services provided to us by an affiliate, and marketing costs.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 and associated credit risk</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accounts receivable, net by customers that equal or exceed 10% of the consolidated accounts receivable, net as of March 31, 2026 and December 31, 2025. No other single customer accounted for 10% or greater of our consolidated accounts receivables in these periods: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650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7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2"/>
        </w:trPr>
        <w:tc>
          <w:tcPr>
            <w:tcW w:w="65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Customer A </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35.9 %</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r>
      <w:tr>
        <w:trPr>
          <w:trHeight w:val="22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9"/>
        </w:trPr>
        <w:tc>
          <w:tcPr>
            <w:tcW w:w="8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7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3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125" w:lineRule="exact"/>
        <w:rPr>
          <w:sz w:val="20"/>
          <w:szCs w:val="20"/>
          <w:color w:val="auto"/>
        </w:rPr>
      </w:pPr>
    </w:p>
    <w:p>
      <w:pPr>
        <w:ind w:right="2360" w:firstLine="8"/>
        <w:spacing w:after="0" w:line="355" w:lineRule="auto"/>
        <w:tabs>
          <w:tab w:leader="none" w:pos="165" w:val="left"/>
        </w:tabs>
        <w:numPr>
          <w:ilvl w:val="0"/>
          <w:numId w:val="1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Relates to sales of Environmental Attributes under Purchase and Sale agreements and Renewable Power sale agreements. *Less than 10%</w:t>
      </w:r>
    </w:p>
    <w:p>
      <w:pPr>
        <w:spacing w:after="0" w:line="4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The following table summarizes the percentage of consolidated revenues from customers that equal 10% or greater of the consolidated revenues in the period. No other single customer accounted for more than 10% of consolidated revenues in these periods:</w:t>
      </w:r>
    </w:p>
    <w:p>
      <w:pPr>
        <w:spacing w:after="0" w:line="172"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6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9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39.0 %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42.9 %</w:t>
            </w:r>
          </w:p>
        </w:tc>
      </w:tr>
      <w:tr>
        <w:trPr>
          <w:trHeight w:val="234"/>
        </w:trPr>
        <w:tc>
          <w:tcPr>
            <w:tcW w:w="8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March 31, 2026 and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data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operational data achieved for the three months ended March 31, 2026 and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 Summary</w:t>
      </w:r>
    </w:p>
    <w:p>
      <w:pPr>
        <w:spacing w:after="0" w:line="23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2"/>
          </w:tcPr>
          <w:p>
            <w:pPr>
              <w:ind w:left="87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2"/>
        </w:trPr>
        <w:tc>
          <w:tcPr>
            <w:tcW w:w="8180" w:type="dxa"/>
            <w:vAlign w:val="bottom"/>
            <w:tcBorders>
              <w:top w:val="single" w:sz="8" w:color="CCEEFF"/>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w:t>
            </w:r>
          </w:p>
        </w:tc>
        <w:tc>
          <w:tcPr>
            <w:tcW w:w="10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22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92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72 %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922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RNG Fuel volume produced (Million MMBtus) </w:t>
            </w:r>
            <w:r>
              <w:rPr>
                <w:rFonts w:ascii="Times New Roman" w:cs="Times New Roman" w:eastAsia="Times New Roman" w:hAnsi="Times New Roman"/>
                <w:sz w:val="23"/>
                <w:szCs w:val="23"/>
                <w:color w:val="auto"/>
                <w:vertAlign w:val="superscript"/>
              </w:rPr>
              <w:t>(3)</w:t>
            </w: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922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7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76 %</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251" w:lineRule="exact"/>
        <w:rPr>
          <w:sz w:val="20"/>
          <w:szCs w:val="20"/>
          <w:color w:val="auto"/>
        </w:rPr>
      </w:pPr>
    </w:p>
    <w:p>
      <w:pPr>
        <w:jc w:val="both"/>
        <w:ind w:left="160" w:hanging="152"/>
        <w:spacing w:after="0" w:line="358" w:lineRule="auto"/>
        <w:tabs>
          <w:tab w:leader="none" w:pos="177" w:val="left"/>
        </w:tabs>
        <w:numPr>
          <w:ilvl w:val="0"/>
          <w:numId w:val="2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Design Capacity for RNG facilities is measured as the volume of feedstock biogas that the facility is capable of accepting at the inlet and processing during the associated period. Design Capacity is presented as our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5" w:lineRule="exact"/>
        <w:rPr>
          <w:rFonts w:ascii="Times New Roman" w:cs="Times New Roman" w:eastAsia="Times New Roman" w:hAnsi="Times New Roman"/>
          <w:sz w:val="21"/>
          <w:szCs w:val="21"/>
          <w:color w:val="auto"/>
          <w:vertAlign w:val="superscript"/>
        </w:rPr>
      </w:pPr>
    </w:p>
    <w:p>
      <w:pPr>
        <w:jc w:val="both"/>
        <w:ind w:left="160" w:hanging="152"/>
        <w:spacing w:after="0" w:line="325" w:lineRule="auto"/>
        <w:tabs>
          <w:tab w:leader="none" w:pos="163"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LFG collection system used to recover the LFG. The Design Capacity for each facility will typically be correlated to the amount of LFG expected to be generated by the landfill during the term of the related gas rights agreement. We expect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ind w:left="180" w:hanging="172"/>
        <w:spacing w:after="0"/>
        <w:tabs>
          <w:tab w:leader="none" w:pos="180" w:val="left"/>
        </w:tabs>
        <w:numPr>
          <w:ilvl w:val="0"/>
          <w:numId w:val="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Excludes Sunoma and Biotown</w:t>
      </w:r>
    </w:p>
    <w:p>
      <w:pPr>
        <w:spacing w:after="0" w:line="55" w:lineRule="exact"/>
        <w:rPr>
          <w:rFonts w:ascii="Times New Roman" w:cs="Times New Roman" w:eastAsia="Times New Roman" w:hAnsi="Times New Roman"/>
          <w:sz w:val="22"/>
          <w:szCs w:val="22"/>
          <w:color w:val="auto"/>
          <w:vertAlign w:val="superscript"/>
        </w:rPr>
      </w:pPr>
    </w:p>
    <w:p>
      <w:pPr>
        <w:jc w:val="both"/>
        <w:ind w:left="160" w:hanging="152"/>
        <w:spacing w:after="0" w:line="227" w:lineRule="auto"/>
        <w:tabs>
          <w:tab w:leader="none" w:pos="206"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Utilization of Inlet Gas is measured as RNG Fuel Volume Produced divided by the Volume of Inlet Gas. Utilization of Inlet Gas varies over time depending on availability and efficiency of the facility and the quality of LFG (i.e., concentrations of methane, oxygen, nitrogen, and other gases). We generally expect Utilization of Inlet Gas to be in the range of 80% to 90%. Excludes Sunoma and Biotown.</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Renewable Power Capacity and Utilization Summary</w:t>
      </w:r>
    </w:p>
    <w:p>
      <w:pPr>
        <w:spacing w:after="0" w:line="23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200" w:type="dxa"/>
            <w:vAlign w:val="bottom"/>
            <w:gridSpan w:val="2"/>
          </w:tcPr>
          <w:p>
            <w:pPr>
              <w:ind w:left="87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0" w:type="dxa"/>
            <w:vAlign w:val="bottom"/>
          </w:tcPr>
          <w:p>
            <w:pPr>
              <w:spacing w:after="0"/>
              <w:rPr>
                <w:sz w:val="21"/>
                <w:szCs w:val="21"/>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9"/>
        </w:trPr>
        <w:tc>
          <w:tcPr>
            <w:tcW w:w="818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Nameplate Capacity (MW per hour)</w:t>
            </w:r>
            <w:r>
              <w:rPr>
                <w:rFonts w:ascii="Times New Roman" w:cs="Times New Roman" w:eastAsia="Times New Roman" w:hAnsi="Times New Roman"/>
                <w:sz w:val="23"/>
                <w:szCs w:val="23"/>
                <w:color w:val="auto"/>
                <w:vertAlign w:val="superscript"/>
              </w:rPr>
              <w:t>(1)</w:t>
            </w:r>
          </w:p>
        </w:tc>
        <w:tc>
          <w:tcPr>
            <w:tcW w:w="10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105.8</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29"/>
        </w:trPr>
        <w:tc>
          <w:tcPr>
            <w:tcW w:w="920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Nameplate Capacity for the period (Millions MWh) </w:t>
            </w:r>
            <w:r>
              <w:rPr>
                <w:rFonts w:ascii="Times New Roman" w:cs="Times New Roman" w:eastAsia="Times New Roman" w:hAnsi="Times New Roman"/>
                <w:sz w:val="23"/>
                <w:szCs w:val="23"/>
                <w:color w:val="auto"/>
                <w:vertAlign w:val="superscript"/>
              </w:rPr>
              <w:t>(1)</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229"/>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produced ( Millions MWh)</w:t>
            </w:r>
          </w:p>
        </w:tc>
        <w:tc>
          <w:tcPr>
            <w:tcW w:w="8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0.09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30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Design Capacity Utilization (%) </w:t>
            </w:r>
            <w:r>
              <w:rPr>
                <w:rFonts w:ascii="Times New Roman" w:cs="Times New Roman" w:eastAsia="Times New Roman" w:hAnsi="Times New Roman"/>
                <w:sz w:val="23"/>
                <w:szCs w:val="23"/>
                <w:color w:val="auto"/>
                <w:vertAlign w:val="superscript"/>
              </w:rPr>
              <w:t>(2)</w:t>
            </w: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39 %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174" w:lineRule="exact"/>
        <w:rPr>
          <w:sz w:val="20"/>
          <w:szCs w:val="20"/>
          <w:color w:val="auto"/>
        </w:rPr>
      </w:pPr>
    </w:p>
    <w:p>
      <w:pPr>
        <w:jc w:val="both"/>
        <w:ind w:left="160" w:hanging="152"/>
        <w:spacing w:after="0" w:line="278" w:lineRule="auto"/>
        <w:tabs>
          <w:tab w:leader="none" w:pos="163" w:val="left"/>
        </w:tabs>
        <w:numPr>
          <w:ilvl w:val="0"/>
          <w:numId w:val="2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w:t>
      </w:r>
    </w:p>
    <w:p>
      <w:pPr>
        <w:spacing w:after="0" w:line="6" w:lineRule="exact"/>
        <w:rPr>
          <w:rFonts w:ascii="Times New Roman" w:cs="Times New Roman" w:eastAsia="Times New Roman" w:hAnsi="Times New Roman"/>
          <w:sz w:val="20"/>
          <w:szCs w:val="20"/>
          <w:color w:val="auto"/>
          <w:vertAlign w:val="superscript"/>
        </w:rPr>
      </w:pPr>
    </w:p>
    <w:p>
      <w:pPr>
        <w:jc w:val="both"/>
        <w:ind w:left="160" w:hanging="152"/>
        <w:spacing w:after="0" w:line="273" w:lineRule="auto"/>
        <w:tabs>
          <w:tab w:leader="none" w:pos="177"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our Design Capacity Utilization is expected to remain below 50%.</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RNG Projects</w:t>
            </w:r>
          </w:p>
        </w:tc>
        <w:tc>
          <w:tcPr>
            <w:tcW w:w="9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0"/>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Below is a table setting forth the RNG projects in operation and construction in our portfolio as of March 31, 2026:</w:t>
            </w: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6460" w:type="dxa"/>
            <w:vAlign w:val="bottom"/>
          </w:tcPr>
          <w:p>
            <w:pPr>
              <w:spacing w:after="0"/>
              <w:rPr>
                <w:sz w:val="24"/>
                <w:szCs w:val="24"/>
                <w:color w:val="auto"/>
              </w:rPr>
            </w:pP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OPAL's Share of Design</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Source of</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60" w:type="dxa"/>
            <w:vAlign w:val="bottom"/>
          </w:tcPr>
          <w:p>
            <w:pPr>
              <w:spacing w:after="0"/>
              <w:rPr>
                <w:sz w:val="15"/>
                <w:szCs w:val="15"/>
                <w:color w:val="auto"/>
              </w:rPr>
            </w:pPr>
          </w:p>
        </w:tc>
        <w:tc>
          <w:tcPr>
            <w:tcW w:w="2340" w:type="dxa"/>
            <w:vAlign w:val="bottom"/>
            <w:gridSpan w:val="2"/>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9"/>
              </w:rPr>
              <w:t>Capacity (MMbtus per year)</w:t>
            </w:r>
          </w:p>
        </w:tc>
        <w:tc>
          <w:tcPr>
            <w:tcW w:w="1120" w:type="dxa"/>
            <w:vAlign w:val="bottom"/>
            <w:vMerge w:val="continue"/>
          </w:tcPr>
          <w:p>
            <w:pPr>
              <w:spacing w:after="0"/>
              <w:rPr>
                <w:sz w:val="15"/>
                <w:szCs w:val="15"/>
                <w:color w:val="auto"/>
              </w:rPr>
            </w:pPr>
          </w:p>
        </w:tc>
        <w:tc>
          <w:tcPr>
            <w:tcW w:w="13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175"/>
        </w:trPr>
        <w:tc>
          <w:tcPr>
            <w:tcW w:w="7840" w:type="dxa"/>
            <w:vAlign w:val="bottom"/>
            <w:gridSpan w:val="2"/>
          </w:tcPr>
          <w:p>
            <w:pPr>
              <w:jc w:val="center"/>
              <w:ind w:left="7313"/>
              <w:spacing w:after="0"/>
              <w:rPr>
                <w:sz w:val="20"/>
                <w:szCs w:val="20"/>
                <w:color w:val="auto"/>
              </w:rPr>
            </w:pPr>
            <w:r>
              <w:rPr>
                <w:rFonts w:ascii="Times New Roman" w:cs="Times New Roman" w:eastAsia="Times New Roman" w:hAnsi="Times New Roman"/>
                <w:sz w:val="12"/>
                <w:szCs w:val="12"/>
                <w:b w:val="1"/>
                <w:bCs w:val="1"/>
                <w:color w:val="auto"/>
                <w:w w:val="85"/>
              </w:rPr>
              <w:t>(1)</w:t>
            </w:r>
          </w:p>
        </w:tc>
        <w:tc>
          <w:tcPr>
            <w:tcW w:w="960" w:type="dxa"/>
            <w:vAlign w:val="bottom"/>
          </w:tcPr>
          <w:p>
            <w:pPr>
              <w:spacing w:after="0"/>
              <w:rPr>
                <w:sz w:val="15"/>
                <w:szCs w:val="15"/>
                <w:color w:val="auto"/>
              </w:rPr>
            </w:pPr>
          </w:p>
        </w:tc>
        <w:tc>
          <w:tcPr>
            <w:tcW w:w="112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b w:val="1"/>
                <w:bCs w:val="1"/>
                <w:color w:val="auto"/>
                <w:w w:val="97"/>
              </w:rPr>
              <w:t>Biogas</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Operation:</w:t>
            </w:r>
          </w:p>
        </w:tc>
        <w:tc>
          <w:tcPr>
            <w:tcW w:w="13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Greentree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Imperial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1,061,712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Emerald </w:t>
            </w:r>
            <w:r>
              <w:rPr>
                <w:rFonts w:ascii="Times New Roman" w:cs="Times New Roman" w:eastAsia="Times New Roman" w:hAnsi="Times New Roman"/>
                <w:sz w:val="23"/>
                <w:szCs w:val="23"/>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1,327,140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Sapphire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796,284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River</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Noble Road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464,499</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Pine Bend </w:t>
            </w:r>
            <w:r>
              <w:rPr>
                <w:rFonts w:ascii="Times New Roman" w:cs="Times New Roman" w:eastAsia="Times New Roman" w:hAnsi="Times New Roman"/>
                <w:sz w:val="23"/>
                <w:szCs w:val="23"/>
                <w:color w:val="auto"/>
                <w:vertAlign w:val="superscript"/>
              </w:rPr>
              <w:t>(2)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424,685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Biotown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Dairy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Sunoma </w:t>
            </w:r>
            <w:r>
              <w:rPr>
                <w:rFonts w:ascii="Times New Roman" w:cs="Times New Roman" w:eastAsia="Times New Roman" w:hAnsi="Times New Roman"/>
                <w:sz w:val="23"/>
                <w:szCs w:val="23"/>
                <w:color w:val="auto"/>
                <w:vertAlign w:val="superscript"/>
              </w:rPr>
              <w:t>(3)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176,297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Dairy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Prince William</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1,725,282</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Polk County</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1,060,000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Atlantic </w:t>
            </w:r>
            <w:r>
              <w:rPr>
                <w:rFonts w:ascii="Times New Roman" w:cs="Times New Roman" w:eastAsia="Times New Roman" w:hAnsi="Times New Roman"/>
                <w:sz w:val="23"/>
                <w:szCs w:val="23"/>
                <w:color w:val="auto"/>
                <w:vertAlign w:val="superscript"/>
              </w:rPr>
              <w:t>(2)</w:t>
            </w:r>
          </w:p>
        </w:tc>
        <w:tc>
          <w:tcPr>
            <w:tcW w:w="1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2"/>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9,136,716</w:t>
            </w: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RNG Projects in Construction:</w:t>
            </w:r>
          </w:p>
        </w:tc>
        <w:tc>
          <w:tcPr>
            <w:tcW w:w="9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Hilltop </w:t>
            </w:r>
            <w:r>
              <w:rPr>
                <w:rFonts w:ascii="Times New Roman" w:cs="Times New Roman" w:eastAsia="Times New Roman" w:hAnsi="Times New Roman"/>
                <w:sz w:val="23"/>
                <w:szCs w:val="23"/>
                <w:color w:val="auto"/>
                <w:vertAlign w:val="superscript"/>
              </w:rPr>
              <w:t>(4),(6)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Dairy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Vander Schaaf </w:t>
            </w:r>
            <w:r>
              <w:rPr>
                <w:rFonts w:ascii="Times New Roman" w:cs="Times New Roman" w:eastAsia="Times New Roman" w:hAnsi="Times New Roman"/>
                <w:sz w:val="23"/>
                <w:szCs w:val="23"/>
                <w:color w:val="auto"/>
                <w:vertAlign w:val="superscript"/>
              </w:rPr>
              <w:t>(4),(6)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255,500</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Dairy</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784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26"/>
                <w:szCs w:val="26"/>
                <w:color w:val="auto"/>
                <w:vertAlign w:val="subscript"/>
              </w:rPr>
              <w:t>Burlington</w:t>
            </w:r>
            <w:r>
              <w:rPr>
                <w:rFonts w:ascii="Times New Roman" w:cs="Times New Roman" w:eastAsia="Times New Roman" w:hAnsi="Times New Roman"/>
                <w:sz w:val="10"/>
                <w:szCs w:val="10"/>
                <w:color w:val="auto"/>
              </w:rPr>
              <w:t xml:space="preserve"> (2),(5),(6)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459,900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Cottonwood </w:t>
            </w:r>
            <w:r>
              <w:rPr>
                <w:rFonts w:ascii="Times New Roman" w:cs="Times New Roman" w:eastAsia="Times New Roman" w:hAnsi="Times New Roman"/>
                <w:sz w:val="23"/>
                <w:szCs w:val="23"/>
                <w:color w:val="auto"/>
                <w:vertAlign w:val="superscript"/>
              </w:rPr>
              <w:t>(5),(6)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664,884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Kirby Canyon </w:t>
            </w:r>
            <w:r>
              <w:rPr>
                <w:rFonts w:ascii="Times New Roman" w:cs="Times New Roman" w:eastAsia="Times New Roman" w:hAnsi="Times New Roman"/>
                <w:sz w:val="23"/>
                <w:szCs w:val="23"/>
                <w:color w:val="auto"/>
                <w:vertAlign w:val="superscript"/>
              </w:rPr>
              <w:t>(5),(6)</w:t>
            </w:r>
          </w:p>
        </w:tc>
        <w:tc>
          <w:tcPr>
            <w:tcW w:w="1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663,570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LFG</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22"/>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2,299,354</w:t>
            </w:r>
          </w:p>
        </w:tc>
        <w:tc>
          <w:tcPr>
            <w:tcW w:w="1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RNG Fuel Production, Sales, and Delivery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3040" w:type="dxa"/>
            <w:vAlign w:val="bottom"/>
            <w:gridSpan w:val="2"/>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Pr>
          <w:p>
            <w:pPr>
              <w:spacing w:after="0"/>
              <w:rPr>
                <w:sz w:val="18"/>
                <w:szCs w:val="18"/>
                <w:color w:val="auto"/>
              </w:rPr>
            </w:pPr>
          </w:p>
        </w:tc>
      </w:tr>
      <w:tr>
        <w:trPr>
          <w:trHeight w:val="218"/>
        </w:trPr>
        <w:tc>
          <w:tcPr>
            <w:tcW w:w="89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82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Pr>
          <w:p>
            <w:pPr>
              <w:spacing w:after="0"/>
              <w:rPr>
                <w:sz w:val="18"/>
                <w:szCs w:val="18"/>
                <w:color w:val="auto"/>
              </w:rPr>
            </w:pP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volume produced (Million MMBtus)</w:t>
            </w:r>
          </w:p>
        </w:tc>
        <w:tc>
          <w:tcPr>
            <w:tcW w:w="122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RNG Fuel volume sold (Million GGEs)</w:t>
            </w:r>
          </w:p>
        </w:tc>
        <w:tc>
          <w:tcPr>
            <w:tcW w:w="1820" w:type="dxa"/>
            <w:vAlign w:val="bottom"/>
          </w:tcPr>
          <w:p>
            <w:pPr>
              <w:jc w:val="right"/>
              <w:ind w:right="1233"/>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volume delivered (Million GGEs)</w:t>
            </w:r>
          </w:p>
        </w:tc>
        <w:tc>
          <w:tcPr>
            <w:tcW w:w="1820" w:type="dxa"/>
            <w:vAlign w:val="bottom"/>
            <w:shd w:val="clear" w:color="auto" w:fill="CCEEFF"/>
          </w:tcPr>
          <w:p>
            <w:pPr>
              <w:jc w:val="right"/>
              <w:ind w:right="1233"/>
              <w:spacing w:after="0"/>
              <w:rPr>
                <w:sz w:val="20"/>
                <w:szCs w:val="20"/>
                <w:color w:val="auto"/>
              </w:rPr>
            </w:pPr>
            <w:r>
              <w:rPr>
                <w:rFonts w:ascii="Times New Roman" w:cs="Times New Roman" w:eastAsia="Times New Roman" w:hAnsi="Times New Roman"/>
                <w:sz w:val="18"/>
                <w:szCs w:val="18"/>
                <w:color w:val="auto"/>
              </w:rPr>
              <w:t>39.0</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following table presents the period-over-period change for each line item in our condensed consolidated statements of operations for the three months ended March 31, 2026 and 2025.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8"/>
                <w:szCs w:val="18"/>
                <w:color w:val="auto"/>
              </w:rPr>
            </w:pPr>
          </w:p>
        </w:tc>
        <w:tc>
          <w:tcPr>
            <w:tcW w:w="1180" w:type="dxa"/>
            <w:vAlign w:val="bottom"/>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2"/>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RNG fuel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27,599</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(5,961)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Station Services</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50,678</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(6,112)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Renewable Power</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7,130</w:t>
            </w:r>
          </w:p>
        </w:tc>
        <w:tc>
          <w:tcPr>
            <w:tcW w:w="24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41</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1 %</w:t>
            </w:r>
          </w:p>
        </w:tc>
      </w:tr>
      <w:tr>
        <w:trPr>
          <w:trHeight w:val="25"/>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73,375</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85,407</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(12,032)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7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12,153</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676</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39,722</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(4,332)</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6,762</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(1,132)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startup costs</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6,081</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(4,266)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15,967</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(783)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5,942</w:t>
            </w:r>
          </w:p>
        </w:tc>
        <w:tc>
          <w:tcPr>
            <w:tcW w:w="240" w:type="dxa"/>
            <w:vAlign w:val="bottom"/>
          </w:tcPr>
          <w:p>
            <w:pPr>
              <w:spacing w:after="0"/>
              <w:rPr>
                <w:sz w:val="16"/>
                <w:szCs w:val="16"/>
                <w:color w:val="auto"/>
              </w:rPr>
            </w:pPr>
          </w:p>
        </w:tc>
        <w:tc>
          <w:tcPr>
            <w:tcW w:w="118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(329)</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Loss from equity method investments</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722</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1,035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143 %</w:t>
            </w:r>
          </w:p>
        </w:tc>
      </w:tr>
      <w:tr>
        <w:trPr>
          <w:trHeight w:val="183"/>
        </w:trPr>
        <w:tc>
          <w:tcPr>
            <w:tcW w:w="5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78,218</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87,349</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(9,131)</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25"/>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loss</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(1,942)</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(2,901)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r>
      <w:tr>
        <w:trPr>
          <w:trHeight w:val="17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w:t>
            </w: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(6,644)</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(194)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385</w:t>
            </w:r>
          </w:p>
        </w:tc>
        <w:tc>
          <w:tcPr>
            <w:tcW w:w="24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375</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97 %</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5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1,254</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(1,829)</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3"/>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 before income tax benefit</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(11,302)</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(6,753)</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(4,549)</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25"/>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8,037</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(2,328)</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3"/>
        </w:trPr>
        <w:tc>
          <w:tcPr>
            <w:tcW w:w="5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 income</w:t>
            </w:r>
          </w:p>
        </w:tc>
        <w:tc>
          <w:tcPr>
            <w:tcW w:w="2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1,284</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(6,877)</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r>
      <w:tr>
        <w:trPr>
          <w:trHeight w:val="25"/>
        </w:trPr>
        <w:tc>
          <w:tcPr>
            <w:tcW w:w="5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w:t>
            </w:r>
          </w:p>
        </w:tc>
        <w:tc>
          <w:tcPr>
            <w:tcW w:w="2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2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(11,393)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r>
      <w:tr>
        <w:trPr>
          <w:trHeight w:val="190"/>
        </w:trPr>
        <w:tc>
          <w:tcPr>
            <w:tcW w:w="58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w:t>
            </w:r>
          </w:p>
        </w:tc>
        <w:tc>
          <w:tcPr>
            <w:tcW w:w="2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34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w:t>
            </w:r>
          </w:p>
        </w:tc>
        <w:tc>
          <w:tcPr>
            <w:tcW w:w="24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6</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8 %</w:t>
            </w:r>
          </w:p>
        </w:tc>
      </w:tr>
      <w:tr>
        <w:trPr>
          <w:trHeight w:val="25"/>
        </w:trPr>
        <w:tc>
          <w:tcPr>
            <w:tcW w:w="5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5"/>
        </w:trPr>
        <w:tc>
          <w:tcPr>
            <w:tcW w:w="5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Accretion of the redeemable preferred non-controlling interest to its redemption amount</w:t>
            </w: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2,617</w:t>
            </w: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6,917</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264 %</w:t>
            </w:r>
          </w:p>
        </w:tc>
      </w:tr>
      <w:tr>
        <w:trPr>
          <w:trHeight w:val="209"/>
        </w:trPr>
        <w:tc>
          <w:tcPr>
            <w:tcW w:w="58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loss attributable to Class A common stockholders</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(2,407)</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(1024)%</w:t>
            </w: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48" w:lineRule="exact"/>
        <w:rPr>
          <w:sz w:val="20"/>
          <w:szCs w:val="20"/>
          <w:color w:val="auto"/>
        </w:rPr>
      </w:pPr>
    </w:p>
    <w:tbl>
      <w:tblPr>
        <w:tblLayout w:type="fixed"/>
        <w:tblInd w:w="1540" w:type="dxa"/>
        <w:tblCellMar>
          <w:top w:w="0" w:type="dxa"/>
          <w:left w:w="0" w:type="dxa"/>
          <w:bottom w:w="0" w:type="dxa"/>
          <w:right w:w="0" w:type="dxa"/>
        </w:tblCellMar>
      </w:tblPr>
      <w:tr>
        <w:trPr>
          <w:trHeight w:val="188"/>
        </w:trPr>
        <w:tc>
          <w:tcPr>
            <w:tcW w:w="3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Pr>
          <w:p>
            <w:pPr>
              <w:spacing w:after="0"/>
              <w:rPr>
                <w:sz w:val="15"/>
                <w:szCs w:val="15"/>
                <w:color w:val="auto"/>
              </w:rPr>
            </w:pPr>
          </w:p>
        </w:tc>
        <w:tc>
          <w:tcPr>
            <w:tcW w:w="114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5"/>
                <w:szCs w:val="15"/>
                <w:color w:val="auto"/>
              </w:rPr>
            </w:pPr>
          </w:p>
        </w:tc>
        <w:tc>
          <w:tcPr>
            <w:tcW w:w="11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3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Brown gas sales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2,821</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Environmental attributes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18,230</w:t>
            </w:r>
          </w:p>
        </w:tc>
        <w:tc>
          <w:tcPr>
            <w:tcW w:w="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25,830</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0" w:type="dxa"/>
            <w:vAlign w:val="bottom"/>
          </w:tcPr>
          <w:p>
            <w:pPr>
              <w:spacing w:after="0"/>
              <w:rPr>
                <w:sz w:val="1"/>
                <w:szCs w:val="1"/>
                <w:color w:val="auto"/>
              </w:rPr>
            </w:pPr>
          </w:p>
        </w:tc>
      </w:tr>
      <w:tr>
        <w:trPr>
          <w:trHeight w:val="195"/>
        </w:trPr>
        <w:tc>
          <w:tcPr>
            <w:tcW w:w="3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RNG Fuel</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27,599</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Fuel Station Services</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OPAL owned stations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94"/>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Environmental attributes</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11,498</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17,252</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(5,754)</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xml:space="preserve">RNG marketing </w:t>
            </w:r>
            <w:r>
              <w:rPr>
                <w:rFonts w:ascii="Times New Roman" w:cs="Times New Roman" w:eastAsia="Times New Roman" w:hAnsi="Times New Roman"/>
                <w:sz w:val="18"/>
                <w:szCs w:val="18"/>
                <w:color w:val="auto"/>
                <w:vertAlign w:val="superscript"/>
              </w:rPr>
              <w:t>(1)</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11,274</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0" w:type="dxa"/>
            <w:vAlign w:val="bottom"/>
          </w:tcPr>
          <w:p>
            <w:pPr>
              <w:spacing w:after="0"/>
              <w:rPr>
                <w:sz w:val="1"/>
                <w:szCs w:val="1"/>
                <w:color w:val="auto"/>
              </w:rPr>
            </w:pPr>
          </w:p>
        </w:tc>
      </w:tr>
      <w:tr>
        <w:trPr>
          <w:trHeight w:val="194"/>
        </w:trPr>
        <w:tc>
          <w:tcPr>
            <w:tcW w:w="36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Third party station service and maintenance</w:t>
            </w:r>
          </w:p>
        </w:tc>
        <w:tc>
          <w:tcPr>
            <w:tcW w:w="3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6,800</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7,070</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Construction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7,991</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(3,092)</w:t>
            </w:r>
          </w:p>
        </w:tc>
        <w:tc>
          <w:tcPr>
            <w:tcW w:w="0" w:type="dxa"/>
            <w:vAlign w:val="bottom"/>
          </w:tcPr>
          <w:p>
            <w:pPr>
              <w:spacing w:after="0"/>
              <w:rPr>
                <w:sz w:val="1"/>
                <w:szCs w:val="1"/>
                <w:color w:val="auto"/>
              </w:rPr>
            </w:pPr>
          </w:p>
        </w:tc>
      </w:tr>
      <w:tr>
        <w:trPr>
          <w:trHeight w:val="202"/>
        </w:trPr>
        <w:tc>
          <w:tcPr>
            <w:tcW w:w="3680" w:type="dxa"/>
            <w:vAlign w:val="bottom"/>
            <w:tcBorders>
              <w:bottom w:val="single" w:sz="8" w:color="CCEEFF"/>
            </w:tcBorders>
          </w:tcPr>
          <w:p>
            <w:pPr>
              <w:ind w:left="120"/>
              <w:spacing w:after="0" w:line="201" w:lineRule="exact"/>
              <w:rPr>
                <w:sz w:val="20"/>
                <w:szCs w:val="20"/>
                <w:color w:val="auto"/>
              </w:rPr>
            </w:pPr>
            <w:r>
              <w:rPr>
                <w:rFonts w:ascii="Times New Roman" w:cs="Times New Roman" w:eastAsia="Times New Roman" w:hAnsi="Times New Roman"/>
                <w:sz w:val="14"/>
                <w:szCs w:val="14"/>
                <w:color w:val="auto"/>
              </w:rPr>
              <w:t xml:space="preserve">Lease revenues </w:t>
            </w:r>
            <w:r>
              <w:rPr>
                <w:rFonts w:ascii="Times New Roman" w:cs="Times New Roman" w:eastAsia="Times New Roman" w:hAnsi="Times New Roman"/>
                <w:sz w:val="18"/>
                <w:szCs w:val="18"/>
                <w:color w:val="auto"/>
                <w:vertAlign w:val="superscript"/>
              </w:rPr>
              <w:t>(2)</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3,542</w:t>
            </w:r>
          </w:p>
        </w:tc>
        <w:tc>
          <w:tcPr>
            <w:tcW w:w="0" w:type="dxa"/>
            <w:vAlign w:val="bottom"/>
          </w:tcPr>
          <w:p>
            <w:pPr>
              <w:spacing w:after="0"/>
              <w:rPr>
                <w:sz w:val="1"/>
                <w:szCs w:val="1"/>
                <w:color w:val="auto"/>
              </w:rPr>
            </w:pPr>
          </w:p>
        </w:tc>
      </w:tr>
      <w:tr>
        <w:trPr>
          <w:trHeight w:val="195"/>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Fuel Station Services</w:t>
            </w:r>
          </w:p>
        </w:tc>
        <w:tc>
          <w:tcPr>
            <w:tcW w:w="3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50,678</w:t>
            </w:r>
          </w:p>
        </w:tc>
        <w:tc>
          <w:tcPr>
            <w:tcW w:w="3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(6,112)</w:t>
            </w:r>
          </w:p>
        </w:tc>
        <w:tc>
          <w:tcPr>
            <w:tcW w:w="0" w:type="dxa"/>
            <w:vAlign w:val="bottom"/>
          </w:tcPr>
          <w:p>
            <w:pPr>
              <w:spacing w:after="0"/>
              <w:rPr>
                <w:sz w:val="1"/>
                <w:szCs w:val="1"/>
                <w:color w:val="auto"/>
              </w:rPr>
            </w:pPr>
          </w:p>
        </w:tc>
      </w:tr>
      <w:tr>
        <w:trPr>
          <w:trHeight w:val="17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Renewable Power</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Electricity sales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5,792</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5,256</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02"/>
        </w:trPr>
        <w:tc>
          <w:tcPr>
            <w:tcW w:w="3680" w:type="dxa"/>
            <w:vAlign w:val="bottom"/>
          </w:tcPr>
          <w:p>
            <w:pPr>
              <w:ind w:left="120"/>
              <w:spacing w:after="0" w:line="201" w:lineRule="exact"/>
              <w:rPr>
                <w:sz w:val="20"/>
                <w:szCs w:val="20"/>
                <w:color w:val="auto"/>
              </w:rPr>
            </w:pPr>
            <w:r>
              <w:rPr>
                <w:rFonts w:ascii="Times New Roman" w:cs="Times New Roman" w:eastAsia="Times New Roman" w:hAnsi="Times New Roman"/>
                <w:sz w:val="14"/>
                <w:szCs w:val="14"/>
                <w:color w:val="auto"/>
              </w:rPr>
              <w:t xml:space="preserve">Environmental attributes </w:t>
            </w:r>
            <w:r>
              <w:rPr>
                <w:rFonts w:ascii="Times New Roman" w:cs="Times New Roman" w:eastAsia="Times New Roman" w:hAnsi="Times New Roman"/>
                <w:sz w:val="18"/>
                <w:szCs w:val="18"/>
                <w:color w:val="auto"/>
                <w:vertAlign w:val="superscript"/>
              </w:rPr>
              <w:t>(3)</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Capacity</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202"/>
        </w:trPr>
        <w:tc>
          <w:tcPr>
            <w:tcW w:w="3680" w:type="dxa"/>
            <w:vAlign w:val="bottom"/>
          </w:tcPr>
          <w:p>
            <w:pPr>
              <w:ind w:left="120"/>
              <w:spacing w:after="0" w:line="201" w:lineRule="exact"/>
              <w:rPr>
                <w:sz w:val="20"/>
                <w:szCs w:val="20"/>
                <w:color w:val="auto"/>
              </w:rPr>
            </w:pPr>
            <w:r>
              <w:rPr>
                <w:rFonts w:ascii="Times New Roman" w:cs="Times New Roman" w:eastAsia="Times New Roman" w:hAnsi="Times New Roman"/>
                <w:sz w:val="14"/>
                <w:szCs w:val="14"/>
                <w:color w:val="auto"/>
              </w:rPr>
              <w:t xml:space="preserve">Lease revenues </w:t>
            </w:r>
            <w:r>
              <w:rPr>
                <w:rFonts w:ascii="Times New Roman" w:cs="Times New Roman" w:eastAsia="Times New Roman" w:hAnsi="Times New Roman"/>
                <w:sz w:val="18"/>
                <w:szCs w:val="18"/>
                <w:color w:val="auto"/>
                <w:vertAlign w:val="superscript"/>
              </w:rPr>
              <w:t>(4)</w:t>
            </w: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2"/>
        </w:trPr>
        <w:tc>
          <w:tcPr>
            <w:tcW w:w="3680" w:type="dxa"/>
            <w:vAlign w:val="bottom"/>
            <w:shd w:val="clear" w:color="auto" w:fill="CCEEFF"/>
          </w:tcPr>
          <w:p>
            <w:pPr>
              <w:ind w:left="120"/>
              <w:spacing w:after="0" w:line="201" w:lineRule="exact"/>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(5)</w:t>
            </w:r>
          </w:p>
        </w:tc>
        <w:tc>
          <w:tcPr>
            <w:tcW w:w="3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Renewable Power</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7,130</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73,375</w:t>
            </w:r>
          </w:p>
        </w:tc>
        <w:tc>
          <w:tcPr>
            <w:tcW w:w="3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85,407</w:t>
            </w: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(12,032)</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 from contracts with customers</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67,416</w:t>
            </w:r>
          </w:p>
        </w:tc>
        <w:tc>
          <w:tcPr>
            <w:tcW w:w="3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82,966</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(15,550)</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 from lease arrangements</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5,959</w:t>
            </w:r>
          </w:p>
        </w:tc>
        <w:tc>
          <w:tcPr>
            <w:tcW w:w="3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2,441</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60" w:hanging="152"/>
        <w:spacing w:after="0"/>
        <w:tabs>
          <w:tab w:leader="none" w:pos="163"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from RNG marketing in the Fuel Station Services segment relate to revenues earned from Environmental Attribute generation and monetization services.</w:t>
      </w:r>
    </w:p>
    <w:p>
      <w:pPr>
        <w:spacing w:after="0" w:line="254" w:lineRule="exact"/>
        <w:rPr>
          <w:rFonts w:ascii="Times New Roman" w:cs="Times New Roman" w:eastAsia="Times New Roman" w:hAnsi="Times New Roman"/>
          <w:sz w:val="20"/>
          <w:szCs w:val="20"/>
          <w:color w:val="auto"/>
          <w:vertAlign w:val="superscript"/>
        </w:rPr>
      </w:pPr>
    </w:p>
    <w:p>
      <w:pPr>
        <w:jc w:val="both"/>
        <w:ind w:left="160" w:hanging="152"/>
        <w:spacing w:after="0" w:line="278" w:lineRule="auto"/>
        <w:tabs>
          <w:tab w:leader="none" w:pos="163"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Fuel Station Services lease revenue relates to revenue from fuel purchasing agreements where we determined that we transferred the right to control the use of the station to the purchaser. Includes sales-type lease revenues of $2.2 million and $— respectively, for the three months ended March 31, 2026 and 2025, from customers domiciled outside of the United States. All remaining lease revenue relates to operating leases.</w:t>
      </w:r>
    </w:p>
    <w:p>
      <w:pPr>
        <w:spacing w:after="0" w:line="6" w:lineRule="exact"/>
        <w:rPr>
          <w:rFonts w:ascii="Times New Roman" w:cs="Times New Roman" w:eastAsia="Times New Roman" w:hAnsi="Times New Roman"/>
          <w:sz w:val="20"/>
          <w:szCs w:val="20"/>
          <w:color w:val="auto"/>
          <w:vertAlign w:val="superscript"/>
        </w:rPr>
      </w:pPr>
    </w:p>
    <w:p>
      <w:pPr>
        <w:ind w:left="160" w:hanging="152"/>
        <w:spacing w:after="0"/>
        <w:tabs>
          <w:tab w:leader="none" w:pos="163"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revenues of $— and $3.6 million respectively, for the three months ended March 31, 2026 and 2025, from customers domiciled outside of the United States.</w:t>
      </w:r>
    </w:p>
    <w:p>
      <w:pPr>
        <w:spacing w:after="0" w:line="254" w:lineRule="exact"/>
        <w:rPr>
          <w:rFonts w:ascii="Times New Roman" w:cs="Times New Roman" w:eastAsia="Times New Roman" w:hAnsi="Times New Roman"/>
          <w:sz w:val="20"/>
          <w:szCs w:val="20"/>
          <w:color w:val="auto"/>
          <w:vertAlign w:val="superscript"/>
        </w:rPr>
      </w:pPr>
    </w:p>
    <w:p>
      <w:pPr>
        <w:ind w:left="160" w:hanging="152"/>
        <w:spacing w:after="0" w:line="270" w:lineRule="auto"/>
        <w:tabs>
          <w:tab w:leader="none" w:pos="177" w:val="left"/>
        </w:tabs>
        <w:numPr>
          <w:ilvl w:val="0"/>
          <w:numId w:val="2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Renewable Power operating lease revenue relates to revenue from power purchase agreements where we determined that we transferred the right to control the use of the power plant to the purchaser.</w:t>
      </w:r>
    </w:p>
    <w:p>
      <w:pPr>
        <w:ind w:left="180" w:hanging="172"/>
        <w:spacing w:after="0"/>
        <w:tabs>
          <w:tab w:leader="none" w:pos="18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management fee revenues earned from management of operations of equity method entities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from RNG Fuel decreased by $6.0 million or 22% for the three months ended March 31, 2026 compared to the three months ended March 31, 2025. This decrease was primarily a decrease in the sale of environmental attributes. The decrease in environmental attributes was primarily related to a $4.8 million decrease in RIN volume, and a $2.9 million decrease due to RIN price reduction. Partially offset by $1.4 million increase in brown gas sale due to increase in prices.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9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Revenue from Fuel Station Services decreased by $6.1 million or 12%, for the three months ended March 31, 2026 compared to the three months ended March 31, 2025. This is primarily related to a decrease of $1.6 million in RIN and LCFS minting services, $0.5 million due to lower RIN price partially offset by higher LCFS price, decrease of $5.2 million attributed to lower dispensing and $3.1 million driven by construction projects delays. Offset by sales type leases increase of $3.5 million is due to increase in lease revenues of $2.2 million due to the commencement of a sales-type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7" w:name="page38"/>
    <w:bookmarkEnd w:id="37"/>
    <w:p>
      <w:pPr>
        <w:jc w:val="both"/>
        <w:spacing w:after="0" w:line="280" w:lineRule="auto"/>
        <w:rPr>
          <w:sz w:val="20"/>
          <w:szCs w:val="20"/>
          <w:color w:val="auto"/>
        </w:rPr>
      </w:pPr>
      <w:r>
        <w:rPr>
          <w:rFonts w:ascii="Times New Roman" w:cs="Times New Roman" w:eastAsia="Times New Roman" w:hAnsi="Times New Roman"/>
          <w:sz w:val="18"/>
          <w:szCs w:val="18"/>
          <w:color w:val="auto"/>
        </w:rPr>
        <w:t>outside the United States as well as increase in operating leases $1.3 million in United States and $1.0 million due to increase in GGEs in OPAL owned stations.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Revenue from Renewable Power was flat for the three months ended March 31, 2026 compared to the three months ended March 31, 2025 as increase in revenues from higher generation was offset by lower environmental attributes.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RNG Fuel</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 of sales from RNG Fuel increased by $0.7 million, or 6%, for the three months ended March 31, 2026 compared to the three months ended March 31, 2025. This increase is primarily related to a $1.3 million increase in gas expense, $1.0 million increase in maintenance and $0.3 million higher utilities. This was partially offset by $2.0 million in royalties due to lower environmental credit revenues.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Fuel Station Services</w:t>
      </w:r>
    </w:p>
    <w:p>
      <w:pPr>
        <w:spacing w:after="0" w:line="19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 of sales from Fuel Station Services decreased by $4.3 million, or 11%, for the three months ended March 31, 2026 compared to the three months ended March 31, 2025. This is primarily related to a $5.8 million decrease in dispensing fees driven by lower RIN pricing, offset by a $1.5 million increase in FPA tolling expense driven by higher volumes.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Renewable Power</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 of sales from Renewable Power decreased by $1.1 million, or 17%, for the three months ended March 31, 2026 compared to the three months ended March 31, 2025. This is primarily related to an $0.7 million decrease in major maintenance and a $0.4 million decrease primarily driven by the timing of non-labor and other expenses.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development and startup costs</w:t>
      </w:r>
    </w:p>
    <w:p>
      <w:pPr>
        <w:spacing w:after="0" w:line="18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Project development and startup costs decreased by $4.3 million, or 70%, for the three months ended March 31, 2026 compared to the three months ended March 31, 2025. This is primarily related to virtual pipeline costs related to Prince William and Polk facilities.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Selling, general, and administrative expenses decreased by a total of $0.8 million, or 5%, for the three months ended March 31, 2026 compared to the three months ended March 31, 2025. This is primarily related to decreases in compensation costs, and advocacy expenses offset by IT and marketing.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amortization, and accretion</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Depreciation, amortization, and accretion decreased by a total of $0.3 million, or 6%, for the three months ended March 31, 2026 compared to the three months ended March 31, 2025. This is primarily related to lower depreciation expense in Renewable Power.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equity method investments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Net loss attributable to equity method investments increased by $1.0 million, or 143%, for the three months ended March 31, 2026 compared to the three months ended March 31, 2025. This is primarily related to a decrease in the realized price of RINs sold on operating facilities and lower production primarily at Pine Bend and Emerald.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financing expense, net</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Interest and financing expenses, net decreased by $0.2 million, or 3%, for the three months ended March 31, 2026 compared to the three months ended March 31, 2025. This is primarily related to an increase in interest income from sales-type lease, decrease in interest rates, partially offset by an increase in the average outstanding loan balance.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8" w:name="page39"/>
    <w:bookmarkEnd w:id="38"/>
    <w:p>
      <w:pPr>
        <w:jc w:val="both"/>
        <w:spacing w:after="0" w:line="280" w:lineRule="auto"/>
        <w:rPr>
          <w:sz w:val="20"/>
          <w:szCs w:val="20"/>
          <w:color w:val="auto"/>
        </w:rPr>
      </w:pPr>
      <w:r>
        <w:rPr>
          <w:rFonts w:ascii="Times New Roman" w:cs="Times New Roman" w:eastAsia="Times New Roman" w:hAnsi="Times New Roman"/>
          <w:sz w:val="18"/>
          <w:szCs w:val="18"/>
          <w:color w:val="auto"/>
        </w:rPr>
        <w:t>Other income decreased by $1.8 million or 146% for the three months ended March 31, 2026 compared to the three months ended March 31, 2025 primarily related to change in fair value of warrants.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Income tax benefit decreased by $2.3 million or 29% for three months ended March 31, 2026 compared to the three months ended March 31, 2025. This is primarily driven by lower generation of transferable tax credits in 2026 compared to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redeemable non-controlling interest</w:t>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Net (loss) income attributable to redeemable non-controlling interest increased by $11.4 million, or 970%, for the three months ended March 31, 2026 compared to the three months ended March 31, 2025. The net loss for the three months ended March 31, 2026 and 2025 reflects the portion of earnings belonging to OPAL Fuels equity holders. The increase is primarily attributable to higher net loss in the current period compared to the same prior-year period.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non-redeemable non-controlling interest</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Net income attributable to non-redeemable non-controlling interest remained flat for the three months ended March 31, 2026 compared to the three months ended March 31,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Accretion of the redeemable preferred non-controlling interest to its redemption amount</w:t>
      </w:r>
    </w:p>
    <w:p>
      <w:pPr>
        <w:spacing w:after="0" w:line="187"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Accretion of the redeemable preferred non-controlling interest to its redemption amount increased by $6.9 million or 264% for the three months ended March 31, 2026 compared to the three months ended March 31, 2025. This is primarily driven by accretion to redemption value following the issuance of redeemable preferred non-controlling interests in March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83"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 xml:space="preserve">As of March 31, 2026, our liquidity was $232.5 million, consisting of $39.3 million of unused capacity under the revolver, $60.0 million </w:t>
      </w:r>
      <w:r>
        <w:rPr>
          <w:rFonts w:ascii="Times New Roman" w:cs="Times New Roman" w:eastAsia="Times New Roman" w:hAnsi="Times New Roman"/>
          <w:sz w:val="19"/>
          <w:szCs w:val="19"/>
          <w:color w:val="auto"/>
        </w:rPr>
        <w:t>of undrawn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preferred stock facility commitments </w:t>
      </w:r>
      <w:r>
        <w:rPr>
          <w:rFonts w:ascii="Times New Roman" w:cs="Times New Roman" w:eastAsia="Times New Roman" w:hAnsi="Times New Roman"/>
          <w:sz w:val="17"/>
          <w:szCs w:val="17"/>
          <w:color w:val="auto"/>
        </w:rPr>
        <w:t>and $133.2 million of cash and cash equivalents. Refer to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i w:val="1"/>
          <w:iCs w:val="1"/>
          <w:color w:val="auto"/>
        </w:rPr>
        <w:t>Note 3. Loans</w:t>
      </w:r>
      <w:r>
        <w:rPr>
          <w:rFonts w:ascii="Times New Roman" w:cs="Times New Roman" w:eastAsia="Times New Roman" w:hAnsi="Times New Roman"/>
          <w:sz w:val="17"/>
          <w:szCs w:val="17"/>
          <w:color w:val="auto"/>
        </w:rPr>
        <w:t>.</w:t>
      </w:r>
    </w:p>
    <w:p>
      <w:pPr>
        <w:spacing w:after="0" w:line="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expect that our available cash together with our other assets, expected cash flows from operations, and access to expected sources of capital will be sufficient to meet our existing commitments for a period of at least twelve months from the date of this quarterly report. Any reduction in demand for our products or our ability to manage our production facilities may result in lower cash flows from operations which may impact our ability to make investments and may require changes to our growth plan.</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4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part of our operations, we have arrangements for office space for our corporate headquarters under the Administrative Services Agreement as well as operating leases for office space, warehouse space, and our vehicle fleet.</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We intend to make payments under our various debt instruments when due and pursue opportunities for earlier repayment and/or refinancing if and when these opportunities arise. In the fourth quarter of 2025, NextEra exercised its redemption option to redeem the preferred units. The Units were redeemed in the first quarter of 2026. Refer to </w:t>
      </w:r>
      <w:r>
        <w:rPr>
          <w:rFonts w:ascii="Times New Roman" w:cs="Times New Roman" w:eastAsia="Times New Roman" w:hAnsi="Times New Roman"/>
          <w:sz w:val="18"/>
          <w:szCs w:val="18"/>
          <w:i w:val="1"/>
          <w:iCs w:val="1"/>
          <w:color w:val="auto"/>
        </w:rPr>
        <w:t>Note 8. Redeemable Non-controlling Interest, Redeemable Preferred Non-controlling Interest and Stockholders' Equity</w:t>
      </w:r>
      <w:r>
        <w:rPr>
          <w:rFonts w:ascii="Times New Roman" w:cs="Times New Roman" w:eastAsia="Times New Roman" w:hAnsi="Times New Roman"/>
          <w:sz w:val="18"/>
          <w:szCs w:val="18"/>
          <w:color w:val="auto"/>
        </w:rPr>
        <w:t xml:space="preserve"> for additional details.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OPAL Term Loan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2026, the Company drew $128.4 million under its term loan facility pursuant to its existing credit agreement. A portion of the proceeds from the borrowing was used to repay $20.0 million outstanding under the revolving loan facility. As of March 31, 2026, the Company had utilized $10.7 million of availability under the revolver loan to provide for the issuance of letters of credit to support the operations of the Borrower and the Guarantors.</w:t>
      </w:r>
    </w:p>
    <w:p>
      <w:pPr>
        <w:spacing w:after="0" w:line="1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three months ended March 31, 2026, the Company commenced principal payments under its credit agreement. In addition, beginning in the first quarter of 2026, the Company is subject to a quarterly cash sweep pursuant to which, within two business days after the required delivery of quarterly financial statements, a percentage of distributable cash is required to be applied to repay outstanding borrowings, with the applicable percentage determined based on the Company’s consolidated debt to cash flow ratio. If the required financial statements are not delivered within the specified timeframe, 100% of distributable cash is required to be applied to the cash sweep.</w:t>
      </w:r>
    </w:p>
    <w:p>
      <w:pPr>
        <w:spacing w:after="0" w:line="14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As of March 31, 2026 and December 31, 2025, the outstanding loan balance (current and non-current) excluding deferred financing costs was $437.5 million and $341.6 million, respectively.</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have the ability, during the delayed draw availability period, which expired in March 2026, and subject to the satisfaction of certain credit and project-related conditions precedent, to join other newly acquired subsidiaries with comparable renewable projects in development under the credit facility for comparable funding. As of March 31, 2026, we are in compliance with the financial covenants under the OPAL Term Loan.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Sunoma Loan</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27, 2020, Sunoma, an indirect wholly-owned subsidiary of ours entered into a debt agreement (the "Sunoma Loan Agreement") with Live Oak Banking Company for an aggregate principal amount of $20 million. Sunoma paid $0.6 million in financing fees. The amounts outstanding under the Sunoma Loan are secured by the assets of Sunoma. On July 19, 2022, Sunoma completed the conversion of the construction loan into a permanent loan and increased the commitment from $20.0 to $23.0 million. The maturity date is July 19, 2033. The outstanding loans under the Sunoma Loan Agreement bear interest at an annual fixed rates of 7.8% and 8.2% per annum during the term.</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a maximum debt to net worth ratio not to exceed 5:1, (ii) a minimum current ratio not less than 1.0 and (iii) a minimum debt service coverage ratio of trailing four quarters not less than 1.25. As of March 31, 2026, Sunoma is in compliance with the financial covenants under the Sunoma Loan Agreement.</w:t>
      </w:r>
    </w:p>
    <w:p>
      <w:pPr>
        <w:spacing w:after="0" w:line="14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of March 31, 2026 and December 31, 2025, the outstanding loan balance (current and non-current) excluding deferred financing costs was $18.5 million and $19.1 million, respectively.</w:t>
      </w:r>
    </w:p>
    <w:p>
      <w:pPr>
        <w:spacing w:after="0" w:line="12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 xml:space="preserve">The significant assets of Sunoma, as well as those of other consolidated variable VIEs, are presented in a separate table below the consolidated balance sheets as of March 31, 2026 and December 31, 2025. See </w:t>
      </w:r>
      <w:r>
        <w:rPr>
          <w:rFonts w:ascii="Times New Roman" w:cs="Times New Roman" w:eastAsia="Times New Roman" w:hAnsi="Times New Roman"/>
          <w:sz w:val="18"/>
          <w:szCs w:val="18"/>
          <w:i w:val="1"/>
          <w:iCs w:val="1"/>
          <w:color w:val="auto"/>
        </w:rPr>
        <w:t>Note 2. Investments in other entities and Variable Interest Entities</w:t>
      </w:r>
      <w:r>
        <w:rPr>
          <w:rFonts w:ascii="Times New Roman" w:cs="Times New Roman" w:eastAsia="Times New Roman" w:hAnsi="Times New Roman"/>
          <w:sz w:val="18"/>
          <w:szCs w:val="18"/>
          <w:color w:val="auto"/>
        </w:rPr>
        <w:t xml:space="preserve"> 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Series A Preferred Units of OPAL Fuels LLC</w:t>
      </w:r>
    </w:p>
    <w:p>
      <w:pPr>
        <w:spacing w:after="0" w:line="19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In November 2021, NextEra subscribed for an aggregate of $100.0 million of Series A preferred units issued by OPAL Fuels LLC, a consolidated subsidiary of OPAL Fuels, Inc.</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6, 2026, OPAL Fuels LLC (“Opal Fuels”), the Company’s primary operating consolidated subsidiary, entered into a subscription agreement (“Subscription Agreement”) with Preferred Fuels LLC, (“Preferred Fuels” or “Investor”), an entity under common control with the Company. Pursuant to the Subscription Agreement Preferred Fuels committed to purchase up to $180.0 million (the “Offering”) of Series A preferred units of Opal Fuels in multiple closings. At the initial closing on March 6, 2026, Preferred Fuels purchased 1,200,000 preferred units for aggregate proceeds of $120.0 million. OPAL Fuels may, in its sole discretion, require Preferred Fuels to fund up to an additional $60.0 million (or “Undrawn Commitment”) within one year of the initial closing (“or Availability Period”), subject to the terms of the Subscription Agreement. Additionally, pursuant to the Subscription Agreement, the Investor also has a right of first offer to purchase up to an additional 700,000 Units for an aggregate purchase price of up to $70.0 million in the Offering in the event that OPAL Fuels intends to sell any additional units prior to the two (2) year anniversary of the initial closing. Opal Fuels used the proceeds received from the issuance of the Series A preferred units on March 6, 2026 to redeem all of the previously issued and outstanding Series A preferred units with Nextera.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initial closing on March 6, 2026, OPAL Fuels Inc. issued to Preferred Fuels warrants (“Warrants”) to purchase up to 2,160,000 shares of Class A common stock (the “Warrant Shares”) at an exercise price per share of $2.67, subject to customary anti-dilution adjustments. The Warrants expire on March 6, 2034. A holder of the Warrants shall not have the right to exercise the Warrants without prior approval by the Company’s Board of Directors to the extent that after giving effect to such exercise, such person would beneficially own in excess of 19.9% of the Company’s outstanding common stock immediately after giving effect to such exercise. Up to 720,000 shares of the Warrant Shares are forfeitable if Preferred Fuels fails to fund issuance of the remaining Series A preferred units during the Availability Period provided Opal Fuels requested such funding. As of March 31, 2026, no drawdown request has been made.</w:t>
      </w:r>
    </w:p>
    <w:p>
      <w:pPr>
        <w:spacing w:after="0" w:line="16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up to 840,000 shares issuable on a pro rata basis upon future purchases by Preferred Fuels of up to an additional 700,000 Series A preferred units (up to $70.0 million) within two years of the initial closing pursuant to its right of first offer. No Subsequent Warrant Shares have been issued as of March 31, 2026.</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recorded Series A preferred units as redeemable noncontrolling interest in its condensed consolidated financial statements at the amount of proceeds received, less the fair value of the Warrants of $2.8 million and directly attributable issuance costs of $3.3 million. The Series A preferred units are subsequently remeasured to their redemption value as of each reporting date as if such reporting date were the redemption date, with changes in carrying amount recorded as adjustments to additional paid-in capital to the extent available, with any excess recorded to accumulated deficit. The Company concluded that the Warrants are not indexed to the Company’s equity. The Warrants are accounted for as liabilities in the Company’s condensed consolidated financial statements with changes in fair value recognized in other (expense) income, net.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Redeemable Preferred Units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Series A-1 preferred units held by Hillman RNG Investments LLC (Hillman), Series A preferred units previously held by NextEra affiliated entity and the new Series A preferred units (collectively the “Preferred Units”) held by Preferred Fuels, have substantially the same terms and features (unless specified otherwise) which are listed below:</w:t>
      </w:r>
    </w:p>
    <w:p>
      <w:pPr>
        <w:spacing w:after="0" w:line="131" w:lineRule="exact"/>
        <w:rPr>
          <w:sz w:val="20"/>
          <w:szCs w:val="20"/>
          <w:color w:val="auto"/>
        </w:rPr>
      </w:pPr>
    </w:p>
    <w:p>
      <w:pPr>
        <w:jc w:val="both"/>
        <w:ind w:left="34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Voting: </w:t>
      </w:r>
      <w:r>
        <w:rPr>
          <w:rFonts w:ascii="Times New Roman" w:cs="Times New Roman" w:eastAsia="Times New Roman" w:hAnsi="Times New Roman"/>
          <w:sz w:val="18"/>
          <w:szCs w:val="18"/>
          <w:color w:val="auto"/>
        </w:rPr>
        <w:t>The Series A-1 preferred units do not have any voting rights. The Series A preferred units carry no voting rights except as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law or as provided under certain protective covenants in the Subscription Agreement.</w:t>
      </w:r>
    </w:p>
    <w:p>
      <w:pPr>
        <w:spacing w:after="0" w:line="11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The Series A-1 preferred units are entitled to receive dividends at a rate of 8% per annum. The Series A preferred units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quarterly distributions at a rate of 12% per annum (“Preferred Coupon”), compounding quarterly. Dividends on each series begin accruing from the issuance date, are mandatory and cumulative. OPAL Fuels may elect to pay up to 2% per annum of the 12% Series A Preferred Coupon in kind through the issuance of additional Series A preferred units.</w:t>
      </w:r>
    </w:p>
    <w:p>
      <w:pPr>
        <w:spacing w:after="0" w:line="149" w:lineRule="exact"/>
        <w:rPr>
          <w:sz w:val="20"/>
          <w:szCs w:val="20"/>
          <w:color w:val="auto"/>
        </w:rPr>
      </w:pPr>
    </w:p>
    <w:p>
      <w:pPr>
        <w:jc w:val="both"/>
        <w:ind w:left="340" w:right="2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Liquidation preference: </w:t>
      </w:r>
      <w:r>
        <w:rPr>
          <w:rFonts w:ascii="Times New Roman" w:cs="Times New Roman" w:eastAsia="Times New Roman" w:hAnsi="Times New Roman"/>
          <w:sz w:val="18"/>
          <w:szCs w:val="18"/>
          <w:color w:val="auto"/>
        </w:rPr>
        <w:t>In the event of a liquidation of OPAL Fuels, each holder of Series A and Series A-1 units is entitled to receive, on a 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basis, the original issue price of $100 per unit plus any accrued and unpaid dividends, out of assets available for distribution after payment of debt, liabilities, and liquidation expenses.</w:t>
      </w:r>
    </w:p>
    <w:p>
      <w:pPr>
        <w:spacing w:after="0" w:line="130"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Redemption and Conversion: </w:t>
      </w:r>
      <w:r>
        <w:rPr>
          <w:rFonts w:ascii="Times New Roman" w:cs="Times New Roman" w:eastAsia="Times New Roman" w:hAnsi="Times New Roman"/>
          <w:sz w:val="18"/>
          <w:szCs w:val="18"/>
          <w:color w:val="auto"/>
        </w:rPr>
        <w:t>OPAL Fuels may redeem each series of Preferred Units at any time at the original issue price of $100 per unit 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accrued and unpaid dividends. Under the Series A preferred units, the Company was required to respond within 90 days from the date of the holder’s redemption notice in accordance with the applicable terms.</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Preferred Fuels may require redemption upon (i) a change of control, (ii) an uncured material debt default or breach of protective covenants continuing for 60 days, or (iii) at any time on or after the fifth anniversary of the initial closing (March 6, 2031). In the event OPAL Fuels fails to redeem the Series A preferred units when requested: (1) the Preferred Coupon rate increases by an additional 0.50% per quarter, subject to a maximum of 4.00% per annum above the then-applicable rate, with all accrued distributions compounding quarterly at the Preferred Coupon plus the penalty rate; and (2) any residual cash flow of OPAL Fuels and its subsidiaries after operating expenses and capital expenditures must be applied to redeem the Series A preferred units at the applicable Redemption Price until the failure is cured. The applicable Redemption Price is (i) a price equal to at least 1.15 times the original issue price (inclusive of all fees paid and accrued dividends) on or prior to the first anniversary of the initial closing, (ii) 102% of the original issue price (exclusive of fees) after the first but on or prior to the second anniversary, and (iii) the original issue price plus accrued and unpaid cash dividends thereafter. Preferred Fuels also has the right, but not the obligation, to appoint a single director to the Board of Directors of OPAL Fuels Inc. if the redemption failure is not cured within 90 days.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our cash flows for the three months ended March 31, 2026 and 2025:</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10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810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29,679</w:t>
            </w: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340" w:type="dxa"/>
            <w:vAlign w:val="bottom"/>
          </w:tcPr>
          <w:p>
            <w:pPr>
              <w:spacing w:after="0"/>
              <w:rPr>
                <w:sz w:val="21"/>
                <w:szCs w:val="21"/>
                <w:color w:val="auto"/>
              </w:rPr>
            </w:pPr>
          </w:p>
        </w:tc>
        <w:tc>
          <w:tcPr>
            <w:tcW w:w="11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(9,277)</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115,124</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restricted cash, and cash equivalents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108,656</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15,670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was $12.9 million, a decrease of $16.8 million compared to $29.7 million for the three months ended March 31,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attributable to unfavorable changes in working capital, higher net loss and lower noncash items.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8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was $19.4 million, an increase of $10.1 million compared to the $9.3 million used in investing activities for the three months ended March 31, 2025.</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was primarily attributable to an increase in payments made for the construction of various RNG generation and dispensing facilities in 2026 compared to 2025 and a decrease in distributions received from equity method investments. These were partially offset by lower contributions made to equity method investments.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$115.1 million, an increase of $119.9 million compared to the net cash used in financing activities of $4.7 million for the three months ended March 31, 2025.</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This was primarily attributable to an increase in proceeds from long-term loans and an increase in from the issuance of preferred stock. These were partially offset by redemption of shares of preferred stock and an increase in repayment of loans.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other cash commitments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of March 31, 2026, we anticipate spending of approximately $155.0 million in capital expenditures for the next 12 months for RNG projects, fuel stations and our share of contributions in our equity method investment projects. This includes projects which have not been fully committed.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 w:cs="Times New Roman" w:eastAsia="Times New Roman" w:hAnsi="Times New Roman"/>
          <w:sz w:val="18"/>
          <w:szCs w:val="18"/>
          <w:b w:val="1"/>
          <w:bCs w:val="1"/>
          <w:color w:val="auto"/>
        </w:rPr>
        <w:t>.</w:t>
      </w:r>
    </w:p>
    <w:p>
      <w:pPr>
        <w:spacing w:after="0" w:line="14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In addition to the above, we also have lease commitments on our vehicle fleets and office leases and quarterly amortization payment obligations under various debt facilities. Please see </w:t>
      </w:r>
      <w:r>
        <w:rPr>
          <w:rFonts w:ascii="Times New Roman" w:cs="Times New Roman" w:eastAsia="Times New Roman" w:hAnsi="Times New Roman"/>
          <w:sz w:val="18"/>
          <w:szCs w:val="18"/>
          <w:i w:val="1"/>
          <w:iCs w:val="1"/>
          <w:color w:val="auto"/>
        </w:rPr>
        <w:t>Note 3. Loans and Note 12. Commitments and Contingencies</w:t>
      </w:r>
      <w:r>
        <w:rPr>
          <w:rFonts w:ascii="Times New Roman" w:cs="Times New Roman" w:eastAsia="Times New Roman" w:hAnsi="Times New Roman"/>
          <w:sz w:val="18"/>
          <w:szCs w:val="18"/>
          <w:color w:val="auto"/>
        </w:rPr>
        <w:t xml:space="preserve"> to our condensed consolidated financial statements for additional information.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We plan to fund these expenditures primarily through cash on hand, cash generated from operations and availability under existing debt facilities.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required to provide the information required by this Item because it is a “smaller reporting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our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Based on that evaluation of our disclosure controls and procedures as required by Rules 13a-15(b) or 15d-15(b) under the Exchange Act, as of March 31, 2026, our Co-Chief Executive Officers and Chief Financial Officer concluded that, as of such date, our disclosure controls and procedures were effective for the period covered by this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or 15d-15(f) under the Exchange Act) was identified in the evaluation required by Rule 13a-15(d) or 15d-15(d) under the Exchange Act during the quarter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We do not believe that the outcome of any of our current legal proceedings will have a material adverse impact on our business, financial condition and results of operations. For more information about our pending legal proceedings, please refer to </w:t>
      </w:r>
      <w:r>
        <w:rPr>
          <w:rFonts w:ascii="Times New Roman" w:cs="Times New Roman" w:eastAsia="Times New Roman" w:hAnsi="Times New Roman"/>
          <w:sz w:val="18"/>
          <w:szCs w:val="18"/>
          <w:i w:val="1"/>
          <w:iCs w:val="1"/>
          <w:color w:val="auto"/>
        </w:rPr>
        <w:t>Note 12. Commitments and Contingencies</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Except as described below, there have been no material changes from the “Risk Factors” previously disclosed in our Annual Report on Form 10-K for the year ended December 31, 2025, filed with the SEC on March 16, 2026. The risks described in such reports are not the only risks we face. Additional risks and uncertainties not currently known to us or that we currently deem to be immaterial also may materially adversely affect our business, financial condition or future results.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Rule 10b5-1 Trading Plans</w:t>
      </w:r>
    </w:p>
    <w:p>
      <w:pPr>
        <w:spacing w:after="0" w:line="2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fiscal quarter ended March 31,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ind w:left="26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955" cy="273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273050"/>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sectPr>
      </w:pP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3.2</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4.1</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10.1</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31.1</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31.2</w:t>
      </w:r>
    </w:p>
    <w:p>
      <w:pPr>
        <w:spacing w:after="0" w:line="2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31.3</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32.1*</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32.2*</w:t>
      </w:r>
    </w:p>
    <w:p>
      <w:pPr>
        <w:spacing w:after="0" w:line="21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32.3*</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101.INS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101.SCH</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101.CAL</w:t>
      </w:r>
    </w:p>
    <w:p>
      <w:pPr>
        <w:spacing w:after="0" w:line="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101.DEF</w:t>
      </w:r>
    </w:p>
    <w:p>
      <w:pPr>
        <w:spacing w:after="0" w:line="2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101.LAB</w:t>
      </w:r>
    </w:p>
    <w:p>
      <w:pPr>
        <w:spacing w:after="0" w:line="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101.PRE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80"/>
        <w:spacing w:after="0" w:line="236" w:lineRule="auto"/>
        <w:rPr>
          <w:rFonts w:ascii="Times New Roman" w:cs="Times New Roman" w:eastAsia="Times New Roman" w:hAnsi="Times New Roman"/>
          <w:sz w:val="18"/>
          <w:szCs w:val="18"/>
          <w:u w:val="single" w:color="auto"/>
          <w:color w:val="0000FF"/>
        </w:rPr>
      </w:pPr>
      <w:hyperlink r:id="rId73">
        <w:r>
          <w:rPr>
            <w:rFonts w:ascii="Times New Roman" w:cs="Times New Roman" w:eastAsia="Times New Roman" w:hAnsi="Times New Roman"/>
            <w:sz w:val="18"/>
            <w:szCs w:val="18"/>
            <w:u w:val="single" w:color="auto"/>
            <w:color w:val="0000FF"/>
          </w:rPr>
          <w:t>Restated Certificate of Incorporation of OPAL Fuels Inc. (incorporated by reference to Exhibit 3.1 to the Current Report on Form 8-K/A</w:t>
        </w:r>
      </w:hyperlink>
      <w:r>
        <w:rPr>
          <w:rFonts w:ascii="Times New Roman" w:cs="Times New Roman" w:eastAsia="Times New Roman" w:hAnsi="Times New Roman"/>
          <w:sz w:val="18"/>
          <w:szCs w:val="18"/>
          <w:u w:val="single" w:color="auto"/>
          <w:color w:val="0000FF"/>
        </w:rPr>
        <w:t xml:space="preserve"> </w:t>
      </w:r>
      <w:hyperlink r:id="rId73">
        <w:r>
          <w:rPr>
            <w:rFonts w:ascii="Times New Roman" w:cs="Times New Roman" w:eastAsia="Times New Roman" w:hAnsi="Times New Roman"/>
            <w:sz w:val="18"/>
            <w:szCs w:val="18"/>
            <w:u w:val="single" w:color="auto"/>
            <w:color w:val="0000FF"/>
          </w:rPr>
          <w:t>filed by the Company on August 10, 2022).</w:t>
        </w:r>
      </w:hyperlink>
    </w:p>
    <w:p>
      <w:pPr>
        <w:spacing w:after="0" w:line="10" w:lineRule="exact"/>
        <w:rPr>
          <w:sz w:val="20"/>
          <w:szCs w:val="20"/>
          <w:color w:val="auto"/>
        </w:rPr>
      </w:pPr>
    </w:p>
    <w:p>
      <w:pPr>
        <w:ind w:right="20"/>
        <w:spacing w:after="0" w:line="236" w:lineRule="auto"/>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u w:val="single" w:color="auto"/>
            <w:color w:val="0000FF"/>
          </w:rPr>
          <w:t>Bylaws of OPAL Fuels Inc. (incorporated by reference to Exhibit 3.2 to the Current Report on Form 8-K filed by the Company on July 27,</w:t>
        </w:r>
      </w:hyperlink>
      <w:r>
        <w:rPr>
          <w:rFonts w:ascii="Times New Roman" w:cs="Times New Roman" w:eastAsia="Times New Roman" w:hAnsi="Times New Roman"/>
          <w:sz w:val="18"/>
          <w:szCs w:val="18"/>
          <w:u w:val="single" w:color="auto"/>
          <w:color w:val="0000FF"/>
        </w:rPr>
        <w:t xml:space="preserve"> </w:t>
      </w:r>
      <w:hyperlink r:id="rId74">
        <w:r>
          <w:rPr>
            <w:rFonts w:ascii="Times New Roman" w:cs="Times New Roman" w:eastAsia="Times New Roman" w:hAnsi="Times New Roman"/>
            <w:sz w:val="18"/>
            <w:szCs w:val="18"/>
            <w:u w:val="single" w:color="auto"/>
            <w:color w:val="0000FF"/>
          </w:rPr>
          <w:t>2022)</w:t>
        </w:r>
        <w:r>
          <w:rPr>
            <w:rFonts w:ascii="Times New Roman" w:cs="Times New Roman" w:eastAsia="Times New Roman" w:hAnsi="Times New Roman"/>
            <w:sz w:val="18"/>
            <w:szCs w:val="18"/>
            <w:color w:val="000000"/>
          </w:rPr>
          <w:t>.</w:t>
        </w:r>
      </w:hyperlink>
    </w:p>
    <w:p>
      <w:pPr>
        <w:spacing w:after="0" w:line="10" w:lineRule="exact"/>
        <w:rPr>
          <w:sz w:val="20"/>
          <w:szCs w:val="20"/>
          <w:color w:val="auto"/>
        </w:rPr>
      </w:pPr>
    </w:p>
    <w:p>
      <w:pPr>
        <w:ind w:right="20"/>
        <w:spacing w:after="0" w:line="236" w:lineRule="auto"/>
        <w:rPr>
          <w:rFonts w:ascii="Times New Roman" w:cs="Times New Roman" w:eastAsia="Times New Roman" w:hAnsi="Times New Roman"/>
          <w:sz w:val="18"/>
          <w:szCs w:val="18"/>
          <w:u w:val="single" w:color="auto"/>
          <w:color w:val="0000FF"/>
        </w:rPr>
      </w:pPr>
      <w:hyperlink r:id="rId75">
        <w:r>
          <w:rPr>
            <w:rFonts w:ascii="Times New Roman" w:cs="Times New Roman" w:eastAsia="Times New Roman" w:hAnsi="Times New Roman"/>
            <w:sz w:val="18"/>
            <w:szCs w:val="18"/>
            <w:u w:val="single" w:color="auto"/>
            <w:color w:val="0000FF"/>
          </w:rPr>
          <w:t>Amended and Restated Certificate of Designations of Series A Preferred Units of OPAL Fuels LLC, dated March 6, 2026 (incorporated by</w:t>
        </w:r>
      </w:hyperlink>
      <w:r>
        <w:rPr>
          <w:rFonts w:ascii="Times New Roman" w:cs="Times New Roman" w:eastAsia="Times New Roman" w:hAnsi="Times New Roman"/>
          <w:sz w:val="18"/>
          <w:szCs w:val="18"/>
          <w:u w:val="single" w:color="auto"/>
          <w:color w:val="0000FF"/>
        </w:rPr>
        <w:t xml:space="preserve"> </w:t>
      </w:r>
      <w:hyperlink r:id="rId75">
        <w:r>
          <w:rPr>
            <w:rFonts w:ascii="Times New Roman" w:cs="Times New Roman" w:eastAsia="Times New Roman" w:hAnsi="Times New Roman"/>
            <w:sz w:val="18"/>
            <w:szCs w:val="18"/>
            <w:u w:val="single" w:color="auto"/>
            <w:color w:val="0000FF"/>
          </w:rPr>
          <w:t>reference to Exhibit 3.1 to the Current Report on Form 8-K filed by the Company on March 9,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-254635</wp:posOffset>
            </wp:positionV>
            <wp:extent cx="7132955" cy="2647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right="460"/>
        <w:spacing w:after="0" w:line="236" w:lineRule="auto"/>
        <w:rPr>
          <w:rFonts w:ascii="Times New Roman" w:cs="Times New Roman" w:eastAsia="Times New Roman" w:hAnsi="Times New Roman"/>
          <w:sz w:val="18"/>
          <w:szCs w:val="18"/>
          <w:u w:val="single" w:color="auto"/>
          <w:color w:val="0000FF"/>
        </w:rPr>
      </w:pPr>
      <w:hyperlink r:id="rId77">
        <w:r>
          <w:rPr>
            <w:rFonts w:ascii="Times New Roman" w:cs="Times New Roman" w:eastAsia="Times New Roman" w:hAnsi="Times New Roman"/>
            <w:sz w:val="18"/>
            <w:szCs w:val="18"/>
            <w:u w:val="single" w:color="auto"/>
            <w:color w:val="0000FF"/>
          </w:rPr>
          <w:t>Warrant, dated March 6, 2026 (incorporated by reference to Exhibit 4.1 to the Current Report on Form 8-K filed by the Company on</w:t>
        </w:r>
      </w:hyperlink>
      <w:r>
        <w:rPr>
          <w:rFonts w:ascii="Times New Roman" w:cs="Times New Roman" w:eastAsia="Times New Roman" w:hAnsi="Times New Roman"/>
          <w:sz w:val="18"/>
          <w:szCs w:val="18"/>
          <w:u w:val="single" w:color="auto"/>
          <w:color w:val="0000FF"/>
        </w:rPr>
        <w:t xml:space="preserve"> </w:t>
      </w:r>
      <w:hyperlink r:id="rId77">
        <w:r>
          <w:rPr>
            <w:rFonts w:ascii="Times New Roman" w:cs="Times New Roman" w:eastAsia="Times New Roman" w:hAnsi="Times New Roman"/>
            <w:sz w:val="18"/>
            <w:szCs w:val="18"/>
            <w:u w:val="single" w:color="auto"/>
            <w:color w:val="0000FF"/>
          </w:rPr>
          <w:t>March 9, 2026)</w:t>
        </w:r>
      </w:hyperlink>
    </w:p>
    <w:p>
      <w:pPr>
        <w:spacing w:after="0" w:line="10" w:lineRule="exact"/>
        <w:rPr>
          <w:sz w:val="20"/>
          <w:szCs w:val="20"/>
          <w:color w:val="auto"/>
        </w:rPr>
      </w:pPr>
    </w:p>
    <w:p>
      <w:pPr>
        <w:ind w:right="180"/>
        <w:spacing w:after="0" w:line="236" w:lineRule="auto"/>
        <w:rPr>
          <w:rFonts w:ascii="Times New Roman" w:cs="Times New Roman" w:eastAsia="Times New Roman" w:hAnsi="Times New Roman"/>
          <w:sz w:val="18"/>
          <w:szCs w:val="18"/>
          <w:u w:val="single" w:color="auto"/>
          <w:color w:val="0000FF"/>
        </w:rPr>
      </w:pPr>
      <w:hyperlink r:id="rId78">
        <w:r>
          <w:rPr>
            <w:rFonts w:ascii="Times New Roman" w:cs="Times New Roman" w:eastAsia="Times New Roman" w:hAnsi="Times New Roman"/>
            <w:sz w:val="18"/>
            <w:szCs w:val="18"/>
            <w:u w:val="single" w:color="auto"/>
            <w:color w:val="0000FF"/>
          </w:rPr>
          <w:t>Subscription Agreement, dated March 6, 2026 (incorporated by reference to Exhibit 10.1 to the Current Report on Form 8-K filed by the</w:t>
        </w:r>
      </w:hyperlink>
      <w:r>
        <w:rPr>
          <w:rFonts w:ascii="Times New Roman" w:cs="Times New Roman" w:eastAsia="Times New Roman" w:hAnsi="Times New Roman"/>
          <w:sz w:val="18"/>
          <w:szCs w:val="18"/>
          <w:u w:val="single" w:color="auto"/>
          <w:color w:val="0000FF"/>
        </w:rPr>
        <w:t xml:space="preserve"> </w:t>
      </w:r>
      <w:hyperlink r:id="rId78">
        <w:r>
          <w:rPr>
            <w:rFonts w:ascii="Times New Roman" w:cs="Times New Roman" w:eastAsia="Times New Roman" w:hAnsi="Times New Roman"/>
            <w:sz w:val="18"/>
            <w:szCs w:val="18"/>
            <w:u w:val="single" w:color="auto"/>
            <w:color w:val="0000FF"/>
          </w:rPr>
          <w:t>Company on March 9,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-254635</wp:posOffset>
            </wp:positionV>
            <wp:extent cx="7132955" cy="2647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right="120"/>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Rules 13a-14(a) and 15d-14(a) under the Securities Exchange Act of 1934,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-254635</wp:posOffset>
            </wp:positionV>
            <wp:extent cx="7132955" cy="264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right="440"/>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0"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-254635</wp:posOffset>
            </wp:positionV>
            <wp:extent cx="7132955" cy="2647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ind w:right="120"/>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Co-Principal Executive Officer Pursuant to 18 U.S.C. Section 1350, as Adopted Pursuant to Section 906 of the Sarbanes-Oxley Act of 2002.</w:t>
      </w:r>
    </w:p>
    <w:p>
      <w:pPr>
        <w:spacing w:after="0" w:line="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-254635</wp:posOffset>
            </wp:positionV>
            <wp:extent cx="7132955" cy="2647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955" cy="2647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Inline XBRL Instance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17145</wp:posOffset>
            </wp:positionV>
            <wp:extent cx="713295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13970</wp:posOffset>
            </wp:positionV>
            <wp:extent cx="7132955"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13970</wp:posOffset>
            </wp:positionV>
            <wp:extent cx="713295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22" w:lineRule="exact"/>
        <w:rPr>
          <w:sz w:val="20"/>
          <w:szCs w:val="20"/>
          <w:color w:val="auto"/>
        </w:rPr>
      </w:pPr>
    </w:p>
    <w:p>
      <w:pPr>
        <w:sectPr>
          <w:pgSz w:w="11900" w:h="16838" w:orient="portrait"/>
          <w:cols w:equalWidth="0" w:num="2">
            <w:col w:w="900" w:space="340"/>
            <w:col w:w="9980"/>
          </w:cols>
          <w:pgMar w:left="320" w:top="1099" w:right="359" w:bottom="1440" w:gutter="0" w:footer="0" w:header="0"/>
          <w:type w:val="continuous"/>
        </w:sectPr>
      </w:pPr>
    </w:p>
    <w:p>
      <w:pPr>
        <w:ind w:left="1240" w:hanging="802"/>
        <w:spacing w:after="0"/>
        <w:tabs>
          <w:tab w:leader="none" w:pos="12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78" w:lineRule="exact"/>
        <w:rPr>
          <w:rFonts w:ascii="Times New Roman" w:cs="Times New Roman" w:eastAsia="Times New Roman" w:hAnsi="Times New Roman"/>
          <w:sz w:val="18"/>
          <w:szCs w:val="18"/>
          <w:color w:val="auto"/>
        </w:rPr>
      </w:pPr>
    </w:p>
    <w:p>
      <w:pPr>
        <w:ind w:left="660" w:hanging="433"/>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or the Exchange 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Test Hyperlink Ex 31.1</w:t>
      </w: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192405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3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60" w:lineRule="exact"/>
        <w:rPr>
          <w:sz w:val="20"/>
          <w:szCs w:val="20"/>
          <w:color w:val="auto"/>
        </w:rPr>
      </w:pPr>
    </w:p>
    <w:tbl>
      <w:tblPr>
        <w:tblLayout w:type="fixed"/>
        <w:tblInd w:w="592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Jonathan Maurer</w:t>
            </w:r>
          </w:p>
        </w:tc>
      </w:tr>
      <w:tr>
        <w:trPr>
          <w:trHeight w:val="24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Jonathan Maurer</w:t>
            </w:r>
          </w:p>
        </w:tc>
      </w:tr>
      <w:tr>
        <w:trPr>
          <w:trHeight w:val="25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pacing w:after="0" w:line="354"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60" w:lineRule="exact"/>
        <w:rPr>
          <w:sz w:val="20"/>
          <w:szCs w:val="20"/>
          <w:color w:val="auto"/>
        </w:rPr>
      </w:pPr>
    </w:p>
    <w:p>
      <w:pPr>
        <w:ind w:left="9340"/>
        <w:spacing w:after="0"/>
        <w:tabs>
          <w:tab w:leader="none" w:pos="9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6257925</wp:posOffset>
            </wp:positionH>
            <wp:positionV relativeFrom="paragraph">
              <wp:posOffset>25400</wp:posOffset>
            </wp:positionV>
            <wp:extent cx="8801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29"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62" w:lineRule="exact"/>
        <w:rPr>
          <w:sz w:val="20"/>
          <w:szCs w:val="20"/>
          <w:color w:val="auto"/>
        </w:rPr>
      </w:pPr>
    </w:p>
    <w:p>
      <w:pPr>
        <w:ind w:left="9340"/>
        <w:spacing w:after="0"/>
        <w:tabs>
          <w:tab w:leader="none" w:pos="9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w:t>
      </w:r>
    </w:p>
    <w:p>
      <w:pPr>
        <w:spacing w:after="0" w:line="15" w:lineRule="exact"/>
        <w:rPr>
          <w:sz w:val="20"/>
          <w:szCs w:val="20"/>
          <w:color w:val="auto"/>
        </w:rPr>
      </w:pPr>
    </w:p>
    <w:p>
      <w:pPr>
        <w:ind w:left="9880"/>
        <w:spacing w:after="0"/>
        <w:rPr>
          <w:sz w:val="20"/>
          <w:szCs w:val="20"/>
          <w:color w:val="auto"/>
        </w:rPr>
      </w:pPr>
      <w:r>
        <w:rPr>
          <w:rFonts w:ascii="Times New Roman" w:cs="Times New Roman" w:eastAsia="Times New Roman" w:hAnsi="Times New Roman"/>
          <w:sz w:val="18"/>
          <w:szCs w:val="18"/>
          <w:color w:val="auto"/>
        </w:rPr>
        <w:t>Executive Officer</w:t>
      </w:r>
    </w:p>
    <w:p>
      <w:pPr>
        <w:spacing w:after="0" w:line="34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160" w:lineRule="exact"/>
        <w:rPr>
          <w:sz w:val="20"/>
          <w:szCs w:val="20"/>
          <w:color w:val="auto"/>
        </w:rPr>
      </w:pPr>
    </w:p>
    <w:p>
      <w:pPr>
        <w:ind w:left="8120"/>
        <w:spacing w:after="0"/>
        <w:tabs>
          <w:tab w:leader="none" w:pos="8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5480685</wp:posOffset>
            </wp:positionH>
            <wp:positionV relativeFrom="paragraph">
              <wp:posOffset>25400</wp:posOffset>
            </wp:positionV>
            <wp:extent cx="16573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29"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Name: Kazi Hasan</w:t>
      </w:r>
    </w:p>
    <w:p>
      <w:pPr>
        <w:spacing w:after="0" w:line="62" w:lineRule="exact"/>
        <w:rPr>
          <w:sz w:val="20"/>
          <w:szCs w:val="20"/>
          <w:color w:val="auto"/>
        </w:rPr>
      </w:pPr>
    </w:p>
    <w:p>
      <w:pPr>
        <w:ind w:left="8120"/>
        <w:spacing w:after="0"/>
        <w:tabs>
          <w:tab w:leader="none" w:pos="8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1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9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ind w:left="2140"/>
        <w:spacing w:after="0" w:line="208" w:lineRule="auto"/>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Comora, certify that:</w:t>
      </w:r>
    </w:p>
    <w:p>
      <w:pPr>
        <w:spacing w:after="0" w:line="156" w:lineRule="exact"/>
        <w:rPr>
          <w:sz w:val="20"/>
          <w:szCs w:val="20"/>
          <w:color w:val="auto"/>
        </w:rPr>
      </w:pPr>
    </w:p>
    <w:p>
      <w:pPr>
        <w:ind w:left="460" w:hanging="435"/>
        <w:spacing w:after="0"/>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OPAL Fuels Inc.;</w:t>
      </w:r>
    </w:p>
    <w:p>
      <w:pPr>
        <w:spacing w:after="0" w:line="290" w:lineRule="exact"/>
        <w:rPr>
          <w:rFonts w:ascii="Times New Roman" w:cs="Times New Roman" w:eastAsia="Times New Roman" w:hAnsi="Times New Roman"/>
          <w:sz w:val="18"/>
          <w:szCs w:val="18"/>
          <w:color w:val="auto"/>
        </w:rPr>
      </w:pPr>
    </w:p>
    <w:p>
      <w:pPr>
        <w:jc w:val="both"/>
        <w:ind w:left="460" w:right="340" w:hanging="435"/>
        <w:spacing w:after="0" w:line="280"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460" w:right="300" w:hanging="435"/>
        <w:spacing w:after="0" w:line="29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60" w:right="340" w:hanging="435"/>
        <w:spacing w:after="0" w:line="272"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Times New Roman" w:cs="Times New Roman" w:eastAsia="Times New Roman" w:hAnsi="Times New Roman"/>
          <w:sz w:val="18"/>
          <w:szCs w:val="18"/>
          <w:color w:val="auto"/>
        </w:rPr>
      </w:pPr>
    </w:p>
    <w:p>
      <w:pPr>
        <w:ind w:left="1040" w:right="40" w:hanging="571"/>
        <w:spacing w:after="0" w:line="280"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1040" w:right="340" w:hanging="571"/>
        <w:spacing w:after="0" w:line="272"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1" w:lineRule="exact"/>
        <w:rPr>
          <w:rFonts w:ascii="Times New Roman" w:cs="Times New Roman" w:eastAsia="Times New Roman" w:hAnsi="Times New Roman"/>
          <w:sz w:val="18"/>
          <w:szCs w:val="18"/>
          <w:color w:val="auto"/>
        </w:rPr>
      </w:pPr>
    </w:p>
    <w:p>
      <w:pPr>
        <w:jc w:val="both"/>
        <w:ind w:left="1040" w:right="520" w:hanging="571"/>
        <w:spacing w:after="0" w:line="311" w:lineRule="auto"/>
        <w:tabs>
          <w:tab w:leader="none" w:pos="104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040" w:right="20" w:hanging="571"/>
        <w:spacing w:after="0" w:line="280"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460" w:right="40" w:hanging="435"/>
        <w:spacing w:after="0" w:line="296" w:lineRule="auto"/>
        <w:tabs>
          <w:tab w:leader="none" w:pos="4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760" w:hanging="571"/>
        <w:spacing w:after="0" w:line="280"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Times New Roman" w:cs="Times New Roman" w:eastAsia="Times New Roman" w:hAnsi="Times New Roman"/>
          <w:sz w:val="18"/>
          <w:szCs w:val="18"/>
          <w:color w:val="auto"/>
        </w:rPr>
      </w:pPr>
    </w:p>
    <w:p>
      <w:pPr>
        <w:ind w:left="1040" w:right="440" w:hanging="571"/>
        <w:spacing w:after="0" w:line="296" w:lineRule="auto"/>
        <w:tabs>
          <w:tab w:leader="none" w:pos="10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ind w:left="20"/>
        <w:spacing w:after="0"/>
        <w:tabs>
          <w:tab w:leader="none" w:pos="5700" w:val="left"/>
          <w:tab w:leader="none" w:pos="62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42545</wp:posOffset>
            </wp:positionV>
            <wp:extent cx="31946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3194685" cy="8255"/>
                    </a:xfrm>
                    <a:prstGeom prst="rect">
                      <a:avLst/>
                    </a:prstGeom>
                    <a:noFill/>
                  </pic:spPr>
                </pic:pic>
              </a:graphicData>
            </a:graphic>
          </wp:anchor>
        </w:drawing>
      </w:r>
    </w:p>
    <w:p>
      <w:pPr>
        <w:spacing w:after="0" w:line="6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74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9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ind w:left="2140"/>
        <w:spacing w:after="0" w:line="208" w:lineRule="auto"/>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Jonathan Maurer, certify that:</w:t>
      </w:r>
    </w:p>
    <w:p>
      <w:pPr>
        <w:spacing w:after="0" w:line="156" w:lineRule="exact"/>
        <w:rPr>
          <w:sz w:val="20"/>
          <w:szCs w:val="20"/>
          <w:color w:val="auto"/>
        </w:rPr>
      </w:pPr>
    </w:p>
    <w:p>
      <w:pPr>
        <w:ind w:left="460" w:hanging="435"/>
        <w:spacing w:after="0"/>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OPAL Fuels Inc.;</w:t>
      </w:r>
    </w:p>
    <w:p>
      <w:pPr>
        <w:spacing w:after="0" w:line="290" w:lineRule="exact"/>
        <w:rPr>
          <w:rFonts w:ascii="Times New Roman" w:cs="Times New Roman" w:eastAsia="Times New Roman" w:hAnsi="Times New Roman"/>
          <w:sz w:val="18"/>
          <w:szCs w:val="18"/>
          <w:color w:val="auto"/>
        </w:rPr>
      </w:pPr>
    </w:p>
    <w:p>
      <w:pPr>
        <w:jc w:val="both"/>
        <w:ind w:left="460" w:right="340" w:hanging="435"/>
        <w:spacing w:after="0" w:line="280"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460" w:right="300" w:hanging="435"/>
        <w:spacing w:after="0" w:line="29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60" w:right="340" w:hanging="435"/>
        <w:spacing w:after="0" w:line="272"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Times New Roman" w:cs="Times New Roman" w:eastAsia="Times New Roman" w:hAnsi="Times New Roman"/>
          <w:sz w:val="18"/>
          <w:szCs w:val="18"/>
          <w:color w:val="auto"/>
        </w:rPr>
      </w:pPr>
    </w:p>
    <w:p>
      <w:pPr>
        <w:ind w:left="1040" w:right="40" w:hanging="571"/>
        <w:spacing w:after="0" w:line="280"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1040" w:right="340" w:hanging="571"/>
        <w:spacing w:after="0" w:line="272"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1" w:lineRule="exact"/>
        <w:rPr>
          <w:rFonts w:ascii="Times New Roman" w:cs="Times New Roman" w:eastAsia="Times New Roman" w:hAnsi="Times New Roman"/>
          <w:sz w:val="18"/>
          <w:szCs w:val="18"/>
          <w:color w:val="auto"/>
        </w:rPr>
      </w:pPr>
    </w:p>
    <w:p>
      <w:pPr>
        <w:jc w:val="both"/>
        <w:ind w:left="1040" w:right="520" w:hanging="571"/>
        <w:spacing w:after="0" w:line="311" w:lineRule="auto"/>
        <w:tabs>
          <w:tab w:leader="none" w:pos="104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040" w:right="20" w:hanging="571"/>
        <w:spacing w:after="0" w:line="280"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460" w:right="40" w:hanging="435"/>
        <w:spacing w:after="0" w:line="296" w:lineRule="auto"/>
        <w:tabs>
          <w:tab w:leader="none" w:pos="4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760" w:hanging="571"/>
        <w:spacing w:after="0" w:line="280"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Times New Roman" w:cs="Times New Roman" w:eastAsia="Times New Roman" w:hAnsi="Times New Roman"/>
          <w:sz w:val="18"/>
          <w:szCs w:val="18"/>
          <w:color w:val="auto"/>
        </w:rPr>
      </w:pPr>
    </w:p>
    <w:p>
      <w:pPr>
        <w:ind w:left="1040" w:right="440" w:hanging="571"/>
        <w:spacing w:after="0" w:line="296" w:lineRule="auto"/>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7" w:lineRule="exact"/>
        <w:rPr>
          <w:sz w:val="20"/>
          <w:szCs w:val="20"/>
          <w:color w:val="auto"/>
        </w:rPr>
      </w:pPr>
    </w:p>
    <w:p>
      <w:pPr>
        <w:ind w:left="20"/>
        <w:spacing w:after="0"/>
        <w:tabs>
          <w:tab w:leader="none" w:pos="5620" w:val="left"/>
          <w:tab w:leader="none" w:pos="62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42545</wp:posOffset>
            </wp:positionV>
            <wp:extent cx="31946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3194685" cy="8255"/>
                    </a:xfrm>
                    <a:prstGeom prst="rect">
                      <a:avLst/>
                    </a:prstGeom>
                    <a:noFill/>
                  </pic:spPr>
                </pic:pic>
              </a:graphicData>
            </a:graphic>
          </wp:anchor>
        </w:drawing>
      </w:r>
    </w:p>
    <w:p>
      <w:pPr>
        <w:spacing w:after="0" w:line="6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Co-Chief Executive Officer</w:t>
      </w:r>
    </w:p>
    <w:p>
      <w:pPr>
        <w:spacing w:after="0" w:line="7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749" w:right="339" w:bottom="1440"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98"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CERTIFICATION PURSUANT TO RULES 13a-14(a) AND 15d-14(a)</w:t>
      </w:r>
    </w:p>
    <w:p>
      <w:pPr>
        <w:ind w:left="2140"/>
        <w:spacing w:after="0" w:line="208" w:lineRule="auto"/>
        <w:rPr>
          <w:sz w:val="20"/>
          <w:szCs w:val="20"/>
          <w:color w:val="auto"/>
        </w:rPr>
      </w:pPr>
      <w:r>
        <w:rPr>
          <w:rFonts w:ascii="Times New Roman" w:cs="Times New Roman" w:eastAsia="Times New Roman" w:hAnsi="Times New Roman"/>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Kazi Hasan, certify that:</w:t>
      </w:r>
    </w:p>
    <w:p>
      <w:pPr>
        <w:spacing w:after="0" w:line="156" w:lineRule="exact"/>
        <w:rPr>
          <w:sz w:val="20"/>
          <w:szCs w:val="20"/>
          <w:color w:val="auto"/>
        </w:rPr>
      </w:pPr>
    </w:p>
    <w:p>
      <w:pPr>
        <w:ind w:left="460" w:hanging="435"/>
        <w:spacing w:after="0"/>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OPAL Fuels Inc.;</w:t>
      </w:r>
    </w:p>
    <w:p>
      <w:pPr>
        <w:spacing w:after="0" w:line="290" w:lineRule="exact"/>
        <w:rPr>
          <w:rFonts w:ascii="Times New Roman" w:cs="Times New Roman" w:eastAsia="Times New Roman" w:hAnsi="Times New Roman"/>
          <w:sz w:val="18"/>
          <w:szCs w:val="18"/>
          <w:color w:val="auto"/>
        </w:rPr>
      </w:pPr>
    </w:p>
    <w:p>
      <w:pPr>
        <w:jc w:val="both"/>
        <w:ind w:left="460" w:right="340" w:hanging="435"/>
        <w:spacing w:after="0" w:line="280"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460" w:right="300" w:hanging="435"/>
        <w:spacing w:after="0" w:line="29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Times New Roman" w:cs="Times New Roman" w:eastAsia="Times New Roman" w:hAnsi="Times New Roman"/>
          <w:sz w:val="18"/>
          <w:szCs w:val="18"/>
          <w:color w:val="auto"/>
        </w:rPr>
      </w:pPr>
    </w:p>
    <w:p>
      <w:pPr>
        <w:jc w:val="both"/>
        <w:ind w:left="460" w:right="340" w:hanging="435"/>
        <w:spacing w:after="0" w:line="272"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7" w:lineRule="exact"/>
        <w:rPr>
          <w:rFonts w:ascii="Times New Roman" w:cs="Times New Roman" w:eastAsia="Times New Roman" w:hAnsi="Times New Roman"/>
          <w:sz w:val="18"/>
          <w:szCs w:val="18"/>
          <w:color w:val="auto"/>
        </w:rPr>
      </w:pPr>
    </w:p>
    <w:p>
      <w:pPr>
        <w:ind w:left="1040" w:right="20" w:hanging="571"/>
        <w:spacing w:after="0" w:line="280"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0" w:lineRule="exact"/>
        <w:rPr>
          <w:rFonts w:ascii="Times New Roman" w:cs="Times New Roman" w:eastAsia="Times New Roman" w:hAnsi="Times New Roman"/>
          <w:sz w:val="18"/>
          <w:szCs w:val="18"/>
          <w:color w:val="auto"/>
        </w:rPr>
      </w:pPr>
    </w:p>
    <w:p>
      <w:pPr>
        <w:ind w:left="1040" w:right="340" w:hanging="571"/>
        <w:spacing w:after="0" w:line="272"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1" w:lineRule="exact"/>
        <w:rPr>
          <w:rFonts w:ascii="Times New Roman" w:cs="Times New Roman" w:eastAsia="Times New Roman" w:hAnsi="Times New Roman"/>
          <w:sz w:val="18"/>
          <w:szCs w:val="18"/>
          <w:color w:val="auto"/>
        </w:rPr>
      </w:pPr>
    </w:p>
    <w:p>
      <w:pPr>
        <w:jc w:val="both"/>
        <w:ind w:left="1040" w:right="500" w:hanging="571"/>
        <w:spacing w:after="0" w:line="311" w:lineRule="auto"/>
        <w:tabs>
          <w:tab w:leader="none" w:pos="104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040" w:right="20" w:hanging="571"/>
        <w:spacing w:after="0" w:line="280"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0" w:lineRule="exact"/>
        <w:rPr>
          <w:rFonts w:ascii="Times New Roman" w:cs="Times New Roman" w:eastAsia="Times New Roman" w:hAnsi="Times New Roman"/>
          <w:sz w:val="18"/>
          <w:szCs w:val="18"/>
          <w:color w:val="auto"/>
        </w:rPr>
      </w:pPr>
    </w:p>
    <w:p>
      <w:pPr>
        <w:ind w:left="460" w:right="40" w:hanging="435"/>
        <w:spacing w:after="0" w:line="29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5" w:lineRule="exact"/>
        <w:rPr>
          <w:rFonts w:ascii="Times New Roman" w:cs="Times New Roman" w:eastAsia="Times New Roman" w:hAnsi="Times New Roman"/>
          <w:sz w:val="18"/>
          <w:szCs w:val="18"/>
          <w:color w:val="auto"/>
        </w:rPr>
      </w:pPr>
    </w:p>
    <w:p>
      <w:pPr>
        <w:ind w:left="1040" w:right="740" w:hanging="571"/>
        <w:spacing w:after="0" w:line="280"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0" w:lineRule="exact"/>
        <w:rPr>
          <w:rFonts w:ascii="Times New Roman" w:cs="Times New Roman" w:eastAsia="Times New Roman" w:hAnsi="Times New Roman"/>
          <w:sz w:val="18"/>
          <w:szCs w:val="18"/>
          <w:color w:val="auto"/>
        </w:rPr>
      </w:pPr>
    </w:p>
    <w:p>
      <w:pPr>
        <w:ind w:left="1040" w:right="440" w:hanging="571"/>
        <w:spacing w:after="0" w:line="296" w:lineRule="auto"/>
        <w:tabs>
          <w:tab w:leader="none" w:pos="10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395" w:right="339" w:bottom="1440" w:gutter="0" w:footer="0" w:header="0"/>
        </w:sectPr>
      </w:pPr>
    </w:p>
    <w:bookmarkStart w:id="50" w:name="page51"/>
    <w:bookmarkEnd w:id="50"/>
    <w:p>
      <w:pPr>
        <w:spacing w:after="0" w:line="200" w:lineRule="exact"/>
        <w:rPr>
          <w:sz w:val="20"/>
          <w:szCs w:val="20"/>
          <w:color w:val="auto"/>
        </w:rPr>
      </w:pPr>
    </w:p>
    <w:p>
      <w:pPr>
        <w:spacing w:after="0" w:line="311" w:lineRule="exact"/>
        <w:rPr>
          <w:sz w:val="20"/>
          <w:szCs w:val="20"/>
          <w:color w:val="auto"/>
        </w:rPr>
      </w:pPr>
    </w:p>
    <w:p>
      <w:pPr>
        <w:spacing w:after="0"/>
        <w:tabs>
          <w:tab w:leader="none" w:pos="5520" w:val="left"/>
          <w:tab w:leader="none" w:pos="62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3938905</wp:posOffset>
            </wp:positionH>
            <wp:positionV relativeFrom="paragraph">
              <wp:posOffset>42545</wp:posOffset>
            </wp:positionV>
            <wp:extent cx="318643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3186430" cy="8255"/>
                    </a:xfrm>
                    <a:prstGeom prst="rect">
                      <a:avLst/>
                    </a:prstGeom>
                    <a:noFill/>
                  </pic:spPr>
                </pic:pic>
              </a:graphicData>
            </a:graphic>
          </wp:anchor>
        </w:drawing>
      </w:r>
    </w:p>
    <w:p>
      <w:pPr>
        <w:spacing w:after="0" w:line="6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0119"/>
          </w:cols>
          <w:pgMar w:left="340" w:top="1440"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60"/>
        <w:spacing w:after="0" w:line="208"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2026, as filed with the</w:t>
      </w:r>
    </w:p>
    <w:p>
      <w:pPr>
        <w:spacing w:after="0" w:line="204" w:lineRule="auto"/>
        <w:rPr>
          <w:sz w:val="20"/>
          <w:szCs w:val="20"/>
          <w:color w:val="auto"/>
        </w:rPr>
      </w:pPr>
      <w:r>
        <w:rPr>
          <w:rFonts w:ascii="Times New Roman" w:cs="Times New Roman" w:eastAsia="Times New Roman" w:hAnsi="Times New Roman"/>
          <w:sz w:val="18"/>
          <w:szCs w:val="18"/>
          <w:color w:val="auto"/>
        </w:rPr>
        <w:t xml:space="preserve">Securities and Exchange Commission on the date hereof (the “Report”), </w:t>
      </w:r>
      <w:r>
        <w:rPr>
          <w:rFonts w:ascii="Times New Roman" w:cs="Times New Roman" w:eastAsia="Times New Roman" w:hAnsi="Times New Roman"/>
          <w:sz w:val="18"/>
          <w:szCs w:val="18"/>
          <w:color w:val="auto"/>
          <w:highlight w:val="white"/>
        </w:rPr>
        <w:t>I, Adam Comora, Co-Chief Executive Officer of the Company, certify, pursuant to</w:t>
      </w:r>
    </w:p>
    <w:p>
      <w:pPr>
        <w:spacing w:after="0"/>
        <w:rPr>
          <w:sz w:val="20"/>
          <w:szCs w:val="20"/>
          <w:color w:val="auto"/>
        </w:rPr>
      </w:pPr>
      <w:r>
        <w:rPr>
          <w:rFonts w:ascii="Times New Roman" w:cs="Times New Roman" w:eastAsia="Times New Roman" w:hAnsi="Times New Roman"/>
          <w:sz w:val="18"/>
          <w:szCs w:val="18"/>
          <w:color w:val="auto"/>
          <w:highlight w:val="white"/>
        </w:rPr>
        <w:t>18 U.S.C. 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5400" cy="128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5400" cy="128270"/>
                    </a:xfrm>
                    <a:prstGeom prst="rect">
                      <a:avLst/>
                    </a:prstGeom>
                    <a:noFill/>
                  </pic:spPr>
                </pic:pic>
              </a:graphicData>
            </a:graphic>
          </wp:anchor>
        </w:drawing>
      </w:r>
    </w:p>
    <w:p>
      <w:pPr>
        <w:spacing w:after="0" w:line="183" w:lineRule="exact"/>
        <w:rPr>
          <w:sz w:val="20"/>
          <w:szCs w:val="20"/>
          <w:color w:val="auto"/>
        </w:rPr>
      </w:pPr>
    </w:p>
    <w:p>
      <w:pPr>
        <w:ind w:left="400" w:hanging="375"/>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90" w:lineRule="exact"/>
        <w:rPr>
          <w:rFonts w:ascii="Times New Roman" w:cs="Times New Roman" w:eastAsia="Times New Roman" w:hAnsi="Times New Roman"/>
          <w:sz w:val="18"/>
          <w:szCs w:val="18"/>
          <w:color w:val="auto"/>
        </w:rPr>
      </w:pPr>
    </w:p>
    <w:p>
      <w:pPr>
        <w:ind w:left="400" w:right="1540" w:hanging="375"/>
        <w:spacing w:after="0" w:line="296" w:lineRule="auto"/>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 Adam Comora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42545</wp:posOffset>
            </wp:positionV>
            <wp:extent cx="28187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818765" cy="8255"/>
                    </a:xfrm>
                    <a:prstGeom prst="rect">
                      <a:avLst/>
                    </a:prstGeom>
                    <a:noFill/>
                  </pic:spPr>
                </pic:pic>
              </a:graphicData>
            </a:graphic>
          </wp:anchor>
        </w:drawing>
      </w:r>
    </w:p>
    <w:p>
      <w:pPr>
        <w:spacing w:after="0" w:line="6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Name: Adam Comora</w:t>
      </w:r>
    </w:p>
    <w:p>
      <w:pPr>
        <w:spacing w:after="0" w:line="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749" w:right="339" w:bottom="1440" w:gutter="0" w:footer="0" w:header="0"/>
        </w:sectPr>
      </w:pPr>
    </w:p>
    <w:bookmarkStart w:id="53" w:name="page54"/>
    <w:bookmarkEnd w:id="53"/>
    <w:p>
      <w:pPr>
        <w:ind w:left="101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60"/>
        <w:spacing w:after="0" w:line="208"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2026, as filed with the</w:t>
      </w:r>
    </w:p>
    <w:p>
      <w:pPr>
        <w:spacing w:after="0" w:line="1"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 xml:space="preserve">Securities and Exchange Commission on the date hereof (the “Report”), </w:t>
      </w:r>
      <w:r>
        <w:rPr>
          <w:rFonts w:ascii="Times New Roman" w:cs="Times New Roman" w:eastAsia="Times New Roman" w:hAnsi="Times New Roman"/>
          <w:sz w:val="18"/>
          <w:szCs w:val="18"/>
          <w:color w:val="auto"/>
          <w:highlight w:val="white"/>
        </w:rPr>
        <w:t>I, Jonathan Maurer, Co-Chief Executive Officer of the Company, certify, pursuant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to 18 U.S.C. 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7145" cy="76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17145" cy="76835"/>
                    </a:xfrm>
                    <a:prstGeom prst="rect">
                      <a:avLst/>
                    </a:prstGeom>
                    <a:noFill/>
                  </pic:spPr>
                </pic:pic>
              </a:graphicData>
            </a:graphic>
          </wp:anchor>
        </w:drawing>
      </w:r>
    </w:p>
    <w:p>
      <w:pPr>
        <w:spacing w:after="0" w:line="97" w:lineRule="exact"/>
        <w:rPr>
          <w:sz w:val="20"/>
          <w:szCs w:val="20"/>
          <w:color w:val="auto"/>
        </w:rPr>
      </w:pPr>
    </w:p>
    <w:p>
      <w:pPr>
        <w:ind w:left="400" w:hanging="375"/>
        <w:spacing w:after="0"/>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4" w:lineRule="exact"/>
        <w:rPr>
          <w:rFonts w:ascii="Times New Roman" w:cs="Times New Roman" w:eastAsia="Times New Roman" w:hAnsi="Times New Roman"/>
          <w:sz w:val="18"/>
          <w:szCs w:val="18"/>
          <w:color w:val="auto"/>
        </w:rPr>
      </w:pPr>
    </w:p>
    <w:p>
      <w:pPr>
        <w:ind w:left="400" w:right="1540" w:hanging="375"/>
        <w:spacing w:after="0" w:line="296" w:lineRule="auto"/>
        <w:tabs>
          <w:tab w:leader="none" w:pos="4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/s/ Jonathan Maurer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42545</wp:posOffset>
            </wp:positionV>
            <wp:extent cx="28276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Name: Jonathan Maurer</w:t>
      </w:r>
    </w:p>
    <w:p>
      <w:pPr>
        <w:spacing w:after="0" w:line="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Title: Co-Chief Executive Officer</w:t>
      </w:r>
    </w:p>
    <w:p>
      <w:pPr>
        <w:spacing w:after="0" w:line="7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(Co-Principal Executive Officer)</w:t>
      </w:r>
    </w:p>
    <w:p>
      <w:pPr>
        <w:sectPr>
          <w:pgSz w:w="11900" w:h="16838" w:orient="portrait"/>
          <w:cols w:equalWidth="0" w:num="1">
            <w:col w:w="11240"/>
          </w:cols>
          <w:pgMar w:left="320" w:top="749" w:right="339" w:bottom="1440" w:gutter="0" w:footer="0" w:header="0"/>
        </w:sectPr>
      </w:pPr>
    </w:p>
    <w:bookmarkStart w:id="54" w:name="page55"/>
    <w:bookmarkEnd w:id="54"/>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60"/>
        <w:spacing w:after="0" w:line="208"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Quarterly Report of OPAL Fuels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2026, as filed with the</w:t>
      </w:r>
    </w:p>
    <w:p>
      <w:pPr>
        <w:spacing w:after="0" w:line="204" w:lineRule="auto"/>
        <w:rPr>
          <w:sz w:val="20"/>
          <w:szCs w:val="20"/>
          <w:color w:val="auto"/>
        </w:rPr>
      </w:pPr>
      <w:r>
        <w:rPr>
          <w:rFonts w:ascii="Times New Roman" w:cs="Times New Roman" w:eastAsia="Times New Roman" w:hAnsi="Times New Roman"/>
          <w:sz w:val="18"/>
          <w:szCs w:val="18"/>
          <w:color w:val="auto"/>
        </w:rPr>
        <w:t xml:space="preserve">Securities and Exchange Commission on the date hereof (the “Report”), </w:t>
      </w:r>
      <w:r>
        <w:rPr>
          <w:rFonts w:ascii="Times New Roman" w:cs="Times New Roman" w:eastAsia="Times New Roman" w:hAnsi="Times New Roman"/>
          <w:sz w:val="18"/>
          <w:szCs w:val="18"/>
          <w:color w:val="auto"/>
          <w:highlight w:val="white"/>
        </w:rPr>
        <w:t>I, Kazi Hasan, Chief Financial Officer of the Company, certify, pursuant to 18</w:t>
      </w:r>
    </w:p>
    <w:p>
      <w:pPr>
        <w:spacing w:after="0"/>
        <w:rPr>
          <w:sz w:val="20"/>
          <w:szCs w:val="20"/>
          <w:color w:val="auto"/>
        </w:rPr>
      </w:pPr>
      <w:r>
        <w:rPr>
          <w:rFonts w:ascii="Times New Roman" w:cs="Times New Roman" w:eastAsia="Times New Roman" w:hAnsi="Times New Roman"/>
          <w:sz w:val="18"/>
          <w:szCs w:val="18"/>
          <w:color w:val="auto"/>
          <w:highlight w:val="white"/>
        </w:rPr>
        <w:t>U.S.C. Section 1350, as adopted pursuant to Section 906 of the Sarbanes-Oxley Act of 2002, that, to my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7145" cy="76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7145" cy="76835"/>
                    </a:xfrm>
                    <a:prstGeom prst="rect">
                      <a:avLst/>
                    </a:prstGeom>
                    <a:noFill/>
                  </pic:spPr>
                </pic:pic>
              </a:graphicData>
            </a:graphic>
          </wp:anchor>
        </w:drawing>
      </w:r>
    </w:p>
    <w:p>
      <w:pPr>
        <w:spacing w:after="0" w:line="103" w:lineRule="exact"/>
        <w:rPr>
          <w:sz w:val="20"/>
          <w:szCs w:val="20"/>
          <w:color w:val="auto"/>
        </w:rPr>
      </w:pPr>
    </w:p>
    <w:p>
      <w:pPr>
        <w:ind w:left="460" w:hanging="435"/>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304" w:lineRule="exact"/>
        <w:rPr>
          <w:rFonts w:ascii="Times New Roman" w:cs="Times New Roman" w:eastAsia="Times New Roman" w:hAnsi="Times New Roman"/>
          <w:sz w:val="18"/>
          <w:szCs w:val="18"/>
          <w:color w:val="auto"/>
        </w:rPr>
      </w:pPr>
    </w:p>
    <w:p>
      <w:pPr>
        <w:ind w:left="460" w:hanging="435"/>
        <w:spacing w:after="0"/>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8, 2026</w:t>
      </w:r>
    </w:p>
    <w:p>
      <w:pPr>
        <w:spacing w:after="0" w:line="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Kazi Hasan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42545</wp:posOffset>
            </wp:positionV>
            <wp:extent cx="322897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228975" cy="8255"/>
                    </a:xfrm>
                    <a:prstGeom prst="rect">
                      <a:avLst/>
                    </a:prstGeom>
                    <a:noFill/>
                  </pic:spPr>
                </pic:pic>
              </a:graphicData>
            </a:graphic>
          </wp:anchor>
        </w:drawing>
      </w:r>
    </w:p>
    <w:p>
      <w:pPr>
        <w:spacing w:after="0" w:line="6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Kazi Hasan</w:t>
      </w:r>
    </w:p>
    <w:p>
      <w:pPr>
        <w:spacing w:after="0" w:line="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7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5"/>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lvl w:ilvl="1">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5"/>
    </w:lvl>
  </w:abstractNum>
  <w:abstractNum w:abstractNumId="13">
    <w:nsid w:val="333AB105"/>
    <w:multiLevelType w:val="hybridMultilevel"/>
    <w:lvl w:ilvl="0">
      <w:lvlJc w:val="left"/>
      <w:lvlText w:val="%1."/>
      <w:numFmt w:val="decimal"/>
      <w:start w:val="8"/>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12"/>
    </w:lvl>
  </w:abstractNum>
  <w:abstractNum w:abstractNumId="16">
    <w:nsid w:val="2D1D5AE9"/>
    <w:multiLevelType w:val="hybridMultilevel"/>
    <w:lvl w:ilvl="0">
      <w:lvlJc w:val="left"/>
      <w:lvlText w:val="•"/>
      <w:numFmt w:val="bullet"/>
      <w:start w:val="1"/>
    </w:lvl>
    <w:lvl w:ilvl="1">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
      <w:numFmt w:val="bullet"/>
      <w:start w:val="1"/>
    </w:lvl>
    <w:lvl w:ilvl="1">
      <w:lvlJc w:val="left"/>
      <w:lvlText w:val="%2"/>
      <w:numFmt w:val="decimal"/>
      <w:start w:val="104"/>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1"/>
    </w:lvl>
    <w:lvl w:ilvl="1">
      <w:lvlJc w:val="left"/>
      <w:lvlText w:val="%2."/>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6"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73" Type="http://schemas.openxmlformats.org/officeDocument/2006/relationships/hyperlink" Target="https://www.sec.gov/Archives/edgar/data/1842279/000121390022046338/ea164030ex3-1_opal.htm" TargetMode="External"/><Relationship Id="rId74" Type="http://schemas.openxmlformats.org/officeDocument/2006/relationships/hyperlink" Target="https://www.sec.gov/Archives/edgar/data/1842279/000121390022042020/ea163248ex3-2_opal.htm" TargetMode="External"/><Relationship Id="rId75" Type="http://schemas.openxmlformats.org/officeDocument/2006/relationships/hyperlink" Target="https://www.sec.gov/Archives/edgar/data/1842279/000162828026016131/a31opalfuelsllc-amendedand.htm" TargetMode="External"/><Relationship Id="rId77" Type="http://schemas.openxmlformats.org/officeDocument/2006/relationships/hyperlink" Target="https://www.sec.gov/Archives/edgar/data/1842279/000162828026016131/a41opalfuelsinc-warrant2026.htm" TargetMode="External"/><Relationship Id="rId78" Type="http://schemas.openxmlformats.org/officeDocument/2006/relationships/hyperlink" Target="https://www.sec.gov/Archives/edgar/data/1842279/000162828026016131/a101opalfuelsllc-seriesap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2026-05-11T05:12:42Z</dcterms:created>
  <dcterms:modified xsi:type="dcterms:W3CDTF">2026-05-11T05:12:42Z</dcterms:modified>
</cp:coreProperties>
</file>