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Fogarty Kevin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OPAL Fuels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OPAL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ONE NORTH LEXINGTON AVE, 14TH FLOOR</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08/23/2022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gridSpan w:val="3"/>
          </w:tcPr>
          <w:p>
            <w:pPr>
              <w:spacing w:after="0"/>
              <w:rPr>
                <w:sz w:val="12"/>
                <w:szCs w:val="12"/>
                <w:color w:val="auto"/>
              </w:rPr>
            </w:pPr>
          </w:p>
        </w:tc>
        <w:tc>
          <w:tcPr>
            <w:tcW w:w="100" w:type="dxa"/>
            <w:vAlign w:val="bottom"/>
            <w:tcBorders>
              <w:bottom w:val="single" w:sz="8" w:color="2C2C2C"/>
            </w:tcBorders>
            <w:gridSpan w:val="2"/>
          </w:tcPr>
          <w:p>
            <w:pPr>
              <w:spacing w:after="0"/>
              <w:rPr>
                <w:sz w:val="12"/>
                <w:szCs w:val="12"/>
                <w:color w:val="auto"/>
              </w:rPr>
            </w:pPr>
          </w:p>
        </w:tc>
        <w:tc>
          <w:tcPr>
            <w:tcW w:w="1980" w:type="dxa"/>
            <w:vAlign w:val="bottom"/>
            <w:tcBorders>
              <w:bottom w:val="single" w:sz="8" w:color="2C2C2C"/>
            </w:tcBorders>
            <w:gridSpan w:val="3"/>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298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8"/>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WHITE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NY</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10601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PLAINS</w:t>
            </w:r>
          </w:p>
        </w:tc>
        <w:tc>
          <w:tcPr>
            <w:tcW w:w="8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ind w:left="280"/>
              <w:spacing w:after="0" w:line="134"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2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5"/>
            <w:vMerge w:val="restart"/>
          </w:tcPr>
          <w:p>
            <w:pPr>
              <w:ind w:left="760"/>
              <w:spacing w:after="0"/>
              <w:rPr>
                <w:sz w:val="20"/>
                <w:szCs w:val="20"/>
                <w:color w:val="auto"/>
              </w:rPr>
            </w:pPr>
            <w:r>
              <w:rPr>
                <w:rFonts w:ascii="Arial" w:cs="Arial" w:eastAsia="Arial" w:hAnsi="Arial"/>
                <w:sz w:val="17"/>
                <w:szCs w:val="17"/>
                <w:color w:val="0000FF"/>
              </w:rPr>
              <w:t>08/23/2022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right"/>
              <w:ind w:right="213"/>
              <w:spacing w:after="0"/>
              <w:rPr>
                <w:sz w:val="20"/>
                <w:szCs w:val="20"/>
                <w:color w:val="auto"/>
              </w:rPr>
            </w:pPr>
            <w:r>
              <w:rPr>
                <w:rFonts w:ascii="Arial" w:cs="Arial" w:eastAsia="Arial" w:hAnsi="Arial"/>
                <w:sz w:val="17"/>
                <w:szCs w:val="17"/>
                <w:color w:val="0000FF"/>
              </w:rPr>
              <w:t>267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9.71</w:t>
            </w:r>
            <w:r>
              <w:rPr>
                <w:rFonts w:ascii="Arial" w:cs="Arial" w:eastAsia="Arial" w:hAnsi="Arial"/>
                <w:sz w:val="22"/>
                <w:szCs w:val="22"/>
                <w:color w:val="008000"/>
                <w:w w:val="89"/>
                <w:vertAlign w:val="superscript"/>
              </w:rPr>
              <w:t>(1)</w:t>
            </w:r>
          </w:p>
        </w:tc>
        <w:tc>
          <w:tcPr>
            <w:tcW w:w="1200" w:type="dxa"/>
            <w:vAlign w:val="bottom"/>
            <w:gridSpan w:val="3"/>
            <w:vMerge w:val="restart"/>
          </w:tcPr>
          <w:p>
            <w:pPr>
              <w:jc w:val="right"/>
              <w:ind w:right="400"/>
              <w:spacing w:after="0"/>
              <w:rPr>
                <w:sz w:val="20"/>
                <w:szCs w:val="20"/>
                <w:color w:val="auto"/>
              </w:rPr>
            </w:pPr>
            <w:r>
              <w:rPr>
                <w:rFonts w:ascii="Arial" w:cs="Arial" w:eastAsia="Arial" w:hAnsi="Arial"/>
                <w:sz w:val="17"/>
                <w:szCs w:val="17"/>
                <w:color w:val="0000FF"/>
              </w:rPr>
              <w:t>267</w:t>
            </w:r>
          </w:p>
        </w:tc>
        <w:tc>
          <w:tcPr>
            <w:tcW w:w="36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5"/>
            <w:vMerge w:val="restart"/>
          </w:tcPr>
          <w:p>
            <w:pPr>
              <w:ind w:left="760"/>
              <w:spacing w:after="0"/>
              <w:rPr>
                <w:sz w:val="20"/>
                <w:szCs w:val="20"/>
                <w:color w:val="auto"/>
              </w:rPr>
            </w:pPr>
            <w:r>
              <w:rPr>
                <w:rFonts w:ascii="Arial" w:cs="Arial" w:eastAsia="Arial" w:hAnsi="Arial"/>
                <w:sz w:val="17"/>
                <w:szCs w:val="17"/>
                <w:color w:val="0000FF"/>
              </w:rPr>
              <w:t>08/24/2022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right"/>
              <w:ind w:right="133"/>
              <w:spacing w:after="0"/>
              <w:rPr>
                <w:sz w:val="20"/>
                <w:szCs w:val="20"/>
                <w:color w:val="auto"/>
              </w:rPr>
            </w:pPr>
            <w:r>
              <w:rPr>
                <w:rFonts w:ascii="Arial" w:cs="Arial" w:eastAsia="Arial" w:hAnsi="Arial"/>
                <w:sz w:val="17"/>
                <w:szCs w:val="17"/>
                <w:color w:val="0000FF"/>
              </w:rPr>
              <w:t>2,159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9.81</w:t>
            </w:r>
            <w:r>
              <w:rPr>
                <w:rFonts w:ascii="Arial" w:cs="Arial" w:eastAsia="Arial" w:hAnsi="Arial"/>
                <w:sz w:val="22"/>
                <w:szCs w:val="22"/>
                <w:color w:val="008000"/>
                <w:w w:val="89"/>
                <w:vertAlign w:val="superscript"/>
              </w:rPr>
              <w:t>(2)</w:t>
            </w:r>
          </w:p>
        </w:tc>
        <w:tc>
          <w:tcPr>
            <w:tcW w:w="1200" w:type="dxa"/>
            <w:vAlign w:val="bottom"/>
            <w:gridSpan w:val="3"/>
            <w:vMerge w:val="restart"/>
          </w:tcPr>
          <w:p>
            <w:pPr>
              <w:jc w:val="right"/>
              <w:ind w:right="340"/>
              <w:spacing w:after="0"/>
              <w:rPr>
                <w:sz w:val="20"/>
                <w:szCs w:val="20"/>
                <w:color w:val="auto"/>
              </w:rPr>
            </w:pPr>
            <w:r>
              <w:rPr>
                <w:rFonts w:ascii="Arial" w:cs="Arial" w:eastAsia="Arial" w:hAnsi="Arial"/>
                <w:sz w:val="17"/>
                <w:szCs w:val="17"/>
                <w:color w:val="0000FF"/>
              </w:rPr>
              <w:t>2,426</w:t>
            </w:r>
          </w:p>
        </w:tc>
        <w:tc>
          <w:tcPr>
            <w:tcW w:w="36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32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a weighted average purchase price per share. These shares were purchased in multiple tranches at prices ranging between $9.56 and $9.73. The reporting person undertakes to the Issuer or the Staff of the Securities and Exchange Commission, upon request, to provide full information regarding the number of shares purchased at each separate price within the range set forth in this footnote.</w:t>
      </w:r>
    </w:p>
    <w:p>
      <w:pPr>
        <w:jc w:val="both"/>
        <w:ind w:left="40" w:right="240" w:firstLine="7"/>
        <w:spacing w:after="0" w:line="319"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a weighted average purchase price per share. These shares were purchased in multiple tranches at prices ranging between $9.74 and $10.00. The reporting person undertakes to the Issuer or the Staff of the Securities and Exchange Commission, upon request, to provide full information regarding the number of shares purchased at each separate price within the range set forth in this footnote.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s/s John Coghlin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0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08/25/2022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856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2022-08-25T15:27:28Z</dcterms:created>
  <dcterms:modified xsi:type="dcterms:W3CDTF">2022-08-25T15:27:28Z</dcterms:modified>
</cp:coreProperties>
</file>