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255270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120" w:type="dxa"/>
            <w:vAlign w:val="bottom"/>
          </w:tcPr>
          <w:p>
            <w:pPr>
              <w:jc w:val="center"/>
              <w:ind w:right="2161"/>
              <w:spacing w:after="0"/>
              <w:rPr>
                <w:sz w:val="20"/>
                <w:szCs w:val="20"/>
                <w:color w:val="auto"/>
              </w:rPr>
            </w:pPr>
            <w:r>
              <w:rPr>
                <w:rFonts w:ascii="Arial" w:cs="Arial" w:eastAsia="Arial" w:hAnsi="Arial"/>
                <w:sz w:val="18"/>
                <w:szCs w:val="18"/>
                <w:b w:val="1"/>
                <w:bCs w:val="1"/>
                <w:color w:val="auto"/>
                <w:w w:val="90"/>
              </w:rPr>
              <w:t>Cayman Islands</w:t>
            </w:r>
          </w:p>
        </w:tc>
        <w:tc>
          <w:tcPr>
            <w:tcW w:w="2240" w:type="dxa"/>
            <w:vAlign w:val="bottom"/>
          </w:tcPr>
          <w:p>
            <w:pPr>
              <w:ind w:left="180"/>
              <w:spacing w:after="0"/>
              <w:rPr>
                <w:sz w:val="20"/>
                <w:szCs w:val="20"/>
                <w:color w:val="auto"/>
              </w:rPr>
            </w:pPr>
            <w:r>
              <w:rPr>
                <w:rFonts w:ascii="Arial" w:cs="Arial" w:eastAsia="Arial" w:hAnsi="Arial"/>
                <w:sz w:val="18"/>
                <w:szCs w:val="18"/>
                <w:b w:val="1"/>
                <w:bCs w:val="1"/>
                <w:color w:val="auto"/>
              </w:rPr>
              <w:t>001-40272</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98-1578357</w:t>
            </w:r>
          </w:p>
        </w:tc>
      </w:tr>
      <w:tr>
        <w:trPr>
          <w:trHeight w:val="148"/>
        </w:trPr>
        <w:tc>
          <w:tcPr>
            <w:tcW w:w="4120" w:type="dxa"/>
            <w:vAlign w:val="bottom"/>
          </w:tcPr>
          <w:p>
            <w:pPr>
              <w:jc w:val="center"/>
              <w:ind w:right="216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20" w:type="dxa"/>
            <w:vAlign w:val="bottom"/>
          </w:tcPr>
          <w:p>
            <w:pPr>
              <w:jc w:val="center"/>
              <w:ind w:right="2161"/>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08"/>
        </w:trPr>
        <w:tc>
          <w:tcPr>
            <w:tcW w:w="6360" w:type="dxa"/>
            <w:vAlign w:val="bottom"/>
            <w:gridSpan w:val="2"/>
          </w:tcPr>
          <w:p>
            <w:pPr>
              <w:jc w:val="center"/>
              <w:ind w:right="742"/>
              <w:spacing w:after="0"/>
              <w:rPr>
                <w:sz w:val="20"/>
                <w:szCs w:val="20"/>
                <w:color w:val="auto"/>
              </w:rPr>
            </w:pPr>
            <w:r>
              <w:rPr>
                <w:rFonts w:ascii="Arial" w:cs="Arial" w:eastAsia="Arial" w:hAnsi="Arial"/>
                <w:sz w:val="18"/>
                <w:szCs w:val="18"/>
                <w:b w:val="1"/>
                <w:bCs w:val="1"/>
                <w:color w:val="auto"/>
                <w:w w:val="91"/>
              </w:rPr>
              <w:t>200 Clarendon Street, 55th Floor Boston, MA</w:t>
            </w: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02116</w:t>
            </w:r>
          </w:p>
        </w:tc>
      </w:tr>
      <w:tr>
        <w:trPr>
          <w:trHeight w:val="186"/>
        </w:trPr>
        <w:tc>
          <w:tcPr>
            <w:tcW w:w="4120" w:type="dxa"/>
            <w:vAlign w:val="bottom"/>
          </w:tcPr>
          <w:p>
            <w:pPr>
              <w:jc w:val="center"/>
              <w:ind w:left="13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531-6300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Share, $0.0001 par value, and one-fifth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Redeemable warrants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 each whole warrant exercisable for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7"/>
              </w:rPr>
              <w:t>$11.50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p>
      <w:pPr>
        <w:ind w:left="120"/>
        <w:spacing w:after="0" w:line="207" w:lineRule="exact"/>
        <w:tabs>
          <w:tab w:leader="none" w:pos="2100" w:val="left"/>
          <w:tab w:leader="none" w:pos="8580" w:val="left"/>
          <w:tab w:leader="none" w:pos="10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140"/>
          </w:cols>
          <w:pgMar w:left="320" w:top="230" w:right="439" w:bottom="0" w:gutter="0" w:footer="0" w:header="0"/>
        </w:sectPr>
      </w:pPr>
    </w:p>
    <w:bookmarkStart w:id="1" w:name="page2"/>
    <w:bookmarkEnd w:id="1"/>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520" w:space="480"/>
            <w:col w:w="5760" w:space="720"/>
            <w:col w:w="1980" w:space="340"/>
            <w:col w:w="160"/>
          </w:cols>
          <w:pgMar w:left="440" w:top="91" w:right="499" w:bottom="1440" w:gutter="0" w:footer="0" w:header="0"/>
        </w:sectPr>
      </w:pPr>
    </w:p>
    <w:p>
      <w:pPr>
        <w:spacing w:after="0" w:line="33"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60" w:space="340"/>
            <w:col w:w="160"/>
          </w:cols>
          <w:pgMar w:left="440" w:top="91" w:right="499" w:bottom="1440" w:gutter="0" w:footer="0" w:header="0"/>
          <w:type w:val="continuous"/>
        </w:sectPr>
      </w:pPr>
    </w:p>
    <w:p>
      <w:pPr>
        <w:spacing w:after="0" w:line="48"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May 16, 2022, 31,116,305 Class A ordinary shares, par value $0.0001, and 7,779,076 Class B ordinary shares,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940" w:type="dxa"/>
            <w:vAlign w:val="bottom"/>
            <w:gridSpan w:val="2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40" w:type="dxa"/>
            <w:vAlign w:val="bottom"/>
            <w:gridSpan w:val="2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40" w:type="dxa"/>
            <w:vAlign w:val="bottom"/>
            <w:tcBorders>
              <w:top w:val="single" w:sz="8" w:color="0000EE"/>
            </w:tcBorders>
          </w:tcPr>
          <w:p>
            <w:pPr>
              <w:spacing w:after="0"/>
              <w:rPr>
                <w:sz w:val="17"/>
                <w:szCs w:val="17"/>
                <w:color w:val="auto"/>
              </w:rPr>
            </w:pPr>
          </w:p>
        </w:tc>
        <w:tc>
          <w:tcPr>
            <w:tcW w:w="29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88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Balance Sheets as of March 31, 2022 (unaudited) and December 31, 2021</w:t>
              </w:r>
            </w:hyperlink>
          </w:p>
        </w:tc>
        <w:tc>
          <w:tcPr>
            <w:tcW w:w="36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Statements of Operations for the Three Months ended March 31, 2022 and for the period from January 13,</w:t>
              </w:r>
            </w:hyperlink>
          </w:p>
        </w:tc>
        <w:tc>
          <w:tcPr>
            <w:tcW w:w="50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2021 (inception) through March 31, 2021</w:t>
              </w:r>
            </w:hyperlink>
          </w:p>
        </w:tc>
        <w:tc>
          <w:tcPr>
            <w:tcW w:w="680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Statements of Changes in Shareholders’ Deficit for the Three Months ended March 31, 2022 and for the period</w:t>
              </w:r>
            </w:hyperlink>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from January 13, 2021 (inception) through March 31, 2021</w:t>
              </w:r>
            </w:hyperlink>
          </w:p>
        </w:tc>
        <w:tc>
          <w:tcPr>
            <w:tcW w:w="554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Statements of Cash Flows for the Three Months ended March 31, 2022 and for the period from January 13,</w:t>
              </w:r>
            </w:hyperlink>
          </w:p>
        </w:tc>
        <w:tc>
          <w:tcPr>
            <w:tcW w:w="4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2021 (inception) through March 31, 2021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Financial Statements</w:t>
              </w:r>
            </w:hyperlink>
          </w:p>
        </w:tc>
        <w:tc>
          <w:tcPr>
            <w:tcW w:w="600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40" w:type="dxa"/>
            <w:vAlign w:val="bottom"/>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34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40" w:type="dxa"/>
            <w:vAlign w:val="bottom"/>
          </w:tcPr>
          <w:p>
            <w:pPr>
              <w:spacing w:after="0"/>
              <w:rPr>
                <w:sz w:val="17"/>
                <w:szCs w:val="17"/>
                <w:color w:val="auto"/>
              </w:rPr>
            </w:pPr>
          </w:p>
        </w:tc>
        <w:tc>
          <w:tcPr>
            <w:tcW w:w="43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44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40" w:type="dxa"/>
            <w:vAlign w:val="bottom"/>
          </w:tcPr>
          <w:p>
            <w:pPr>
              <w:spacing w:after="0"/>
              <w:rPr>
                <w:sz w:val="17"/>
                <w:szCs w:val="17"/>
                <w:color w:val="auto"/>
              </w:rPr>
            </w:pPr>
          </w:p>
        </w:tc>
        <w:tc>
          <w:tcPr>
            <w:tcW w:w="9800" w:type="dxa"/>
            <w:vAlign w:val="bottom"/>
            <w:gridSpan w:val="2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 (as restated)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940" w:type="dxa"/>
            <w:vAlign w:val="bottom"/>
            <w:gridSpan w:val="23"/>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4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1340" w:type="dxa"/>
            <w:vAlign w:val="bottom"/>
            <w:tcBorders>
              <w:top w:val="single" w:sz="8" w:color="0000EE"/>
            </w:tcBorders>
            <w:gridSpan w:val="4"/>
          </w:tcPr>
          <w:p>
            <w:pPr>
              <w:spacing w:after="0"/>
              <w:rPr>
                <w:sz w:val="17"/>
                <w:szCs w:val="17"/>
                <w:color w:val="auto"/>
              </w:rPr>
            </w:pPr>
          </w:p>
        </w:tc>
        <w:tc>
          <w:tcPr>
            <w:tcW w:w="71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140" w:type="dxa"/>
            <w:vAlign w:val="bottom"/>
          </w:tcPr>
          <w:p>
            <w:pPr>
              <w:spacing w:after="0"/>
              <w:rPr>
                <w:sz w:val="17"/>
                <w:szCs w:val="17"/>
                <w:color w:val="auto"/>
              </w:rPr>
            </w:pPr>
          </w:p>
        </w:tc>
        <w:tc>
          <w:tcPr>
            <w:tcW w:w="9800" w:type="dxa"/>
            <w:vAlign w:val="bottom"/>
            <w:gridSpan w:val="2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40" w:type="dxa"/>
            <w:vAlign w:val="bottom"/>
          </w:tcPr>
          <w:p>
            <w:pPr>
              <w:spacing w:after="0"/>
              <w:rPr>
                <w:sz w:val="17"/>
                <w:szCs w:val="17"/>
                <w:color w:val="auto"/>
              </w:rPr>
            </w:pPr>
          </w:p>
        </w:tc>
        <w:tc>
          <w:tcPr>
            <w:tcW w:w="63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 from Registered Securities</w:t>
              </w:r>
            </w:hyperlink>
          </w:p>
        </w:tc>
        <w:tc>
          <w:tcPr>
            <w:tcW w:w="34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40" w:type="dxa"/>
            <w:vAlign w:val="bottom"/>
          </w:tcPr>
          <w:p>
            <w:pPr>
              <w:spacing w:after="0"/>
              <w:rPr>
                <w:sz w:val="17"/>
                <w:szCs w:val="17"/>
                <w:color w:val="auto"/>
              </w:rPr>
            </w:pPr>
          </w:p>
        </w:tc>
        <w:tc>
          <w:tcPr>
            <w:tcW w:w="980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40" w:type="dxa"/>
            <w:vAlign w:val="bottom"/>
          </w:tcPr>
          <w:p>
            <w:pPr>
              <w:spacing w:after="0"/>
              <w:rPr>
                <w:sz w:val="17"/>
                <w:szCs w:val="17"/>
                <w:color w:val="auto"/>
              </w:rPr>
            </w:pPr>
          </w:p>
        </w:tc>
        <w:tc>
          <w:tcPr>
            <w:tcW w:w="23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748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80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920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SIGNATURES</w:t>
              </w:r>
            </w:hyperlink>
          </w:p>
        </w:tc>
        <w:tc>
          <w:tcPr>
            <w:tcW w:w="914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1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8"/>
              </w:rPr>
              <w:t>March 31, 2022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(unaudited)</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559,253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811,526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738,743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701,663</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1,297,996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159,954</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311,200,024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311,175,471</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312,498,020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312,848,614</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89,522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94,497</w:t>
            </w:r>
          </w:p>
        </w:tc>
        <w:tc>
          <w:tcPr>
            <w:tcW w:w="0" w:type="dxa"/>
            <w:vAlign w:val="bottom"/>
          </w:tcPr>
          <w:p>
            <w:pPr>
              <w:spacing w:after="0"/>
              <w:rPr>
                <w:sz w:val="1"/>
                <w:szCs w:val="1"/>
                <w:color w:val="auto"/>
              </w:rPr>
            </w:pPr>
          </w:p>
        </w:tc>
      </w:tr>
      <w:tr>
        <w:trPr>
          <w:trHeight w:val="223"/>
        </w:trPr>
        <w:tc>
          <w:tcPr>
            <w:tcW w:w="8600" w:type="dxa"/>
            <w:vAlign w:val="bottom"/>
          </w:tcPr>
          <w:p>
            <w:pPr>
              <w:ind w:left="360"/>
              <w:spacing w:after="0"/>
              <w:rPr>
                <w:sz w:val="20"/>
                <w:szCs w:val="20"/>
                <w:color w:val="auto"/>
              </w:rPr>
            </w:pPr>
            <w:r>
              <w:rPr>
                <w:rFonts w:ascii="Arial" w:cs="Arial" w:eastAsia="Arial" w:hAnsi="Arial"/>
                <w:sz w:val="18"/>
                <w:szCs w:val="18"/>
                <w:color w:val="auto"/>
              </w:rPr>
              <w:t>Due to related party</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113,261</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Deferred legal fees</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4,891,549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3,966,447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10,890,707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10,890,707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20,543,880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25,795,700</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36,530,155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40,766,115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A ordinary shares subject to possible redemption; 31,116,305 shares at redemption value of $10.00 at March 31,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and December 31, 2021</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311,163,050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311,163,050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00" w:type="dxa"/>
            <w:vAlign w:val="bottom"/>
          </w:tcPr>
          <w:p>
            <w:pPr>
              <w:spacing w:after="0" w:line="201" w:lineRule="exact"/>
              <w:rPr>
                <w:sz w:val="20"/>
                <w:szCs w:val="20"/>
                <w:color w:val="auto"/>
              </w:rPr>
            </w:pPr>
            <w:r>
              <w:rPr>
                <w:rFonts w:ascii="Arial" w:cs="Arial" w:eastAsia="Arial" w:hAnsi="Arial"/>
                <w:sz w:val="18"/>
                <w:szCs w:val="18"/>
                <w:color w:val="auto"/>
                <w:w w:val="92"/>
              </w:rPr>
              <w:t>Class A ordinary shares, $0.0001 par value; 500,000,000 shares authorized (excluding 31,116,305 shares subject to</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80"/>
              <w:spacing w:after="0"/>
              <w:rPr>
                <w:sz w:val="20"/>
                <w:szCs w:val="20"/>
                <w:color w:val="auto"/>
              </w:rPr>
            </w:pPr>
            <w:r>
              <w:rPr>
                <w:rFonts w:ascii="Arial" w:cs="Arial" w:eastAsia="Arial" w:hAnsi="Arial"/>
                <w:sz w:val="18"/>
                <w:szCs w:val="18"/>
                <w:color w:val="auto"/>
              </w:rPr>
              <w:t>possible redemption) at March 31, 2022 and December 31, 2021</w:t>
            </w:r>
          </w:p>
        </w:tc>
        <w:tc>
          <w:tcPr>
            <w:tcW w:w="120" w:type="dxa"/>
            <w:vAlign w:val="bottom"/>
          </w:tcPr>
          <w:p>
            <w:pPr>
              <w:spacing w:after="0"/>
              <w:rPr>
                <w:sz w:val="20"/>
                <w:szCs w:val="20"/>
                <w:color w:val="auto"/>
              </w:rPr>
            </w:pPr>
          </w:p>
        </w:tc>
        <w:tc>
          <w:tcPr>
            <w:tcW w:w="10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B ordinary shares, $0.0001 par value; 50,000,000 shares authorized; 7,779,076 shares issued and outstanding at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2022 and December 31, 2021</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4"/>
              </w:rPr>
              <w:t>(35,195,963)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(39,081,329)</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(35,195,185)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(39,080,551)</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312,498,020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312,848,614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restart"/>
          </w:tcPr>
          <w:p>
            <w:pPr>
              <w:jc w:val="center"/>
              <w:ind w:right="540"/>
              <w:spacing w:after="0"/>
              <w:rPr>
                <w:sz w:val="20"/>
                <w:szCs w:val="20"/>
                <w:color w:val="auto"/>
              </w:rPr>
            </w:pPr>
            <w:r>
              <w:rPr>
                <w:rFonts w:ascii="Arial" w:cs="Arial" w:eastAsia="Arial" w:hAnsi="Arial"/>
                <w:sz w:val="14"/>
                <w:szCs w:val="14"/>
                <w:b w:val="1"/>
                <w:bCs w:val="1"/>
                <w:color w:val="auto"/>
                <w:w w:val="95"/>
              </w:rPr>
              <w:t>For the three</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January 13, 2021</w:t>
            </w:r>
          </w:p>
        </w:tc>
        <w:tc>
          <w:tcPr>
            <w:tcW w:w="0" w:type="dxa"/>
            <w:vAlign w:val="bottom"/>
          </w:tcPr>
          <w:p>
            <w:pPr>
              <w:spacing w:after="0"/>
              <w:rPr>
                <w:sz w:val="1"/>
                <w:szCs w:val="1"/>
                <w:color w:val="auto"/>
              </w:rPr>
            </w:pPr>
          </w:p>
        </w:tc>
      </w:tr>
      <w:tr>
        <w:trPr>
          <w:trHeight w:val="148"/>
        </w:trPr>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8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through March 31,</w:t>
            </w: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4"/>
                <w:szCs w:val="14"/>
                <w:color w:val="auto"/>
              </w:rPr>
            </w:pPr>
          </w:p>
        </w:tc>
        <w:tc>
          <w:tcPr>
            <w:tcW w:w="104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1,391,007</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(1,391,007)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5,251,820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271,160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16"/>
        </w:trPr>
        <w:tc>
          <w:tcPr>
            <w:tcW w:w="8280" w:type="dxa"/>
            <w:vAlign w:val="bottom"/>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24,553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5,276,373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(191,307)</w:t>
            </w: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3,885,366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 basic and 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31,116,305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3,067,805</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(loss) per ordinary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 basic and diluted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7,779,076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6,964,134</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(loss) per ordinary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CHANGES IN SHAREHOLDERS’ DEFICIT</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6"/>
              </w:rPr>
              <w:t>For The Three Months Ended March 31,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4"/>
          </w:tcPr>
          <w:p>
            <w:pPr>
              <w:jc w:val="center"/>
              <w:ind w:left="522"/>
              <w:spacing w:after="0" w:line="149" w:lineRule="exact"/>
              <w:rPr>
                <w:sz w:val="20"/>
                <w:szCs w:val="20"/>
                <w:color w:val="auto"/>
              </w:rPr>
            </w:pPr>
            <w:r>
              <w:rPr>
                <w:rFonts w:ascii="Arial" w:cs="Arial" w:eastAsia="Arial" w:hAnsi="Arial"/>
                <w:sz w:val="14"/>
                <w:szCs w:val="14"/>
                <w:b w:val="1"/>
                <w:bCs w:val="1"/>
                <w:color w:val="auto"/>
                <w:w w:val="89"/>
              </w:rPr>
              <w:t>2022</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6"/>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right="380"/>
              <w:spacing w:after="0"/>
              <w:rPr>
                <w:sz w:val="20"/>
                <w:szCs w:val="20"/>
                <w:color w:val="auto"/>
              </w:rPr>
            </w:pPr>
            <w:r>
              <w:rPr>
                <w:rFonts w:ascii="Arial" w:cs="Arial" w:eastAsia="Arial" w:hAnsi="Arial"/>
                <w:sz w:val="14"/>
                <w:szCs w:val="14"/>
                <w:b w:val="1"/>
                <w:bCs w:val="1"/>
                <w:color w:val="auto"/>
                <w:w w:val="95"/>
              </w:rPr>
              <w:t>Ordinary Shares</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6"/>
          </w:tcPr>
          <w:p>
            <w:pPr>
              <w:ind w:left="820"/>
              <w:spacing w:after="0" w:line="142" w:lineRule="exact"/>
              <w:rPr>
                <w:sz w:val="20"/>
                <w:szCs w:val="20"/>
                <w:color w:val="auto"/>
              </w:rPr>
            </w:pPr>
            <w:r>
              <w:rPr>
                <w:rFonts w:ascii="Arial" w:cs="Arial" w:eastAsia="Arial" w:hAnsi="Arial"/>
                <w:sz w:val="14"/>
                <w:szCs w:val="14"/>
                <w:b w:val="1"/>
                <w:bCs w:val="1"/>
                <w:color w:val="auto"/>
              </w:rPr>
              <w:t>Class A</w:t>
            </w:r>
          </w:p>
        </w:tc>
        <w:tc>
          <w:tcPr>
            <w:tcW w:w="7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ind w:left="700"/>
              <w:spacing w:after="0" w:line="142" w:lineRule="exact"/>
              <w:rPr>
                <w:sz w:val="20"/>
                <w:szCs w:val="20"/>
                <w:color w:val="auto"/>
              </w:rPr>
            </w:pPr>
            <w:r>
              <w:rPr>
                <w:rFonts w:ascii="Arial" w:cs="Arial" w:eastAsia="Arial" w:hAnsi="Arial"/>
                <w:sz w:val="14"/>
                <w:szCs w:val="14"/>
                <w:b w:val="1"/>
                <w:bCs w:val="1"/>
                <w:color w:val="auto"/>
                <w:w w:val="97"/>
              </w:rPr>
              <w:t>Class B</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1140" w:type="dxa"/>
            <w:vAlign w:val="bottom"/>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84"/>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5"/>
          </w:tcPr>
          <w:p>
            <w:pPr>
              <w:jc w:val="center"/>
              <w:ind w:right="440"/>
              <w:spacing w:after="0" w:line="142"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96"/>
        </w:trPr>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 January 1, 2022</w:t>
            </w: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w w:val="89"/>
              </w:rPr>
              <w:t>7,779,076</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6"/>
                <w:szCs w:val="16"/>
                <w:b w:val="1"/>
                <w:bCs w:val="1"/>
                <w:color w:val="auto"/>
                <w:w w:val="82"/>
              </w:rPr>
              <w:t>778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(39,081,329)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5"/>
              </w:rPr>
              <w:t>(39,080,551)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ind w:left="54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3,885,366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3,885,366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March 31, 2022</w:t>
            </w:r>
          </w:p>
        </w:tc>
        <w:tc>
          <w:tcPr>
            <w:tcW w:w="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(unaudited)</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540"/>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w w:val="89"/>
              </w:rPr>
              <w:t>7,779,076</w:t>
            </w: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3"/>
            <w:shd w:val="clear" w:color="auto" w:fill="CCEEFF"/>
          </w:tcPr>
          <w:p>
            <w:pPr>
              <w:ind w:left="580"/>
              <w:spacing w:after="0"/>
              <w:rPr>
                <w:sz w:val="20"/>
                <w:szCs w:val="20"/>
                <w:color w:val="auto"/>
              </w:rPr>
            </w:pPr>
            <w:r>
              <w:rPr>
                <w:rFonts w:ascii="Arial" w:cs="Arial" w:eastAsia="Arial" w:hAnsi="Arial"/>
                <w:sz w:val="16"/>
                <w:szCs w:val="16"/>
                <w:b w:val="1"/>
                <w:bCs w:val="1"/>
                <w:color w:val="auto"/>
              </w:rPr>
              <w:t>778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6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(35,195,963)</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2"/>
              </w:rPr>
              <w:t>(35,195,185)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gridSpan w:val="21"/>
          </w:tcPr>
          <w:p>
            <w:pPr>
              <w:ind w:left="160"/>
              <w:spacing w:after="0"/>
              <w:rPr>
                <w:sz w:val="20"/>
                <w:szCs w:val="20"/>
                <w:color w:val="auto"/>
              </w:rPr>
            </w:pPr>
            <w:r>
              <w:rPr>
                <w:rFonts w:ascii="Arial" w:cs="Arial" w:eastAsia="Arial" w:hAnsi="Arial"/>
                <w:sz w:val="14"/>
                <w:szCs w:val="14"/>
                <w:b w:val="1"/>
                <w:bCs w:val="1"/>
                <w:color w:val="auto"/>
                <w:w w:val="99"/>
              </w:rPr>
              <w:t>For The Period From January 13, 2021 (inception) through March 31, 2021</w:t>
            </w:r>
          </w:p>
        </w:tc>
        <w:tc>
          <w:tcPr>
            <w:tcW w:w="180" w:type="dxa"/>
            <w:vAlign w:val="bottom"/>
          </w:tcPr>
          <w:p>
            <w:pPr>
              <w:spacing w:after="0"/>
              <w:rPr>
                <w:sz w:val="24"/>
                <w:szCs w:val="24"/>
                <w:color w:val="auto"/>
              </w:rPr>
            </w:pPr>
          </w:p>
        </w:tc>
        <w:tc>
          <w:tcPr>
            <w:tcW w:w="7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Ordinary Shares</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w w:val="85"/>
              </w:rPr>
              <w:t>Class A</w:t>
            </w: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6"/>
          </w:tcPr>
          <w:p>
            <w:pPr>
              <w:spacing w:after="0" w:line="142" w:lineRule="exact"/>
              <w:rPr>
                <w:sz w:val="20"/>
                <w:szCs w:val="20"/>
                <w:color w:val="auto"/>
              </w:rPr>
            </w:pPr>
            <w:r>
              <w:rPr>
                <w:rFonts w:ascii="Arial" w:cs="Arial" w:eastAsia="Arial" w:hAnsi="Arial"/>
                <w:sz w:val="14"/>
                <w:szCs w:val="14"/>
                <w:b w:val="1"/>
                <w:bCs w:val="1"/>
                <w:color w:val="auto"/>
              </w:rPr>
              <w:t>Class B</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gridSpan w:val="2"/>
          </w:tcPr>
          <w:p>
            <w:pPr>
              <w:spacing w:after="0"/>
              <w:rPr>
                <w:sz w:val="12"/>
                <w:szCs w:val="12"/>
                <w:color w:val="auto"/>
              </w:rPr>
            </w:pPr>
          </w:p>
        </w:tc>
        <w:tc>
          <w:tcPr>
            <w:tcW w:w="98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300"/>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69"/>
        </w:trPr>
        <w:tc>
          <w:tcPr>
            <w:tcW w:w="25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Balance - January 13, 2021</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(inception)</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w w:val="87"/>
              </w:rPr>
              <w:t>—</w:t>
            </w:r>
          </w:p>
        </w:tc>
        <w:tc>
          <w:tcPr>
            <w:tcW w:w="48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4"/>
            <w:shd w:val="clear" w:color="auto" w:fill="CCEEFF"/>
          </w:tcPr>
          <w:p>
            <w:pPr>
              <w:ind w:left="660"/>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4"/>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3"/>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20"/>
                <w:szCs w:val="20"/>
                <w:color w:val="auto"/>
              </w:rPr>
            </w:pPr>
            <w:r>
              <w:rPr>
                <w:rFonts w:ascii="Arial" w:cs="Arial" w:eastAsia="Arial" w:hAnsi="Arial"/>
                <w:sz w:val="16"/>
                <w:szCs w:val="16"/>
                <w:color w:val="auto"/>
                <w:w w:val="98"/>
              </w:rPr>
              <w:t>Issuance of Class B ordinary shares</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160"/>
              <w:spacing w:after="0"/>
              <w:rPr>
                <w:sz w:val="20"/>
                <w:szCs w:val="20"/>
                <w:color w:val="auto"/>
              </w:rPr>
            </w:pPr>
            <w:r>
              <w:rPr>
                <w:rFonts w:ascii="Arial" w:cs="Arial" w:eastAsia="Arial" w:hAnsi="Arial"/>
                <w:sz w:val="16"/>
                <w:szCs w:val="16"/>
                <w:color w:val="auto"/>
              </w:rPr>
              <w:t>to Sponsor</w:t>
            </w:r>
          </w:p>
        </w:tc>
        <w:tc>
          <w:tcPr>
            <w:tcW w:w="80" w:type="dxa"/>
            <w:vAlign w:val="bottom"/>
          </w:tcPr>
          <w:p>
            <w:pPr>
              <w:spacing w:after="0"/>
              <w:rPr>
                <w:sz w:val="18"/>
                <w:szCs w:val="18"/>
                <w:color w:val="auto"/>
              </w:rPr>
            </w:pPr>
          </w:p>
        </w:tc>
        <w:tc>
          <w:tcPr>
            <w:tcW w:w="900" w:type="dxa"/>
            <w:vAlign w:val="bottom"/>
          </w:tcPr>
          <w:p>
            <w:pPr>
              <w:ind w:left="740"/>
              <w:spacing w:after="0"/>
              <w:rPr>
                <w:sz w:val="20"/>
                <w:szCs w:val="20"/>
                <w:color w:val="auto"/>
              </w:rPr>
            </w:pPr>
            <w:r>
              <w:rPr>
                <w:rFonts w:ascii="Arial" w:cs="Arial" w:eastAsia="Arial" w:hAnsi="Arial"/>
                <w:sz w:val="16"/>
                <w:szCs w:val="16"/>
                <w:color w:val="auto"/>
                <w:w w:val="87"/>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1020" w:type="dxa"/>
            <w:vAlign w:val="bottom"/>
            <w:gridSpan w:val="4"/>
          </w:tcPr>
          <w:p>
            <w:pPr>
              <w:jc w:val="right"/>
              <w:spacing w:after="0"/>
              <w:rPr>
                <w:sz w:val="20"/>
                <w:szCs w:val="20"/>
                <w:color w:val="auto"/>
              </w:rPr>
            </w:pPr>
            <w:r>
              <w:rPr>
                <w:rFonts w:ascii="Arial" w:cs="Arial" w:eastAsia="Arial" w:hAnsi="Arial"/>
                <w:sz w:val="16"/>
                <w:szCs w:val="16"/>
                <w:color w:val="auto"/>
              </w:rPr>
              <w:t>7,906,250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ind w:left="20"/>
              <w:spacing w:after="0"/>
              <w:rPr>
                <w:sz w:val="20"/>
                <w:szCs w:val="20"/>
                <w:color w:val="auto"/>
              </w:rPr>
            </w:pPr>
            <w:r>
              <w:rPr>
                <w:rFonts w:ascii="Arial" w:cs="Arial" w:eastAsia="Arial" w:hAnsi="Arial"/>
                <w:sz w:val="16"/>
                <w:szCs w:val="16"/>
                <w:color w:val="auto"/>
                <w:w w:val="82"/>
              </w:rPr>
              <w:t>791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24,209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rPr>
              <w:t>Accrection on Class A ordinary</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subject to possible</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redemption</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(199,953)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94"/>
              </w:rPr>
              <w:t>(22,886,667)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(23,086,620)</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20"/>
                <w:szCs w:val="20"/>
                <w:color w:val="auto"/>
              </w:rPr>
            </w:pPr>
            <w:r>
              <w:rPr>
                <w:rFonts w:ascii="Arial" w:cs="Arial" w:eastAsia="Arial" w:hAnsi="Arial"/>
                <w:sz w:val="16"/>
                <w:szCs w:val="16"/>
                <w:color w:val="auto"/>
                <w:w w:val="95"/>
              </w:rPr>
              <w:t>Sale of private placement warrants to</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160"/>
              <w:spacing w:after="0"/>
              <w:rPr>
                <w:sz w:val="20"/>
                <w:szCs w:val="20"/>
                <w:color w:val="auto"/>
              </w:rPr>
            </w:pPr>
            <w:r>
              <w:rPr>
                <w:rFonts w:ascii="Arial" w:cs="Arial" w:eastAsia="Arial" w:hAnsi="Arial"/>
                <w:sz w:val="16"/>
                <w:szCs w:val="16"/>
                <w:color w:val="auto"/>
              </w:rPr>
              <w:t>Sponsor less fair value of private</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40" w:type="dxa"/>
            <w:vAlign w:val="bottom"/>
          </w:tcPr>
          <w:p>
            <w:pPr>
              <w:ind w:left="160"/>
              <w:spacing w:after="0"/>
              <w:rPr>
                <w:sz w:val="20"/>
                <w:szCs w:val="20"/>
                <w:color w:val="auto"/>
              </w:rPr>
            </w:pPr>
            <w:r>
              <w:rPr>
                <w:rFonts w:ascii="Arial" w:cs="Arial" w:eastAsia="Arial" w:hAnsi="Arial"/>
                <w:sz w:val="16"/>
                <w:szCs w:val="16"/>
                <w:color w:val="auto"/>
              </w:rPr>
              <w:t>warrants</w:t>
            </w:r>
          </w:p>
        </w:tc>
        <w:tc>
          <w:tcPr>
            <w:tcW w:w="80" w:type="dxa"/>
            <w:vAlign w:val="bottom"/>
          </w:tcPr>
          <w:p>
            <w:pPr>
              <w:spacing w:after="0"/>
              <w:rPr>
                <w:sz w:val="18"/>
                <w:szCs w:val="18"/>
                <w:color w:val="auto"/>
              </w:rPr>
            </w:pPr>
          </w:p>
        </w:tc>
        <w:tc>
          <w:tcPr>
            <w:tcW w:w="900" w:type="dxa"/>
            <w:vAlign w:val="bottom"/>
          </w:tcPr>
          <w:p>
            <w:pPr>
              <w:ind w:left="740"/>
              <w:spacing w:after="0"/>
              <w:rPr>
                <w:sz w:val="20"/>
                <w:szCs w:val="20"/>
                <w:color w:val="auto"/>
              </w:rPr>
            </w:pPr>
            <w:r>
              <w:rPr>
                <w:rFonts w:ascii="Arial" w:cs="Arial" w:eastAsia="Arial" w:hAnsi="Arial"/>
                <w:sz w:val="16"/>
                <w:szCs w:val="16"/>
                <w:color w:val="auto"/>
                <w:w w:val="87"/>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175,731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CCEEFF"/>
          </w:tcPr>
          <w:p>
            <w:pPr>
              <w:spacing w:after="0"/>
              <w:rPr>
                <w:sz w:val="20"/>
                <w:szCs w:val="20"/>
                <w:color w:val="auto"/>
              </w:rPr>
            </w:pPr>
            <w:r>
              <w:rPr>
                <w:rFonts w:ascii="Arial" w:cs="Arial" w:eastAsia="Arial" w:hAnsi="Arial"/>
                <w:sz w:val="16"/>
                <w:szCs w:val="16"/>
                <w:color w:val="auto"/>
                <w:w w:val="96"/>
              </w:rPr>
              <w:t>Forfeiture of Class B ordinary shares</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from Sponsor</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color w:val="auto"/>
                <w:w w:val="87"/>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20" w:type="dxa"/>
            <w:vAlign w:val="bottom"/>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(127,174)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w w:val="98"/>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8"/>
                <w:szCs w:val="18"/>
                <w:color w:val="auto"/>
              </w:rPr>
            </w:pPr>
          </w:p>
        </w:tc>
        <w:tc>
          <w:tcPr>
            <w:tcW w:w="900" w:type="dxa"/>
            <w:vAlign w:val="bottom"/>
          </w:tcPr>
          <w:p>
            <w:pPr>
              <w:ind w:left="740"/>
              <w:spacing w:after="0"/>
              <w:rPr>
                <w:sz w:val="20"/>
                <w:szCs w:val="20"/>
                <w:color w:val="auto"/>
              </w:rPr>
            </w:pPr>
            <w:r>
              <w:rPr>
                <w:rFonts w:ascii="Arial" w:cs="Arial" w:eastAsia="Arial" w:hAnsi="Arial"/>
                <w:sz w:val="16"/>
                <w:szCs w:val="16"/>
                <w:color w:val="auto"/>
                <w:w w:val="87"/>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4"/>
          </w:tcPr>
          <w:p>
            <w:pPr>
              <w:ind w:left="66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(319,783)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(319,783)</w:t>
            </w:r>
          </w:p>
        </w:tc>
        <w:tc>
          <w:tcPr>
            <w:tcW w:w="0" w:type="dxa"/>
            <w:vAlign w:val="bottom"/>
          </w:tcPr>
          <w:p>
            <w:pPr>
              <w:spacing w:after="0"/>
              <w:rPr>
                <w:sz w:val="1"/>
                <w:szCs w:val="1"/>
                <w:color w:val="auto"/>
              </w:rPr>
            </w:pP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March 31, 2021</w:t>
            </w:r>
          </w:p>
        </w:tc>
        <w:tc>
          <w:tcPr>
            <w:tcW w:w="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(unaudited)</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740"/>
              <w:spacing w:after="0"/>
              <w:rPr>
                <w:sz w:val="20"/>
                <w:szCs w:val="20"/>
                <w:color w:val="auto"/>
              </w:rPr>
            </w:pPr>
            <w:r>
              <w:rPr>
                <w:rFonts w:ascii="Arial" w:cs="Arial" w:eastAsia="Arial" w:hAnsi="Arial"/>
                <w:sz w:val="16"/>
                <w:szCs w:val="16"/>
                <w:b w:val="1"/>
                <w:bCs w:val="1"/>
                <w:color w:val="auto"/>
                <w:w w:val="87"/>
              </w:rPr>
              <w:t>—</w:t>
            </w:r>
          </w:p>
        </w:tc>
        <w:tc>
          <w:tcPr>
            <w:tcW w:w="48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4"/>
            <w:shd w:val="clear" w:color="auto" w:fill="CCEEFF"/>
          </w:tcPr>
          <w:p>
            <w:pPr>
              <w:ind w:left="6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6"/>
                <w:szCs w:val="16"/>
                <w:b w:val="1"/>
                <w:bCs w:val="1"/>
                <w:color w:val="auto"/>
              </w:rPr>
              <w:t>7,779,076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64"/>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82"/>
              </w:rPr>
              <w:t>778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3"/>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4"/>
              </w:rPr>
              <w:t>(23,206,450)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2"/>
              </w:rPr>
              <w:t>(23,205,672)</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9"/>
        </w:trPr>
        <w:tc>
          <w:tcPr>
            <w:tcW w:w="8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For the three</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13, 2021</w:t>
            </w:r>
          </w:p>
        </w:tc>
        <w:tc>
          <w:tcPr>
            <w:tcW w:w="0" w:type="dxa"/>
            <w:vAlign w:val="bottom"/>
          </w:tcPr>
          <w:p>
            <w:pPr>
              <w:spacing w:after="0"/>
              <w:rPr>
                <w:sz w:val="1"/>
                <w:szCs w:val="1"/>
                <w:color w:val="auto"/>
              </w:rPr>
            </w:pPr>
          </w:p>
        </w:tc>
      </w:tr>
      <w:tr>
        <w:trPr>
          <w:trHeight w:val="148"/>
        </w:trPr>
        <w:tc>
          <w:tcPr>
            <w:tcW w:w="8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8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months ended</w:t>
            </w:r>
          </w:p>
        </w:tc>
        <w:tc>
          <w:tcPr>
            <w:tcW w:w="80" w:type="dxa"/>
            <w:vAlign w:val="bottom"/>
          </w:tcPr>
          <w:p>
            <w:pPr>
              <w:spacing w:after="0"/>
              <w:rPr>
                <w:sz w:val="12"/>
                <w:szCs w:val="12"/>
                <w:color w:val="auto"/>
              </w:rPr>
            </w:pPr>
          </w:p>
        </w:tc>
        <w:tc>
          <w:tcPr>
            <w:tcW w:w="108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2022</w:t>
            </w:r>
          </w:p>
        </w:tc>
        <w:tc>
          <w:tcPr>
            <w:tcW w:w="116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196"/>
        </w:trPr>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3,885,366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(319,783)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w w:val="90"/>
              </w:rPr>
              <w:t>General and administrative expenses paid by related party in exchange for issuance of Class B ordinary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 paid by related party under promissory note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26,800</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(5,251,820)</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(271,160)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(24,553)</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122,874</w:t>
            </w: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(1,409,464)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70,758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1,442,343</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18,903</w:t>
            </w: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23,534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 related party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Deferred legal fees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925,102</w:t>
            </w:r>
          </w:p>
        </w:tc>
        <w:tc>
          <w:tcPr>
            <w:tcW w:w="8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(252,273)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in Trust Account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(311,163,050)</w:t>
            </w:r>
          </w:p>
        </w:tc>
        <w:tc>
          <w:tcPr>
            <w:tcW w:w="0" w:type="dxa"/>
            <w:vAlign w:val="bottom"/>
          </w:tcPr>
          <w:p>
            <w:pPr>
              <w:spacing w:after="0"/>
              <w:rPr>
                <w:sz w:val="1"/>
                <w:szCs w:val="1"/>
                <w:color w:val="auto"/>
              </w:rPr>
            </w:pPr>
          </w:p>
        </w:tc>
      </w:tr>
      <w:tr>
        <w:trPr>
          <w:trHeight w:val="230"/>
        </w:trPr>
        <w:tc>
          <w:tcPr>
            <w:tcW w:w="8420" w:type="dxa"/>
            <w:vAlign w:val="bottom"/>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(311,163,050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Proceeds from note payable to related party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 payable to related party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(171,742)</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Proceeds received from initial public offering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w w:val="93"/>
              </w:rPr>
              <w:t>311,163,050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private placement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9,223,261</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Offering costs paid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(6,243,461)</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3"/>
              </w:rPr>
              <w:t>313,971,208</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Net (decrease) increase in cash</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(252,273)</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811,526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Cash—end of the period</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559,253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2,797,895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Offering costs included in accounts payable</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Offering costs included in accrued expenses</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Offering costs paid by related party under promissory note</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144,842</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underwriting commissions</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10,890,707</w:t>
            </w:r>
          </w:p>
        </w:tc>
        <w:tc>
          <w:tcPr>
            <w:tcW w:w="0" w:type="dxa"/>
            <w:vAlign w:val="bottom"/>
          </w:tcPr>
          <w:p>
            <w:pPr>
              <w:spacing w:after="0"/>
              <w:rPr>
                <w:sz w:val="1"/>
                <w:szCs w:val="1"/>
                <w:color w:val="auto"/>
              </w:rPr>
            </w:pPr>
          </w:p>
        </w:tc>
      </w:tr>
      <w:tr>
        <w:trPr>
          <w:trHeight w:val="230"/>
        </w:trPr>
        <w:tc>
          <w:tcPr>
            <w:tcW w:w="8420" w:type="dxa"/>
            <w:vAlign w:val="bottom"/>
          </w:tcPr>
          <w:p>
            <w:pPr>
              <w:ind w:left="360"/>
              <w:spacing w:after="0"/>
              <w:rPr>
                <w:sz w:val="20"/>
                <w:szCs w:val="20"/>
                <w:color w:val="auto"/>
              </w:rPr>
            </w:pPr>
            <w:r>
              <w:rPr>
                <w:rFonts w:ascii="Arial" w:cs="Arial" w:eastAsia="Arial" w:hAnsi="Arial"/>
                <w:sz w:val="18"/>
                <w:szCs w:val="18"/>
                <w:color w:val="auto"/>
              </w:rPr>
              <w:t>Forfeiture of Class B ordinary shares from Sponsor</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(“Business Combination”).</w:t>
      </w:r>
    </w:p>
    <w:p>
      <w:pPr>
        <w:spacing w:after="0" w:line="18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As of March 31, 2022, the Company had not yet commenced operations. All activity for the period from January 13, 2021 (inception) through March 31, 2022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76"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 $10.9 million was for deferred underwriting commissions (see Note 6).</w:t>
      </w:r>
    </w:p>
    <w:p>
      <w:pPr>
        <w:spacing w:after="0" w:line="192"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4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92"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 the deferred underwriting commissions the Company will pay to the underwriters (as discussed in Note 6). These Public Shares were recorded at a redemption value and classified as temporary equity, in accordance with the Financial Accounting Standards Board’s (“FASB”) Accounting Standards Codification (“ASC”) Topic 480 “Distinguishing Liabilities from Equity” (“ASC 480”). In such case, the Company will proceed with a Business Combination if the Company has net tangible assets of at least $5,000,001 upon such consummation of a Business Combination and a majority of the shares voted are voted in favor of the Business Combination. If 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86"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shareholder vote is not required by law and the Company does not decide to hold a shareholder vote for business or other legal reasons, the Company will, pursuant to the amended and restated memorandum and articles of association which will be adopted by the Company upon the consummation of the Initial Public Offering (the “Amended and Restated Memorandum and Articles of Association”), conduct the redemptions pursuant to the tender offer rules of the U.S. Securities and Exchange Commission (the “SEC”), and file tender offer documents with the SEC prior to completing a Business Combination. If, however, a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holders of the Founder Shares prior to this Initial Public Offering (the “Initial Shareholders”) agreed to vote their Founder Shares (as defined in Note 5) and any Public Shares purchased during or after the Initial Public Offering in favor of a Business Combination. In addition, the Initial Shareholders agreed to waive their redemption rights with respect to their Founder Shares and Public Shares in connection with the completion of a Business Combination. In addition, the Company agreed not to enter into a definitive agreement regarding an initial Business Combination without the prior consent of the Sponsor.</w:t>
      </w:r>
    </w:p>
    <w:p>
      <w:pPr>
        <w:spacing w:after="0" w:line="16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5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5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14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Business Combination</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December 2, 2021, the Company, Opal HoldCo LLC, a Delaware limited liability company (“Opal HoldCo”), and Opal Fuels LLC, a Delaware limited liability company (“Opal Fuels”), entered into a Business Combination Agreement (as it may be amended, supplemented or otherwise modified from time to time, the “Business Combination Agreement”).</w:t>
      </w:r>
    </w:p>
    <w:p>
      <w:pPr>
        <w:spacing w:after="0" w:line="184"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The Business Combination Agreement and the transactions contemplated thereby (collectively, the “Business Combination”) were unanimously approved by the boards of directors of the Company and Opal Fuels,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“Domestication”) and, in connection with the Domestication, (A) the Company’s name will be changed to “Opal Fuels Inc.” (“New Opal”), (B) each outstanding Class A ordinary share of the Company will become one share of Class A common stock, par value $0.0001 per share, of New Opal (the “New Opal Class A Common Stock”),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“Closing”) to be re-classified into a number of common units (collectively, the “Opal Units”)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the “Ares Note”), held by ARCC Beacon LLC, a Delaware limited liability company (“Ares”), (C) the Company will contribute the (x) the amount of cash in the trust account (the “Trust Account”) established by the Company with the proceeds from its initial public offering as of immediately prior to the Closing (and before, for the avoidance of doubt, giving effect to the exercise of redemption rights by any of the Company’s shareholders (the “Public Share Redemptions”)),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(“Hillman”) a number of shares of Class D common stock, par value $0.0001 per share, of New Opal (the “New Opal Class D Common Stock”), and distribute to Ares (together with Opal HoldCo and Hillman, collectively, the “Opal Equityholders”) shares of Class B common stock, par value $0.0001 per share, of New Opal (the “New Opal Class B Common Stock”) (neither of which will have any economic value but will entitle the holder thereof to five votes per share or one vote per share, respectively), equal to the number of Opal Units held by each of the Opal Equityholders.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if New Opal’s annual EBITDA for the calendar year 2023 exceeds $238,000,000 (the “First Earnout Triggering Event”), New Opal will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issue to Opal HoldCo, Ares and Hillman (collectively, the “Earnout Participants”) an aggregate of 5,000,000 shares of New Opal Class B Common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and New Opal Class D Common Stock and corresponding Opal Units (collectively, the “First Earnout Tranche”) in accordance with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allocations set forth in the Business Combination Agreement. Additionally, if New Opal’s annual EBITDA for the calendar year 2024 exceeds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$446,000,000 (the “Second Earnout Triggering Event”), New Opal will issue to the Earnout Participants an aggregate of 5,000,000 additional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New Opal Class B Common Stock and New Opal Class D Common Stock and corresponding Opal Units (collectively, the “Second Earnout Tranche”)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accordance with the allocations set forth in the Business Combination Agreement. In the event that the First Earnout Triggering Event does not occur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but the Second Earnout Triggering Event does occur, New Opal will be obligated to issue both the First Earnout Tranche and the Second Earnout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Tranche upon the occurrence of the Second Earnout Triggering Event.</w:t>
      </w:r>
    </w:p>
    <w:p>
      <w:pPr>
        <w:spacing w:after="0" w:line="21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Business Combination is expected to close late in first half of 2022, following the receipt of the required approval by the Company’s shareholders and the fulfillment of other customary closing conditions.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Financing (Private Placement)</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Concurrently with the execution of the Business Combination Agreement, the Company entered into subscription agreements (the “Subscription Agreements”) with certain investors (the “PIPE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 $125,000,000 (the “PIPE Investment”).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closing of the PIPE Investment is contingent upon, among other things, the substantially concurrent consummation of the Business Combination.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Subscription Agreements provide that the Company will grant the investors in the PIPE Investment certain customary registration rights.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Business Combination Agreement contemplates that, at the Closing, Opal Fuels, Ares, Hillman and the Class B Shareholders (collectively the “New Opal Holders”) will enter into an Investor Rights Agreement (the “Investor Rights Agreement”), pursuant to which, among other things, (i) the Company and the Company’s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2022, the Company had approximately $559,000 in its operating bank account and working capital of approximately $1.1 million.</w:t>
      </w:r>
    </w:p>
    <w:p>
      <w:pPr>
        <w:spacing w:after="0" w:line="23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Company’s liquidity needs up to March 31, 2022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On May 16, 2022, the Company entered into a non-interest bearing promissory note with the Sponsor for $1,000,000. To date, there were no amounts outstanding under any Working Capital Loans.</w:t>
      </w:r>
    </w:p>
    <w:p>
      <w:pPr>
        <w:spacing w:after="0" w:line="19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the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Management continues to evaluate the impact of the COVID-19 pandemic and has concluded that the specific impact is not readily determinable as of the date of the unaudited condensed financial statements. The unaudited condensed financial statement does not include any adjustments that might result from the outcome of this uncertainty.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 (as Restated)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three months ended March 31, 2022 are not necessarily indicative of the results that may be expected for the year ended December 31, 2022.</w:t>
      </w:r>
    </w:p>
    <w:p>
      <w:pPr>
        <w:spacing w:after="0" w:line="18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notes thereto included in the Annual Report on Form 10-K filed by the Company with the SEC on March 9, 2022.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66"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There were no cash equivalents as of March 31, 2022 and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 at fair value at the end of each reporting period. Gains and losses resulting from the change in fair value of these securities is included in net gain on investments held in Trust Account in the accompanying statement of operations. The estimated fair values of investments held in the Trust Account are determined using available market information.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As of March 31, 2022, the Company has not experienced losses on these accounts and management believes the Company is not exposed to significant risks on such accounts.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right="108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Topic 820, “Fair Value Measurements,” approximates the carrying amounts represented in the condensed balance sheets.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76"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30" w:lineRule="exact"/>
        <w:rPr>
          <w:rFonts w:ascii="Arial" w:cs="Arial" w:eastAsia="Arial" w:hAnsi="Arial"/>
          <w:sz w:val="18"/>
          <w:szCs w:val="18"/>
          <w:color w:val="auto"/>
        </w:rPr>
      </w:pPr>
    </w:p>
    <w:p>
      <w:pPr>
        <w:ind w:left="1080" w:right="160" w:hanging="532"/>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532"/>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FASB ASC Topic 480 and ASC 815, “Derivatives and Hedging” (“ASC 815”). The classification of derivative instruments, including whether such instruments should be recorded as liabilities or as equity, is re-assessed at the end of each reporting period.</w:t>
      </w:r>
    </w:p>
    <w:p>
      <w:pPr>
        <w:spacing w:after="0" w:line="15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warrants issued in the Initial Public Offering and the underwriters’ exercise of their overallotment option (the “Public Warrants”) and the Private Placement Warrants are recognized as derivative liabilities in accordance with ASC 815. Accordingly, the Company recognizes the warrant instruments as liabilities at fair value and adjusts the carrying value of the instruments to fair value at each reporting period for so long as they are outstanding. The initial fair value of the Public Warrants issued in connection with the Public Offering and the fair value of the Private Placement Warrants have been estimated using a Monte Carlo simulation model and subsequently, the fair value of the Private Placement Warrants have been estimated using a Monte Carlo simulation model at each measurement date. The fair value of Public Warrants have subsequently been measured based on the listed market price of such warrants. Derivative warrant liabilities are classified as non-current liabilities as their liquidation is not reasonably expected to require the use of current assets or require the creation of current liabilities.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Offering costs consisted of legal, accounting, underwriting fees and other costs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associated with derivative warrant liabilities were expensed as incurred and presented as non-operating expenses in the statements of operations. Offering costs associated with issuance of the Class A ordinary shares were charged against the carrying value of the Class A ordinary shares subject to possible redemption upon the completion of the Initial Public Offering. The Company classifies deferred underwriting commissions as non-current liabilities as their liquidation is not reasonably expected to require the use of current assets or require the creation of current liabilities.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accounts for its Class A ordinary shares subject to possible redemption in accordance with ASC 480.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is classified as shareholders’ equity. The Company’s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Class A ordinary shares feature certain redemption rights that are considered to be outside of the Company’s control and subject to the occurrence of uncertain future events. Accordingly, as of March 31, 2022 and December 31, 2021, 31,116,305 Class A ordinary shares subject to possible redemption is presented at redemption value as temporary equity, outside of the shareholders’ equity section of the Company’s condensed balance sheets.</w:t>
      </w:r>
    </w:p>
    <w:p>
      <w:pPr>
        <w:spacing w:after="0" w:line="14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Immediately upon the closing of the Initial Public Offering, the Company recognized the re-measurement from initial book value to redemption amount, which approximates fair value. The change in the carrying value of Class A ordinary shares subject to possible redemption resulted in charges against additional paid-in capital (to the extent available), accumulated deficit, and Class A ordinary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March 31, 2022 and December 31,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20" w:right="52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Company has two classes of shares, Class A ordinary shares and Class B ordinary shares. Income and losses are shared pro rata between the two classes of shares. Net income (loss) per ordinary share is computed by dividing net income (loss) by the weighted-average number of ordinary shares outstanding during the periods. The Company has not considered the effect of the Public Warrants and the Private Placement to purchase an aggregate of 15,446,522, of the Company’s Class A ordinary shares in the calculation of diluted net income (loss) per share, because their exercise is contingent upon future events and their inclusion would be anti-dilutive under the treasury stock method. As a result, diluted net income (loss) per share is the same as basic net income (loss) per share for the three months ended March 31, 2022 and for the period January 13, 2021 (inception) through March 31, 2021. Re-measurement associated with the Class A ordinary shares subject to possible redemption is excluded from earnings per share as the redemption value approximates fair value.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For the period January 13, 2021</w:t>
            </w: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4"/>
                <w:szCs w:val="14"/>
                <w:color w:val="auto"/>
              </w:rPr>
            </w:pPr>
          </w:p>
        </w:tc>
        <w:tc>
          <w:tcPr>
            <w:tcW w:w="24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7"/>
              </w:rPr>
              <w:t>(inception) through March 31, 2021</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Class B</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ordinary share: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i w:val="1"/>
                <w:iCs w:val="1"/>
                <w:color w:val="auto"/>
              </w:rPr>
              <w:t>Numerator: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3,108,293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777,073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(97,791)</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(221,992)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i w:val="1"/>
                <w:iCs w:val="1"/>
                <w:color w:val="auto"/>
              </w:rPr>
              <w:t>Denominator: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Basic and diluted weighted average ordinary shares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31,116,305</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7,779,076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3,067,805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6,964,134</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Basic and diluted net income (loss) per ordinary share</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0.10</w:t>
            </w:r>
          </w:p>
        </w:tc>
        <w:tc>
          <w:tcPr>
            <w:tcW w:w="2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(0.03)</w:t>
            </w:r>
          </w:p>
        </w:tc>
        <w:tc>
          <w:tcPr>
            <w:tcW w:w="16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jc w:val="both"/>
        <w:ind w:left="120" w:right="4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9).</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2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On January 20, 2021, the Sponsor agreed to loan the Company up to $300,000 pursuant to a promissory note (the “Note”). The Note was non-interest bearing, unsecured and due upon the closing of the Initial Public Offering. During the period from January 13, 2021 (inception) through March 31, 2021, the Company borrowed approximately $172,000 under the Note and fully repaid the Note on March 26, 2021.</w:t>
      </w:r>
    </w:p>
    <w:p>
      <w:pPr>
        <w:spacing w:after="0" w:line="165"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w:t>
      </w:r>
    </w:p>
    <w:p>
      <w:pPr>
        <w:spacing w:after="0" w:line="2"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As of March 31, 2022 and December 31, 2021, the Company had no borrowings under the Working Capital Loans. See Note 11.</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25, 2021, the Company entered into an agreement that provided that, commencing on the date that the Company’s securities were first listed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Nasdaq through the earlier of consummation of the initial Business Combination and the liquidation, the Company agreed to pay the Sponsor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 per month for office space, secretarial and administrative services provided to the Company. The Company incurred $30,000 and $10,000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expenses in connection with such services for the three months ended March 31, 2022 and for the period from January 13, 2021 (inception) through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as reflected in the accompanying unaudited condensed statements of operations.</w:t>
      </w:r>
    </w:p>
    <w:p>
      <w:pPr>
        <w:spacing w:after="0" w:line="21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 Agreement</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Legal Fees</w:t>
      </w:r>
    </w:p>
    <w:p>
      <w:pPr>
        <w:spacing w:after="0" w:line="117"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The Company entered into an engagement letter to obtain legal advisory services, pursuant to which the legal counsel agreed to defer the payment of their fees until the closing of the initial Business Combination. As of March 31, 2022 and December 31, 2021, the Company recorded an aggregate of approximately $4.9 million and $4.0 million, respectively, in connection with such arrangement as deferred legal fees in the accompanying condensed balance sheets.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Class A Ordinary Shares Subject to Possible Redemption</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Company’s Class A ordinary shares feature certain redemption rights that are considered to be outside of the Company’s control and subject to the occurrence of future events. The Company is authorized to issue 500,000,000 Class A ordinary shares with a par value of $0.0001 per share. Holders of the Company’s Class A ordinary shares are entitled to one vote for each share. As of March 31, 2022 and December 31, 2021, there were 31,116,305 shares of Class A ordinary shares outstanding, all of which were subject to possible redemption.</w:t>
      </w:r>
    </w:p>
    <w:p>
      <w:pPr>
        <w:spacing w:after="0" w:line="17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As of December 31, 2021, Class A ordinary shares subject to possible redemption reflected on the condensed balance sheet is reconciled on the following table:</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$311,163,050</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Offering costs allocated to Class A shares subject to possible redemption</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(17,138,390)</w:t>
            </w: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Proceeds allocated to Public Warrants at issuance</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(5,948,230)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340"/>
              <w:spacing w:after="0" w:line="201" w:lineRule="exact"/>
              <w:rPr>
                <w:sz w:val="20"/>
                <w:szCs w:val="20"/>
                <w:color w:val="auto"/>
              </w:rPr>
            </w:pPr>
            <w:r>
              <w:rPr>
                <w:rFonts w:ascii="Arial" w:cs="Arial" w:eastAsia="Arial" w:hAnsi="Arial"/>
                <w:sz w:val="18"/>
                <w:szCs w:val="18"/>
                <w:color w:val="auto"/>
                <w:w w:val="93"/>
              </w:rPr>
              <w:t>Re-measurement on Class A ordinary shares subject to possible redemption</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23,086,620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ordinary shares subject to possible redemption</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311,163,050</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was no change for the three-month period ending March 31, 2022.</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8-Shareholders’ Deficit</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500,000,000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Class A ordinary shares are entitled to one vote for each share. As of March 31, 2022 and December 31, 2021, there were 31,116,305 Class A ordinary shares issued and outstanding. All Class A ordinary shares subject to possible redemption have been classified as temporary equity (see Note 7).</w:t>
      </w:r>
    </w:p>
    <w:p>
      <w:pPr>
        <w:spacing w:after="0" w:line="187"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b w:val="1"/>
          <w:bCs w:val="1"/>
          <w:i w:val="1"/>
          <w:iCs w:val="1"/>
          <w:color w:val="auto"/>
        </w:rPr>
        <w:t>Class B Ordinary Shares</w:t>
      </w:r>
      <w:r>
        <w:rPr>
          <w:rFonts w:ascii="Arial" w:cs="Arial" w:eastAsia="Arial" w:hAnsi="Arial"/>
          <w:sz w:val="17"/>
          <w:szCs w:val="17"/>
          <w:color w:val="auto"/>
        </w:rPr>
        <w:t>—The Company is authorized to issue 50,000,000 Class B ordinary shares with a par value of $0.0001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were subject to forfeiture, to the Company by the Initial Shareholders for no consideration to the extent that the underwriters’ over-allotment option was not exercised in full or in part, so that the Initial Shareholders would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 As of March 31, 2022 and December 31, 2021, there were 7,779,076 Class B ordinary shares issued and outstanding.</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5,000,000 preference shares with a par value of $0.0001 per share. As of March 31, 2022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there were no preference shares issued or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9-Derivative Warrant Liabilities</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As of March 31, 2022 and December 31, 2021, the Company had an aggregate of 15,446,522 warrants outstanding, comprised of 6,223,261 and 9,223,261 Public Warrants and Private Placement Warrants, respectively.</w:t>
      </w:r>
    </w:p>
    <w:p>
      <w:pPr>
        <w:spacing w:after="0" w:line="17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 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74"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86"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cash when the price per Class A ordinary share equals or exceeds $18.00:</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(except as described herein with respect to the Private Placement Warrants):</w:t>
      </w:r>
    </w:p>
    <w:p>
      <w:pPr>
        <w:spacing w:after="0" w:line="76"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8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Class A ordinary shares when the price per Class A ordinary share equals or exceeds $10.00: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131"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jc w:val="both"/>
        <w:ind w:left="1080" w:right="240" w:hanging="532"/>
        <w:spacing w:after="0" w:line="286"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 $0.10 per warrant upon a minimum of 30 days’ prior written notice of redemption provided that holders will be able to exercise their warrants on a cashless basis prior to redemption and receive that number of Class A ordinary shares to be determined by reference to an agreed table based on the redemption date and the “fair market value” of Class A ordinary shares;</w:t>
      </w:r>
    </w:p>
    <w:p>
      <w:pPr>
        <w:spacing w:after="0" w:line="70" w:lineRule="exact"/>
        <w:rPr>
          <w:rFonts w:ascii="Arial" w:cs="Arial" w:eastAsia="Arial" w:hAnsi="Arial"/>
          <w:sz w:val="17"/>
          <w:szCs w:val="17"/>
          <w:color w:val="auto"/>
        </w:rPr>
      </w:pPr>
    </w:p>
    <w:p>
      <w:pPr>
        <w:ind w:left="1080" w:right="80" w:hanging="532"/>
        <w:spacing w:after="0" w:line="34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29" w:lineRule="exact"/>
        <w:rPr>
          <w:rFonts w:ascii="Arial" w:cs="Arial" w:eastAsia="Arial" w:hAnsi="Arial"/>
          <w:sz w:val="16"/>
          <w:szCs w:val="16"/>
          <w:color w:val="auto"/>
        </w:rPr>
      </w:pPr>
    </w:p>
    <w:p>
      <w:pPr>
        <w:ind w:left="1080" w:right="1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10-Fair Value Measurements</w:t>
      </w:r>
    </w:p>
    <w:p>
      <w:pPr>
        <w:spacing w:after="0" w:line="121" w:lineRule="exact"/>
        <w:rPr>
          <w:sz w:val="20"/>
          <w:szCs w:val="20"/>
          <w:color w:val="auto"/>
        </w:rPr>
      </w:pPr>
    </w:p>
    <w:p>
      <w:pPr>
        <w:jc w:val="both"/>
        <w:ind w:left="120" w:right="140"/>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March 31, 2022 and December 31, 2021 and indicates the fair value hierarchy of the valuation techniques that the Company utilized to determine such fair value.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March 31, 2022:</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Quoted</w:t>
            </w:r>
          </w:p>
        </w:tc>
        <w:tc>
          <w:tcPr>
            <w:tcW w:w="40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Prices</w:t>
            </w:r>
          </w:p>
        </w:tc>
        <w:tc>
          <w:tcPr>
            <w:tcW w:w="4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in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Active</w:t>
            </w:r>
          </w:p>
        </w:tc>
        <w:tc>
          <w:tcPr>
            <w:tcW w:w="112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0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8"/>
              </w:rPr>
              <w:t>Markets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(Level 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9"/>
              <w:spacing w:after="0"/>
              <w:rPr>
                <w:sz w:val="20"/>
                <w:szCs w:val="20"/>
                <w:color w:val="auto"/>
              </w:rPr>
            </w:pPr>
            <w:r>
              <w:rPr>
                <w:rFonts w:ascii="Arial" w:cs="Arial" w:eastAsia="Arial" w:hAnsi="Arial"/>
                <w:sz w:val="14"/>
                <w:szCs w:val="14"/>
                <w:b w:val="1"/>
                <w:bCs w:val="1"/>
                <w:color w:val="auto"/>
                <w:w w:val="87"/>
              </w:rPr>
              <w:t>(Level 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311,200,024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Derivative warrant liabilities-public</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8,276,940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liabilities-private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89"/>
              </w:rPr>
              <w:t>$12,266,940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December 31, 2021:</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Quoted</w:t>
            </w:r>
          </w:p>
        </w:tc>
        <w:tc>
          <w:tcPr>
            <w:tcW w:w="400" w:type="dxa"/>
            <w:vAlign w:val="bottom"/>
          </w:tcPr>
          <w:p>
            <w:pPr>
              <w:spacing w:after="0"/>
              <w:rPr>
                <w:sz w:val="24"/>
                <w:szCs w:val="2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5"/>
              </w:rPr>
              <w:t>Prices</w:t>
            </w:r>
          </w:p>
        </w:tc>
        <w:tc>
          <w:tcPr>
            <w:tcW w:w="4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in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Active</w:t>
            </w:r>
          </w:p>
        </w:tc>
        <w:tc>
          <w:tcPr>
            <w:tcW w:w="112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4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0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8"/>
              </w:rPr>
              <w:t>Markets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(Level 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9"/>
              <w:spacing w:after="0"/>
              <w:rPr>
                <w:sz w:val="20"/>
                <w:szCs w:val="20"/>
                <w:color w:val="auto"/>
              </w:rPr>
            </w:pPr>
            <w:r>
              <w:rPr>
                <w:rFonts w:ascii="Arial" w:cs="Arial" w:eastAsia="Arial" w:hAnsi="Arial"/>
                <w:sz w:val="14"/>
                <w:szCs w:val="14"/>
                <w:b w:val="1"/>
                <w:bCs w:val="1"/>
                <w:color w:val="auto"/>
                <w:w w:val="87"/>
              </w:rPr>
              <w:t>(Level 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Investments held in Trust Account</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311,175,471</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Derivative warrant liabilities-public</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10,392,850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liabilities-private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89"/>
              </w:rPr>
              <w:t>$15,402,850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Transfers to/from Levels 1, 2, and 3 are recognized at the beginning of the reporting period. The estimated fair value of the Public Warrants transferred from a Level 3 measurement to a Level 1 fair value measurement on April 1, 2021 because the Public Warrants were separately listed and traded in an active market. There were no transfers between levels for the three months ended March 31, 2022 or for the period from January 13, 2021 (inception) through March 31, 2021.</w:t>
      </w:r>
    </w:p>
    <w:p>
      <w:pPr>
        <w:spacing w:after="0" w:line="187"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Level 1 assets include investments in money market funds or U.S. Treasury securities. The Company uses inputs such as actual trade data, benchmark yields, quoted market prices from dealers or brokers, and other similar sources to determine the fair value of its investments.</w:t>
      </w:r>
    </w:p>
    <w:p>
      <w:pPr>
        <w:spacing w:after="0" w:line="14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subsequently measured based on the listed market price of such warrants, a Level 1 measurement. For the three months ended March 31, 2022 and for the period from January 13, 2021 (inception) through March 31, 2021, the Company recognized a change to the unaudited condensed statements of operations resulting from a decrease (increase) in the fair value of liabilities of approximately $5.3 million and $0.3 million, respectively, presented as change in fair value of derivative warrant liabilities in the accompanying unaudited condensed statements of operations.</w:t>
      </w:r>
    </w:p>
    <w:p>
      <w:pPr>
        <w:spacing w:after="0" w:line="16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2"/>
              </w:rPr>
              <w:t>March 31,</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December</w:t>
            </w:r>
          </w:p>
        </w:tc>
      </w:tr>
      <w:tr>
        <w:trPr>
          <w:trHeight w:val="171"/>
        </w:trPr>
        <w:tc>
          <w:tcPr>
            <w:tcW w:w="4480" w:type="dxa"/>
            <w:vAlign w:val="bottom"/>
          </w:tcPr>
          <w:p>
            <w:pPr>
              <w:spacing w:after="0"/>
              <w:rPr>
                <w:sz w:val="14"/>
                <w:szCs w:val="14"/>
                <w:color w:val="auto"/>
              </w:rPr>
            </w:pPr>
          </w:p>
        </w:tc>
        <w:tc>
          <w:tcPr>
            <w:tcW w:w="234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9"/>
              </w:rPr>
              <w:t>31, 2021</w:t>
            </w:r>
          </w:p>
        </w:tc>
        <w:tc>
          <w:tcPr>
            <w:tcW w:w="200" w:type="dxa"/>
            <w:vAlign w:val="bottom"/>
          </w:tcPr>
          <w:p>
            <w:pPr>
              <w:spacing w:after="0"/>
              <w:rPr>
                <w:sz w:val="14"/>
                <w:szCs w:val="14"/>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price</w:t>
            </w:r>
          </w:p>
        </w:tc>
        <w:tc>
          <w:tcPr>
            <w:tcW w:w="17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9.92</w:t>
            </w:r>
          </w:p>
        </w:tc>
        <w:tc>
          <w:tcPr>
            <w:tcW w:w="7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9.98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Volatility</w:t>
            </w:r>
          </w:p>
        </w:tc>
        <w:tc>
          <w:tcPr>
            <w:tcW w:w="3060" w:type="dxa"/>
            <w:vAlign w:val="bottom"/>
            <w:gridSpan w:val="3"/>
          </w:tcPr>
          <w:p>
            <w:pPr>
              <w:jc w:val="right"/>
              <w:ind w:right="560"/>
              <w:spacing w:after="0"/>
              <w:rPr>
                <w:sz w:val="20"/>
                <w:szCs w:val="20"/>
                <w:color w:val="auto"/>
              </w:rPr>
            </w:pPr>
            <w:r>
              <w:rPr>
                <w:rFonts w:ascii="Arial" w:cs="Arial" w:eastAsia="Arial" w:hAnsi="Arial"/>
                <w:sz w:val="18"/>
                <w:szCs w:val="18"/>
                <w:color w:val="auto"/>
              </w:rPr>
              <w:t>16.3%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options to convert</w:t>
            </w:r>
          </w:p>
        </w:tc>
        <w:tc>
          <w:tcPr>
            <w:tcW w:w="30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5.25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Risk-free rate</w:t>
            </w:r>
          </w:p>
        </w:tc>
        <w:tc>
          <w:tcPr>
            <w:tcW w:w="3060" w:type="dxa"/>
            <w:vAlign w:val="bottom"/>
            <w:gridSpan w:val="3"/>
          </w:tcPr>
          <w:p>
            <w:pPr>
              <w:jc w:val="right"/>
              <w:ind w:right="560"/>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change in the fair value of the Level 3 derivative warrant liabilities for the period from January 13, 2021 (inception) through March 31, 2022 is summarized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Public Warrants</w:t>
            </w:r>
          </w:p>
        </w:tc>
        <w:tc>
          <w:tcPr>
            <w:tcW w:w="1660" w:type="dxa"/>
            <w:vAlign w:val="bottom"/>
            <w:gridSpan w:val="4"/>
          </w:tcPr>
          <w:p>
            <w:pPr>
              <w:ind w:left="260"/>
              <w:spacing w:after="0"/>
              <w:rPr>
                <w:sz w:val="20"/>
                <w:szCs w:val="20"/>
                <w:color w:val="auto"/>
              </w:rPr>
            </w:pPr>
            <w:r>
              <w:rPr>
                <w:rFonts w:ascii="Arial" w:cs="Arial" w:eastAsia="Arial" w:hAnsi="Arial"/>
                <w:sz w:val="14"/>
                <w:szCs w:val="14"/>
                <w:b w:val="1"/>
                <w:bCs w:val="1"/>
                <w:color w:val="auto"/>
              </w:rPr>
              <w:t>Private Warrants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Derivative warrant liabilities at January 13, 2021 (inception)</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Issuance of Public and Private Warrants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5,948,230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9,047,530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14,995,760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Transfer to Level 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(10,455,080)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(10,455,080)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4,506,850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6,355,320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10,862,170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December 31, 2021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15,402,850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15,402,850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(3,135,910)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(3,135,910)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March 31, 2022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12,266,940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12,266,940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Management has evaluated subsequent events to determine if events or transactions occurring through the date the unaudited condensed financial statements were issued. There are no such events requiring potential adjustment to or disclosure in the unaudited condensed financial statements and the Company has concluded that all such events that would require recognition or disclosure have been recognized or disclosed.</w:t>
      </w:r>
    </w:p>
    <w:p>
      <w:pPr>
        <w:spacing w:after="0" w:line="165"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Effective as of May 11, 2022, the Company and PIPE Investors representing $110,806,000 of the original PIPE Investment entered into amendments with respect to such PIPE Investors’ Subscription Agreements (the “Amended Subscription Agreements”), whereby the termination rights described in the Subscription Agreements were amended to extend the term of each Amended Subscription Agreement by 60 days to July 29, 2022.</w:t>
      </w:r>
    </w:p>
    <w:p>
      <w:pPr>
        <w:spacing w:after="0" w:line="14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Effective as of May 14, 2022, the underwriters from the Initial Public Offering resigned and withdrew from their role in the Business Combination and thereby waived their entitlement to the deferred underwriting commissions in the amount of approximately $10.89 million.</w:t>
      </w:r>
    </w:p>
    <w:p>
      <w:pPr>
        <w:spacing w:after="0" w:line="14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 May 16, 2022, the Company entered into a non-interest bearing $1,000,000 promissory note with the Sponsor. The promissory note is payable by the Company on the earlier of (i) September 25, 2023 and (ii) the date the Company consummates a merger, capital stock exchange, asset acquisition, stock purchase, reorganization or similar business combination.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References to the “Company,” “our,” “us” or “we” refer to ArcLight Clean Transition Corp. II.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(the “Business Combination”), that we have not yet identified. Our sponsor is ArcLight CTC Holdings II, L.P., a Delaware limited partnership (our “Sponsor”).</w:t>
      </w:r>
    </w:p>
    <w:p>
      <w:pPr>
        <w:spacing w:after="0" w:line="14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registration statement for our initial public offering (the “Initial Public Offering”) was declared effective on March 22, 2021. On March 25, 2021, we consummated our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and incurring offering costs of approximately $17.6 million, of which approximately $10.9 million was for deferred underwriting commissions.</w:t>
      </w:r>
    </w:p>
    <w:p>
      <w:pPr>
        <w:spacing w:after="0" w:line="18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9,223,261 warrants (each, a “Private Placement Warrant” and collectively, the “Private Placement Warrants”), at a price of $1.00 per Private Placement Warrant with the Sponsor, generating gross proceeds of approximately $9.2 million.</w:t>
      </w:r>
    </w:p>
    <w:p>
      <w:pPr>
        <w:spacing w:after="0" w:line="18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6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or March 25, 2023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Business Combination</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December 2, 2021, the Company, Opal HoldCo LLC, a Delaware limited liability company (“Opal HoldCo”), and Opal Fuels LLC, a Delaware limited liability company (“Opal Fuels”), entered into a Business Combination Agreement (as it may be amended, supplemented or otherwise modified from time to time, the “Business Combination Agreement”).</w:t>
      </w:r>
    </w:p>
    <w:p>
      <w:pPr>
        <w:spacing w:after="0" w:line="184"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The Business Combination Agreement and the transactions contemplated thereby (collectively, the “Business Combination”) were unanimously approved by the boards of directors of Company and Opal Fuels, and also approved by Opal Holdco, the sole member of Opal Fuels. The Business Combination Agreement provides for, among other things, the following transactions: (i) each outstanding Class B ordinary share, par value $0.0001 per share, of the Company will convert into one Class A ordinary share, par value $0.0001 per share, of the Company; (ii) the Company will change the jurisdiction of its incorporation by deregistering as an exempted company in the Cayman Islands and domesticating to, and continuing as a corporation incorporated under the laws of, the State of Delaware (the “Domestication”) and, in connection with the Domestication, (A) the Company’s name will be changed to “Opal Fuels Inc.” (“New Opal”), (B) each outstanding Class A ordinary share of the Company will become one share of Class A common stock, par value $0.0001 per share, of New Opal (the “New Opal Class A Common Stock”), (C) each outstanding warrant to purchase one Class A ordinary share of the Company will become a warrant to purchase one share of New Opal Class A common stock and (D) New Opal will file its certificate of incorporation and adopt bylaws to serve as its governing documents in connection with the Domestication; and (iii) (A) Opal Fuels will cause its existing limited liability company agreement to be amended and restated, (B) Opal Fuels will cause all of its limited liability company interests existing immediately prior to the closing of the Business Combination (the “Closing”) to be re-classified into a number of common units (collectively, the “Opal Units”) based on a pre-transaction equity value for Opal equal to $1,501,870,000, less all principal and accrued interest outstanding immediately after the Closing pursuant to that certain convertible promissory note, dated as of May 1, 2021 (as amended, including that certain First Amendment to Convertible Note, dated November 29, 2021, the “Ares Note”), held by ARCC Beacon LLC, a Delaware limited liability company (“Ares”), (C) the Company will contribute the (x) the amount of cash in the Trust Account established by the Company with the proceeds from its initial public offering as of immediately prior to the Closing (and before, for the avoidance of doubt, giving effect to the exercise of redemption rights by any of the Company’s shareholders (the “Public Share Redemptions”)), minus (y) the aggregate amount of cash required to fund the ACT Share Redemptions and any other obligations to be funded from the Trust Account, plus (z) the aggregate cash proceeds actually received in respect of the PIPE Investment (as defined below) and (E) New Opal will issue to Opal Fuels, and Opal Fuels will in turn distribute to Opal HoldCo and Hillman RNG Investments, LLC (“Hillman”) a number of shares of Class D common stock, par value $0.0001 per share, of New Opal (the “New Opal Class D Common Stock”), and distribute to Ares (together with Opal HoldCo and Hillman, collectively, the “Opal Equityholders”) shares of Class B common stock, par value $0.0001 per share, of New Opal (the “New Opal Class B Common Stock”) (neither of which will have any economic value but will entitle the holder thereof to five votes per share or one vote per share, respectively), equal to the number of Opal Units held by each of the Opal Equityholders.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if New Opal’s annual EBITDA for the calendar year 2023 exceeds $238,000,000 (the “First Earnout Triggering Event”), New Opal will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issue to Opal HoldCo, Ares and Hillman (collectively, the “Earnout Participants”) an aggregate of 5,000,000 shares of New Opal Class B Common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and New Opal Class D Common Stock and corresponding Opal Units (collectively, the “First Earnout Tranche”) in accordance with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allocations set forth in the Business Combination Agreement. Additionally, if New Opal’s annual EBITDA for the calendar year 2024 exceeds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$446,000,000 (the “Second Earnout Triggering Event”), New Opal will issue to the Earnout Participants an aggregate of 5,000,000 additional shares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New Opal Class B Common Stock and New Opal Class D Common Stock and corresponding Opal Units (collectively, the “Second Earnout Tranche”)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accordance with the allocations set forth in the Business Combination Agreement. In the event that the First Earnout Triggering Event does not occur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but the Second Earnout Triggering Event does occur, New Opal will be obligated to issue both the First Earnout Tranche and the Second Earnout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Tranche upon the occurrence of the Second Earnout Triggering Event.</w:t>
      </w:r>
    </w:p>
    <w:p>
      <w:pPr>
        <w:spacing w:after="0" w:line="211"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The Business Combination is expected to close late in the first half of 2022, following the receipt of the required approval by the Company’s shareholders and the fulfillment of other customary closing conditions.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Financing (Private Placement)</w:t>
      </w:r>
    </w:p>
    <w:p>
      <w:pPr>
        <w:spacing w:after="0" w:line="117"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Concurrently with the execution of the Business Combination Agreement, the Company entered into the Subscription Agreements with the PIPE Investors, including, among others, an affiliate of the Company, as well as additional third-party investors. Pursuant to the Subscription Agreements, each investor agreed to subscribe for and purchase, and the Company agreed to issue and sell to such investors, immediately prior to the Closing, an aggregate of 12,500,000 shares of the Company’s common stock for a purchase price of $10.00 per share, for aggregate gross proceeds of</w:t>
      </w:r>
    </w:p>
    <w:p>
      <w:pPr>
        <w:spacing w:after="0" w:line="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$125,000,000 (the “PIPE Investment”). Effective as of May 11, 2022, PIPE Investors representing $110,806,000 of the original PIPE Investment entered into the Amended Subscription Agreements, whereby the termination rights described in the Subscription Agreements were amended to extend the term of each Amended Subscription Agreement by 60 days to July 29, 2022.</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closing of the PIPE Investment is contingent upon, among other things, the substantially concurrent consummation of the Business Combination.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Subscription Agreements provide that the Company will grant the investors in the PIPE Investment certain customary registration rights.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Business Combination Agreement contemplates that, at the Closing, each of Opal Fuels, Ares, Hillman, the independent directors of the Company and the Sponsor (collectively, the “New Opal Holders”) will enter into an Investor Rights Agreement (the “Investor Rights Agreement”), pursuant to which, among other things, (i) the Company and the Sponsor will agree to terminate the Registration and Shareholder Rights Agreement, dated as of March 25, 2021, entered into by them in connection with the Company’s initial public offering, (ii) New Opal will provide the New Opal Holders certain registration rights with respect to certain shares of New Opal Class A common stock held by them or otherwise issuable to them pursuant to the Business Combination Agreement, Second A&amp;R LLC Agreement or the certificate of incorporation of New Opal and (iii) the New Opal Holders will agree not to transfer, sell, assign or otherwise dispose of their shares of New Opal Class A common stock for up to 180 days following the Closing, subject to certain exceptions.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Our entire activity since inception through March 31, 2022 relates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and non-operating income in the form of interest and investment income on investments held in Trust Account from the proceeds derived from the Initial Public Offering. We expect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warrant liabilities at each reporting period.</w:t>
      </w:r>
    </w:p>
    <w:p>
      <w:pPr>
        <w:spacing w:after="0" w:line="19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For the three months ended March 31, 2022, we had a net income of approximately $3.9 million from changes in the value of derivative warrant liabilities of approximately $5.3 million and a gain on investments held in Trust Account of approximately $25,000 partially offset by approximately $1.4 million in general and administrative costs.</w:t>
      </w:r>
    </w:p>
    <w:p>
      <w:pPr>
        <w:spacing w:after="0" w:line="184"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For the period from January 13, 2021 (inception) through March 31, 2021, we had a net loss of approximately $320,000 from changes in the value of derivative warrant liabilities of approximately $271,000, offset by financing costs attributable to the warrant liabilities of approximately $463,000 and approximately $128,000 in general and administrative costs.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2022, we had approximately $559,000 in our operating bank account and working capital of approximately $1.1 million.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liquidity needs up to March 31, 2022 had been satisfied through a payment of $25,000 from the Sponsor to cover certain expenses on behalf of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in exchange for the issuance of the Founder Shares (as defined below), a loan under a promissory note from our Sponsor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$172,000 (the “Note”), and the net proceeds from the consummation of the Private Placement not held in the Trust Account. The Note was repaid in full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March 26, 2021. In addition, in order to finance transaction costs in connection with a Business Combination, our officers, directors and Initial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may, but are not obligated to, provide the Company with Working Capital Loans. On May 16, 2022, we entered into a non-interest bearing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promissory note with the Sponsor for $1,000,000 (see Note 11).</w:t>
      </w:r>
    </w:p>
    <w:p>
      <w:pPr>
        <w:spacing w:after="0" w:line="21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the Sponsor or an affiliate of the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We continue to evaluate the impact of the COVID-19 pandemic and has concluded that the specific impact is not readily determinable as of the date of the condensed balance sheet. The financial statement does not include any adjustments that might result from the outcome of this uncertainty.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80"/>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an administrative services agreement to pay our Sponsor $10,000 per month for office space, secretarial and administrative services provided to us.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right="2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are entitled to registration rights pursuant to a registration and shareholder rights agreement. At any time on or after the date the Company consummates a Business Combination, the holders of these securities will be entitled to make up to three demands, excluding short form demands, that we will register such securities. In addition, the holders have certain “piggy-back” registration rights with respect to registration statements filed subsequent to the completion of the initial Business Combination. We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granted the underwriters a 45-day option from the date of the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expired at the conclusion of the 45-day option period.</w:t>
      </w:r>
    </w:p>
    <w:p>
      <w:pPr>
        <w:spacing w:after="0" w:line="16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the Business Combination, subject to the terms of the underwriting agreement.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On March 25, 2021, we entered into an agreement that provided that, commencing on the date that our securities were first listed on Nasdaq through the earlier of consummation of the initial Business Combination and the liquidation, we agreed to pay the sponsor $10,000 per month for office space, secretarial and administrative services provided to us. We incurred $30,000 and $10,000 in expenses in connection with such services for the three months ended March 31, 2022 and for the period from January 13, 2021 (inception) through March 31, 2021, respectively, which are reflected in the accompanying statements of operations.</w:t>
      </w:r>
    </w:p>
    <w:p>
      <w:pPr>
        <w:spacing w:after="0" w:line="188"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In addition, the sponsor, officers and directors, or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the sponsor, executive officers or directors, or their affiliates. Any such payments prior to an initial Business Combination will be made using funds held outside the Trust Account.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Legal Fees</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entered into an engagement letter to obtain legal advisory services, pursuant to which our legal counsel agreed to defer the payment of their fees until the closing of the initial Business Combination. As of March 31, 2022 and December 31, 2021, the Company recorded an aggregate of approximately $4.9 million and $4.0 million, respectively, in connection with such arrangement as deferred legal fees in the accompanying condensed balance sheets.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780"/>
        <w:spacing w:after="0" w:line="286"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of America requires management to make estimates and judgments that affect the reported amounts of assets, liabilities, revenues and expenses. A summary of our significant accounting policies is included in Note 2 to our condensed financial statements in Part I, Item 1 of this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Quarterly Report. Certain of our accounting policies are considered critical, as these policies are the most important to the depiction of our unaudited condensed financial statements and require significant, difficult or complex judgments, often employing the use of estimates about the effects of matters that are inherently uncertain. Such policies are summarized in the Management’s Discussion and Analysis of Financial Condition and Results of Operations section in our 2021 Annual Report on Form 10-K filed with the SEC on March 9, 2022. There have been no significant changes in the application of our critical accounting policies during the three months ended March 31, 2022.</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See Note 2 to the unaudited condensed financial statements included in Part I, Item 1 of this Quarterly Report for a discussion of recent accounting pronouncements.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2022,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unaudited condensed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4" w:lineRule="exact"/>
        <w:rPr>
          <w:sz w:val="20"/>
          <w:szCs w:val="20"/>
          <w:color w:val="auto"/>
        </w:rPr>
      </w:pPr>
    </w:p>
    <w:p>
      <w:pPr>
        <w:ind w:left="120" w:right="20" w:hanging="4"/>
        <w:spacing w:after="0" w:line="255" w:lineRule="auto"/>
        <w:tabs>
          <w:tab w:leader="none" w:pos="425"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March 31, 2022, as such, the term is defined in Rules 13a-15(e) and 15d-15(e) under the Exchange Act. Based on this evaluation, our principal executive officer and principal financial officer have concluded that during the period covered by this Report, our disclosure controls and procedures were not effective as of March 31, 2022,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Company’s management has concluded that our control around the interpretation and accounting for certain complex features of the Class A ordinary shares and warrants issued by the Company was not effectively designed or maintained. This material weakness resulted in the restatement of the Company’s balance sheet as of March 25, 2021 and its interim financial statements for the quarters ended March 31, 2021 and June 30, 2021. Additionally, this material weakness could result in a misstatement of the warrant liability, Class A ordinary shares and related accounts and disclosures that would result in a material misstatement of the financial statements that would not be prevented or detected on a timely basis.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March 31, 2022 covered by this Quarterly Report on Form 10-Q that has materially affected, or is reasonably likely to materially affect, our internal control over financial reporting except for the below:</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principal executive officer and principal financial officer performed additional accounting and financial analyses and other post-closing procedures including consulting with subject matter experts related to the accounting for complex features of the Class A ordinary shares and warrants. The Company’s management has expended, and will continue to expend, a substantial amount of effort and resources for the remediation and improvement of our internal control over financial reporting. While we have processes to properly identify and evaluate the appropriate accounting technical pronouncements and other literature for all significant or unusual transactions, we have expanded and will continue to improve these processes to ensure that the nuances of such transactions are effectively evaluated in the context of the increasingly complex accounting standards.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On February 14, 2022 and March 7, 2022, respectively, the Company received demand letters from two purported shareholders of the Company claiming certain alleged material omissions in the registration statement on Form S-4, initially filed with the SEC on February 8, 2022, surrounding its planned transaction with OPAL Fuels. Additional demand letters or complaints may follow in the future. The Company specifically denies all allegations in the demand letters that any additional disclosure is required and believes these purported shareholders’ claims are without merit.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most recent form 10-K as filed with the SEC on March 9, 2022.</w:t>
      </w:r>
    </w:p>
    <w:p>
      <w:pPr>
        <w:spacing w:after="0" w:line="274" w:lineRule="exact"/>
        <w:rPr>
          <w:sz w:val="20"/>
          <w:szCs w:val="20"/>
          <w:color w:val="auto"/>
        </w:rPr>
      </w:pPr>
    </w:p>
    <w:p>
      <w:pPr>
        <w:ind w:left="120" w:right="376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from Registered Securities </w:t>
      </w:r>
      <w:r>
        <w:rPr>
          <w:rFonts w:ascii="Arial" w:cs="Arial" w:eastAsia="Arial" w:hAnsi="Arial"/>
          <w:sz w:val="18"/>
          <w:szCs w:val="18"/>
          <w:i w:val="1"/>
          <w:iCs w:val="1"/>
          <w:color w:val="auto"/>
        </w:rPr>
        <w:t>Unregistered Sales</w:t>
      </w:r>
    </w:p>
    <w:p>
      <w:pPr>
        <w:ind w:left="120" w:right="20"/>
        <w:spacing w:after="0" w:line="271" w:lineRule="auto"/>
        <w:rPr>
          <w:sz w:val="20"/>
          <w:szCs w:val="20"/>
          <w:color w:val="auto"/>
        </w:rPr>
      </w:pPr>
      <w:r>
        <w:rPr>
          <w:rFonts w:ascii="Arial" w:cs="Arial" w:eastAsia="Arial" w:hAnsi="Arial"/>
          <w:sz w:val="17"/>
          <w:szCs w:val="17"/>
          <w:color w:val="auto"/>
        </w:rPr>
        <w:t>On January 20, 2021, our Sponsor paid an aggregate of $25,000 for certain expenses on our behalf in exchange for issuance of 7,187,500 Class B ordinary shares (the “Founder Shares”). On February 2, 2021, our Sponsor transferred 35,000 Founder Shares to each of Arno Harris, Ja-Chin Audrey Lee, Brian Goncher and Steven Berkenfeld, our independent director nominees. On March 22, 2021, we effected a share capitalization resulting in an aggregate of 7,906,250 Founder Shares issued and outstanding. Up to 1,031,250 Founder Shares were subject to forfeiture by the Sponsor, to the extent that the option to purchase additional units was not exercised in full by the underwriters, so that the Founder Shares would represent 20% of the Company’s issued and outstanding shares after the Initial Public Offering. The underwriters partially exercised their over-allotment option on March 22, 2021, with the remaining portion of the over-allotment option expiring at the conclusion of the 45-day option period. As a result, an aggregate of 127,174 Founder Shares were forfeited by the Sponsor upon the expiration of the over-allotment option.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Initial Public Offering and the underwriters of their over-allotment option, we incurred offering costs of approximately</w:t>
      </w:r>
    </w:p>
    <w:p>
      <w:pPr>
        <w:spacing w:after="0" w:line="35" w:lineRule="exact"/>
        <w:rPr>
          <w:sz w:val="20"/>
          <w:szCs w:val="20"/>
          <w:color w:val="auto"/>
        </w:rPr>
      </w:pPr>
    </w:p>
    <w:p>
      <w:pPr>
        <w:jc w:val="both"/>
        <w:ind w:left="120" w:right="320"/>
        <w:spacing w:after="0" w:line="252" w:lineRule="auto"/>
        <w:rPr>
          <w:sz w:val="20"/>
          <w:szCs w:val="20"/>
          <w:color w:val="auto"/>
        </w:rPr>
      </w:pPr>
      <w:r>
        <w:rPr>
          <w:rFonts w:ascii="Arial" w:cs="Arial" w:eastAsia="Arial" w:hAnsi="Arial"/>
          <w:sz w:val="18"/>
          <w:szCs w:val="18"/>
          <w:color w:val="auto"/>
        </w:rPr>
        <w:t>$15.9 million (including deferred underwriting commissions of approximately $9.8 million).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$277.5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ectPr>
          <w:pgSz w:w="11900" w:h="16838" w:orient="portrait"/>
          <w:cols w:equalWidth="0" w:num="1">
            <w:col w:w="11100"/>
          </w:cols>
          <w:pgMar w:left="320" w:top="486" w:right="479" w:bottom="1440" w:gutter="0" w:footer="0" w:header="0"/>
        </w:sect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86" w:right="47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620"/>
          </w:cols>
          <w:pgMar w:left="320" w:top="486" w:right="9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20" w:type="dxa"/>
            <w:vAlign w:val="bottom"/>
            <w:gridSpan w:val="6"/>
            <w:vMerge w:val="restart"/>
          </w:tcPr>
          <w:p>
            <w:pPr>
              <w:ind w:left="3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2"/>
                <w:szCs w:val="22"/>
                <w:color w:val="auto"/>
              </w:rPr>
            </w:pPr>
          </w:p>
        </w:tc>
        <w:tc>
          <w:tcPr>
            <w:tcW w:w="9920" w:type="dxa"/>
            <w:vAlign w:val="bottom"/>
            <w:tcBorders>
              <w:top w:val="single" w:sz="8" w:color="auto"/>
            </w:tcBorders>
            <w:gridSpan w:val="8"/>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of Chief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Adopted Pursuant to Section 302 of the Sarbanes-Oxley Act of 2002.</w:t>
              </w:r>
            </w:hyperlink>
          </w:p>
        </w:tc>
        <w:tc>
          <w:tcPr>
            <w:tcW w:w="4360" w:type="dxa"/>
            <w:vAlign w:val="bottom"/>
            <w:tcBorders>
              <w:top w:val="single" w:sz="8" w:color="0000EE"/>
            </w:tcBorders>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93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Chief Financial Officer Pursuant to Rules 13a-14(a) and 15d-14(a) under the Securities Exchange Act of 1934, as</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20" w:type="dxa"/>
            <w:vAlign w:val="bottom"/>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2002.</w:t>
              </w:r>
            </w:hyperlink>
          </w:p>
        </w:tc>
        <w:tc>
          <w:tcPr>
            <w:tcW w:w="500" w:type="dxa"/>
            <w:vAlign w:val="bottom"/>
            <w:tcBorders>
              <w:top w:val="single" w:sz="8" w:color="0000EE"/>
            </w:tcBorders>
          </w:tcPr>
          <w:p>
            <w:pPr>
              <w:spacing w:after="0"/>
              <w:rPr>
                <w:sz w:val="17"/>
                <w:szCs w:val="17"/>
                <w:color w:val="auto"/>
              </w:rPr>
            </w:pPr>
          </w:p>
        </w:tc>
        <w:tc>
          <w:tcPr>
            <w:tcW w:w="4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Act of 2002.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0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2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40" w:right="3380" w:hanging="5424"/>
        <w:spacing w:after="0" w:line="449" w:lineRule="auto"/>
        <w:tabs>
          <w:tab w:leader="none" w:pos="122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26</w:t>
      </w:r>
    </w:p>
    <w:p>
      <w:pPr>
        <w:sectPr>
          <w:pgSz w:w="11900" w:h="16838" w:orient="portrait"/>
          <w:cols w:equalWidth="0" w:num="1">
            <w:col w:w="11140"/>
          </w:cols>
          <w:pgMar w:left="320" w:top="486"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16th day of May, 2022.</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380"/>
          </w:cols>
          <w:pgMar w:left="320" w:top="486" w:right="1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440" w:right="20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F. Erhard, certify that:</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the Quarterly Report on Form 10-Q for the three months ended March 31, 2022 of ArcLight Clean Transition Corp. II;</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John F. Erhard</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4"/>
          </w:cols>
          <w:pgMar w:left="436"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440" w:right="20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Marco F. Gatti, certify that:</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the Quarterly Report on Form 10-Q for the three months ended March 31, 2022 of ArcLight Clean Transition Corp. II;</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Marco F. Gatti</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In connection with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March 31, 2022,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John F. Erhard, President, Chief Executive Officer and Director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16, 2022</w:t>
      </w:r>
    </w:p>
    <w:p>
      <w:pPr>
        <w:spacing w:after="0" w:line="23"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5715</wp:posOffset>
            </wp:positionV>
            <wp:extent cx="3077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024"/>
          </w:cols>
          <w:pgMar w:left="436" w:top="121" w:right="4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40"/>
        <w:spacing w:after="0" w:line="311" w:lineRule="auto"/>
        <w:rPr>
          <w:sz w:val="20"/>
          <w:szCs w:val="20"/>
          <w:color w:val="auto"/>
        </w:rPr>
      </w:pPr>
      <w:r>
        <w:rPr>
          <w:rFonts w:ascii="Arial" w:cs="Arial" w:eastAsia="Arial" w:hAnsi="Arial"/>
          <w:sz w:val="16"/>
          <w:szCs w:val="16"/>
          <w:color w:val="auto"/>
        </w:rPr>
        <w:t>In connection with the Quarterly Report of ArcLight Clean Transition Corp. II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three months ended March 31, 2022,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Marco F. Gatti, Chief Financial Officer of the Company, certify, pursuant to 18 U.S.C. Section 1350, as adopted pursuant to Section 906 of the Sarbanes-Oxley Act of 2002, that, to my knowledge:</w:t>
      </w:r>
    </w:p>
    <w:p>
      <w:pPr>
        <w:spacing w:after="0" w:line="54"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16, 2022</w:t>
      </w:r>
    </w:p>
    <w:p>
      <w:pPr>
        <w:spacing w:after="0" w:line="23"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5715</wp:posOffset>
            </wp:positionV>
            <wp:extent cx="3077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Name: Marco F. Gatti</w:t>
      </w:r>
    </w:p>
    <w:p>
      <w:pPr>
        <w:spacing w:after="0" w:line="23"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664"/>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Roman"/>
      <w:start w:val="4"/>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2022-05-16T16:34:56Z</dcterms:created>
  <dcterms:modified xsi:type="dcterms:W3CDTF">2022-05-16T16:34:56Z</dcterms:modified>
</cp:coreProperties>
</file>