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64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Revers Daniel 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CLARENDON ST,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OPAL Fuels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OPAL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500" w:type="dxa"/>
            <w:vAlign w:val="bottom"/>
            <w:gridSpan w:val="3"/>
          </w:tcPr>
          <w:p>
            <w:pPr>
              <w:ind w:left="80"/>
              <w:spacing w:after="0"/>
              <w:rPr>
                <w:sz w:val="20"/>
                <w:szCs w:val="20"/>
                <w:color w:val="auto"/>
              </w:rPr>
            </w:pPr>
            <w:r>
              <w:rPr>
                <w:rFonts w:ascii="Arial" w:cs="Arial" w:eastAsia="Arial" w:hAnsi="Arial"/>
                <w:sz w:val="17"/>
                <w:szCs w:val="17"/>
                <w:color w:val="0000FF"/>
              </w:rPr>
              <w:t>10/17/2023</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10/17/2023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35,213</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right"/>
              <w:ind w:right="62"/>
              <w:spacing w:after="0"/>
              <w:rPr>
                <w:sz w:val="20"/>
                <w:szCs w:val="20"/>
                <w:color w:val="auto"/>
              </w:rPr>
            </w:pPr>
            <w:r>
              <w:rPr>
                <w:rFonts w:ascii="Arial" w:cs="Arial" w:eastAsia="Arial" w:hAnsi="Arial"/>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1,281,175</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10/17/2023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35,213</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560" w:type="dxa"/>
            <w:vAlign w:val="bottom"/>
            <w:vMerge w:val="restart"/>
          </w:tcPr>
          <w:p>
            <w:pPr>
              <w:jc w:val="right"/>
              <w:ind w:right="62"/>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2,273,097</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top w:val="single" w:sz="8" w:color="2C2C2C"/>
            </w:tcBorders>
            <w:gridSpan w:val="2"/>
            <w:vMerge w:val="restart"/>
          </w:tcPr>
          <w:p>
            <w:pPr>
              <w:ind w:left="560"/>
              <w:spacing w:after="0"/>
              <w:rPr>
                <w:sz w:val="20"/>
                <w:szCs w:val="20"/>
                <w:color w:val="auto"/>
              </w:rPr>
            </w:pPr>
            <w:r>
              <w:rPr>
                <w:rFonts w:ascii="Arial" w:cs="Arial" w:eastAsia="Arial" w:hAnsi="Arial"/>
                <w:sz w:val="17"/>
                <w:szCs w:val="17"/>
                <w:color w:val="0000FF"/>
              </w:rPr>
              <w:t>10/17/2023</w:t>
            </w:r>
          </w:p>
        </w:tc>
        <w:tc>
          <w:tcPr>
            <w:tcW w:w="4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11,466</w:t>
            </w:r>
          </w:p>
        </w:tc>
        <w:tc>
          <w:tcPr>
            <w:tcW w:w="4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0000FF"/>
              </w:rPr>
              <w:t>D</w:t>
            </w:r>
          </w:p>
        </w:tc>
        <w:tc>
          <w:tcPr>
            <w:tcW w:w="560" w:type="dxa"/>
            <w:vAlign w:val="bottom"/>
            <w:tcBorders>
              <w:top w:val="single" w:sz="8" w:color="2C2C2C"/>
            </w:tcBorders>
            <w:vMerge w:val="restart"/>
          </w:tcPr>
          <w:p>
            <w:pPr>
              <w:jc w:val="right"/>
              <w:ind w:right="62"/>
              <w:spacing w:after="0"/>
              <w:rPr>
                <w:sz w:val="20"/>
                <w:szCs w:val="20"/>
                <w:color w:val="auto"/>
              </w:rPr>
            </w:pPr>
            <w:r>
              <w:rPr>
                <w:rFonts w:ascii="Arial" w:cs="Arial" w:eastAsia="Arial" w:hAnsi="Arial"/>
                <w:sz w:val="11"/>
                <w:szCs w:val="11"/>
                <w:color w:val="008000"/>
              </w:rPr>
              <w:t>(1)</w:t>
            </w:r>
          </w:p>
        </w:tc>
        <w:tc>
          <w:tcPr>
            <w:tcW w:w="8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386,341</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price is a volume weighted average price ("VWAP"). The reported securities were sold in open market transactions at prices ranging from $7.50 to $8.00, inclusive. The reporting person undertakes to provide to the SEC, the Issuer or any stockholder of the Issuer, upon request, the relevant amount of shares sold to the market at each price within the ranges set forth in this footnote.</w:t>
      </w: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2,273,097 shares of Class A common stock are held directly by ArcLight CTC Holdings II, L.P., a Delaware limited partnership (the "Sponsor"). Mr.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25" w:lineRule="exact"/>
        <w:rPr>
          <w:rFonts w:ascii="Arial" w:cs="Arial" w:eastAsia="Arial" w:hAnsi="Arial"/>
          <w:sz w:val="13"/>
          <w:szCs w:val="13"/>
          <w:color w:val="008000"/>
        </w:rPr>
      </w:pPr>
    </w:p>
    <w:p>
      <w:pPr>
        <w:ind w:left="40" w:right="160" w:firstLine="7"/>
        <w:spacing w:after="0" w:line="27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9,008 of the reported securities were sold by ACHP B, L.P. a Delaware limited partnership ("ACHP B") and 2,458 of the reported securities were sold by ACTC Holdings GP II, LLC, ("ACTC GP"), the general partner of the Sponsor. After giving effect to such transactions, the reported securities consist of (i) 322,227 shares of Class A common stock held directly by ACHP B and (ii) 67,114 shares of Class A common stock held directly by ACTC GP. Mr. Revers has voting and investment discretion with respect to the securities held directly by ACHP B and ACTC GP, and thus may be deemed to have beneficial ownership of such securities. Mr. Revers expressly disclaims beneficial ownership of such securities except to the extent of his pecuniary interest therein.</w:t>
      </w:r>
    </w:p>
    <w:p>
      <w:pPr>
        <w:spacing w:after="0" w:line="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By: /s/ Daniel R. Revers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10/19/2023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5456"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2023-10-19T16:04:10Z</dcterms:created>
  <dcterms:modified xsi:type="dcterms:W3CDTF">2023-10-19T16:04:10Z</dcterms:modified>
</cp:coreProperties>
</file>