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4526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Erhard John Frederick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ARCLIGHT CTC HOLDINGS II, L.P.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CLARENDON ST, 55TH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Officer (CEO)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9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 In connection with the Issuer's initial business combination, the reporting person ceased to be an insider required to make Section 16 filings.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F. Erhard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003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2022-07-25T18:23:35Z</dcterms:created>
  <dcterms:modified xsi:type="dcterms:W3CDTF">2022-07-25T18:23:35Z</dcterms:modified>
</cp:coreProperties>
</file>