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___)*</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Arclight Clean Transition Corp. II</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Class A Ordinary Shares, par value $0.0001</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G0R21B104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July 5, 2022</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5"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29"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33"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29"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184" w:lineRule="exact"/>
        <w:rPr>
          <w:sz w:val="24"/>
          <w:szCs w:val="24"/>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45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G0R21B104</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Beryl Capital Management LLC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3733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3,080,906</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9"/>
                <w:szCs w:val="19"/>
                <w:color w:val="auto"/>
              </w:rPr>
            </w:pPr>
          </w:p>
        </w:tc>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5"/>
        </w:trPr>
        <w:tc>
          <w:tcPr>
            <w:tcW w:w="17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w:t>
            </w:r>
          </w:p>
        </w:tc>
        <w:tc>
          <w:tcPr>
            <w:tcW w:w="2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9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xml:space="preserve">Shared Dispositive Power </w:t>
            </w:r>
            <w:r>
              <w:rPr>
                <w:rFonts w:ascii="Times New Roman" w:cs="Times New Roman" w:eastAsia="Times New Roman" w:hAnsi="Times New Roman"/>
                <w:sz w:val="20"/>
                <w:szCs w:val="20"/>
                <w:b w:val="1"/>
                <w:bCs w:val="1"/>
                <w:color w:val="auto"/>
                <w:w w:val="98"/>
              </w:rPr>
              <w:t>3,080,906</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Aggregate Amount Beneficially Owned by Each Reporting Person </w:t>
      </w:r>
      <w:r>
        <w:rPr>
          <w:rFonts w:ascii="Times New Roman" w:cs="Times New Roman" w:eastAsia="Times New Roman" w:hAnsi="Times New Roman"/>
          <w:sz w:val="19"/>
          <w:szCs w:val="19"/>
          <w:b w:val="1"/>
          <w:bCs w:val="1"/>
          <w:color w:val="auto"/>
        </w:rPr>
        <w:t>3,080,906</w:t>
      </w:r>
    </w:p>
    <w:p>
      <w:pPr>
        <w:spacing w:after="0" w:line="244" w:lineRule="exact"/>
        <w:rPr>
          <w:rFonts w:ascii="Times New Roman" w:cs="Times New Roman" w:eastAsia="Times New Roman" w:hAnsi="Times New Roman"/>
          <w:sz w:val="19"/>
          <w:szCs w:val="19"/>
          <w:color w:val="auto"/>
        </w:rPr>
      </w:pPr>
    </w:p>
    <w:p>
      <w:pPr>
        <w:ind w:left="1300" w:right="2999" w:hanging="644"/>
        <w:spacing w:after="0" w:line="269" w:lineRule="auto"/>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9.9%</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OO</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39"/>
          </w:cols>
          <w:pgMar w:left="320" w:top="22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G0R21B104</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Beryl Capital Management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373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3,080,906</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9"/>
                <w:szCs w:val="19"/>
                <w:color w:val="auto"/>
              </w:rPr>
            </w:pPr>
          </w:p>
        </w:tc>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5"/>
        </w:trPr>
        <w:tc>
          <w:tcPr>
            <w:tcW w:w="17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w:t>
            </w:r>
          </w:p>
        </w:tc>
        <w:tc>
          <w:tcPr>
            <w:tcW w:w="2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9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xml:space="preserve">Shared Dispositive Power </w:t>
            </w:r>
            <w:r>
              <w:rPr>
                <w:rFonts w:ascii="Times New Roman" w:cs="Times New Roman" w:eastAsia="Times New Roman" w:hAnsi="Times New Roman"/>
                <w:sz w:val="20"/>
                <w:szCs w:val="20"/>
                <w:b w:val="1"/>
                <w:bCs w:val="1"/>
                <w:color w:val="auto"/>
                <w:w w:val="98"/>
              </w:rPr>
              <w:t>3,080,906</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Aggregate Amount Beneficially Owned by Each Reporting Person </w:t>
      </w:r>
      <w:r>
        <w:rPr>
          <w:rFonts w:ascii="Times New Roman" w:cs="Times New Roman" w:eastAsia="Times New Roman" w:hAnsi="Times New Roman"/>
          <w:sz w:val="19"/>
          <w:szCs w:val="19"/>
          <w:b w:val="1"/>
          <w:bCs w:val="1"/>
          <w:color w:val="auto"/>
        </w:rPr>
        <w:t>3,080,906</w:t>
      </w:r>
    </w:p>
    <w:p>
      <w:pPr>
        <w:spacing w:after="0" w:line="244" w:lineRule="exact"/>
        <w:rPr>
          <w:rFonts w:ascii="Times New Roman" w:cs="Times New Roman" w:eastAsia="Times New Roman" w:hAnsi="Times New Roman"/>
          <w:sz w:val="19"/>
          <w:szCs w:val="19"/>
          <w:color w:val="auto"/>
        </w:rPr>
      </w:pPr>
    </w:p>
    <w:p>
      <w:pPr>
        <w:ind w:left="1300" w:right="2999" w:hanging="644"/>
        <w:spacing w:after="0" w:line="269" w:lineRule="auto"/>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9.9%</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PN</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229"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G0R21B104</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Beryl Capital Partners II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spacing w:after="0"/>
        <w:tabs>
          <w:tab w:leader="none" w:pos="0" w:val="left"/>
        </w:tabs>
        <w:numPr>
          <w:ilvl w:val="1"/>
          <w:numId w:val="6"/>
        </w:numPr>
        <w:rPr>
          <w:rFonts w:ascii="Times New Roman" w:cs="Times New Roman" w:eastAsia="Times New Roman" w:hAnsi="Times New Roman"/>
          <w:sz w:val="20"/>
          <w:szCs w:val="20"/>
          <w:color w:val="auto"/>
        </w:rPr>
      </w:pP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282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2,634,261</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9"/>
                <w:szCs w:val="19"/>
                <w:color w:val="auto"/>
              </w:rPr>
            </w:pPr>
          </w:p>
        </w:tc>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5"/>
        </w:trPr>
        <w:tc>
          <w:tcPr>
            <w:tcW w:w="17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w:t>
            </w:r>
          </w:p>
        </w:tc>
        <w:tc>
          <w:tcPr>
            <w:tcW w:w="2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9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xml:space="preserve">Shared Dispositive Power </w:t>
            </w:r>
            <w:r>
              <w:rPr>
                <w:rFonts w:ascii="Times New Roman" w:cs="Times New Roman" w:eastAsia="Times New Roman" w:hAnsi="Times New Roman"/>
                <w:sz w:val="20"/>
                <w:szCs w:val="20"/>
                <w:b w:val="1"/>
                <w:bCs w:val="1"/>
                <w:color w:val="auto"/>
                <w:w w:val="98"/>
              </w:rPr>
              <w:t>2,634,261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Aggregate Amount Beneficially Owned by Each Reporting Person </w:t>
      </w:r>
      <w:r>
        <w:rPr>
          <w:rFonts w:ascii="Times New Roman" w:cs="Times New Roman" w:eastAsia="Times New Roman" w:hAnsi="Times New Roman"/>
          <w:sz w:val="19"/>
          <w:szCs w:val="19"/>
          <w:b w:val="1"/>
          <w:bCs w:val="1"/>
          <w:color w:val="auto"/>
        </w:rPr>
        <w:t>2,634,261</w:t>
      </w:r>
    </w:p>
    <w:p>
      <w:pPr>
        <w:spacing w:after="0" w:line="244" w:lineRule="exact"/>
        <w:rPr>
          <w:rFonts w:ascii="Times New Roman" w:cs="Times New Roman" w:eastAsia="Times New Roman" w:hAnsi="Times New Roman"/>
          <w:sz w:val="19"/>
          <w:szCs w:val="19"/>
          <w:color w:val="auto"/>
        </w:rPr>
      </w:pPr>
    </w:p>
    <w:p>
      <w:pPr>
        <w:ind w:left="1300" w:right="2999" w:hanging="644"/>
        <w:spacing w:after="0" w:line="269" w:lineRule="auto"/>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8.5%</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22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G0R21B104</w:t>
      </w:r>
    </w:p>
    <w:p>
      <w:pPr>
        <w:spacing w:after="0" w:line="234"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David A. Witkin</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5"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-882650</wp:posOffset>
            </wp:positionV>
            <wp:extent cx="3733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Number of</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Shares</w:t>
            </w:r>
          </w:p>
        </w:tc>
        <w:tc>
          <w:tcPr>
            <w:tcW w:w="620" w:type="dxa"/>
            <w:vAlign w:val="bottom"/>
          </w:tcPr>
          <w:p>
            <w:pPr>
              <w:spacing w:after="0"/>
              <w:rPr>
                <w:sz w:val="19"/>
                <w:szCs w:val="19"/>
                <w:color w:val="auto"/>
              </w:rPr>
            </w:pPr>
          </w:p>
        </w:tc>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3,080,906</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Beneficially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Owned by</w:t>
            </w:r>
          </w:p>
        </w:tc>
        <w:tc>
          <w:tcPr>
            <w:tcW w:w="620" w:type="dxa"/>
            <w:vAlign w:val="bottom"/>
          </w:tcPr>
          <w:p>
            <w:pPr>
              <w:spacing w:after="0"/>
              <w:rPr>
                <w:sz w:val="19"/>
                <w:szCs w:val="19"/>
                <w:color w:val="auto"/>
              </w:rPr>
            </w:pPr>
          </w:p>
        </w:tc>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6"/>
        </w:trPr>
        <w:tc>
          <w:tcPr>
            <w:tcW w:w="17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Each Reporting</w:t>
            </w:r>
          </w:p>
        </w:tc>
        <w:tc>
          <w:tcPr>
            <w:tcW w:w="6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w:t>
            </w:r>
          </w:p>
        </w:tc>
        <w:tc>
          <w:tcPr>
            <w:tcW w:w="2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92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 xml:space="preserve">Shared Dispositive Power </w:t>
            </w:r>
            <w:r>
              <w:rPr>
                <w:rFonts w:ascii="Times New Roman" w:cs="Times New Roman" w:eastAsia="Times New Roman" w:hAnsi="Times New Roman"/>
                <w:sz w:val="20"/>
                <w:szCs w:val="20"/>
                <w:b w:val="1"/>
                <w:bCs w:val="1"/>
                <w:color w:val="auto"/>
                <w:w w:val="98"/>
              </w:rPr>
              <w:t>3,080,906</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Aggregate Amount Beneficially Owned by Each Reporting Person </w:t>
      </w:r>
      <w:r>
        <w:rPr>
          <w:rFonts w:ascii="Times New Roman" w:cs="Times New Roman" w:eastAsia="Times New Roman" w:hAnsi="Times New Roman"/>
          <w:sz w:val="19"/>
          <w:szCs w:val="19"/>
          <w:b w:val="1"/>
          <w:bCs w:val="1"/>
          <w:color w:val="auto"/>
        </w:rPr>
        <w:t>3,080,906</w:t>
      </w:r>
    </w:p>
    <w:p>
      <w:pPr>
        <w:spacing w:after="0" w:line="244" w:lineRule="exact"/>
        <w:rPr>
          <w:rFonts w:ascii="Times New Roman" w:cs="Times New Roman" w:eastAsia="Times New Roman" w:hAnsi="Times New Roman"/>
          <w:sz w:val="19"/>
          <w:szCs w:val="19"/>
          <w:color w:val="auto"/>
        </w:rPr>
      </w:pPr>
    </w:p>
    <w:p>
      <w:pPr>
        <w:ind w:left="1300" w:right="2999"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9.9%</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 HC</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39"/>
          </w:cols>
          <w:pgMar w:left="320" w:top="229"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G0R21B104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w:t>
      </w:r>
    </w:p>
    <w:p>
      <w:pPr>
        <w:spacing w:after="0" w:line="207"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Arclight Clean Transition Corp. II</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200 Clarendon Street, 55th Floor, Boston, MA 02116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33"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spacing w:after="0" w:line="26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Beryl Capital Management LLC (“Beryl”), Beryl Capital Management LP (“Beryl GP”), Beryl Capital Partners II LP (the “Partnership”) and David A. Witkin (collectively, the “Filers”). Each Filer disclaims beneficial ownership of the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the Stock covered by this Schedule 13G.</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225 Avenue I, Suite 205, Redondo Beach, CA 90277</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w:t>
      </w:r>
      <w:r>
        <w:rPr>
          <w:rFonts w:ascii="Times New Roman" w:cs="Times New Roman" w:eastAsia="Times New Roman" w:hAnsi="Times New Roman"/>
          <w:sz w:val="20"/>
          <w:szCs w:val="20"/>
          <w:b w:val="1"/>
          <w:bCs w:val="1"/>
          <w:color w:val="auto"/>
        </w:rPr>
        <w:t>Class A Ordinary Shares, par value $0.0001</w:t>
      </w:r>
      <w:r>
        <w:rPr>
          <w:rFonts w:ascii="Times New Roman" w:cs="Times New Roman" w:eastAsia="Times New Roman" w:hAnsi="Times New Roman"/>
          <w:sz w:val="20"/>
          <w:szCs w:val="20"/>
          <w:color w:val="auto"/>
        </w:rPr>
        <w:t xml:space="preserve"> (the "Stock").</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G0R21B104</w:t>
      </w: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229"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G0R21B104</w:t>
      </w:r>
    </w:p>
    <w:p>
      <w:pPr>
        <w:sectPr>
          <w:pgSz w:w="11900" w:h="16838" w:orient="portrait"/>
          <w:cols w:equalWidth="0" w:num="1">
            <w:col w:w="11220"/>
          </w:cols>
          <w:pgMar w:left="320" w:top="229" w:right="359" w:bottom="257"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00" w:lineRule="exact"/>
        <w:rPr>
          <w:sz w:val="20"/>
          <w:szCs w:val="20"/>
          <w:color w:val="auto"/>
        </w:rPr>
      </w:pPr>
    </w:p>
    <w:p>
      <w:pPr>
        <w:sectPr>
          <w:pgSz w:w="11900" w:h="16838" w:orient="portrait"/>
          <w:cols w:equalWidth="0" w:num="2">
            <w:col w:w="600" w:space="700"/>
            <w:col w:w="9920"/>
          </w:cols>
          <w:pgMar w:left="320" w:top="229" w:right="359" w:bottom="257" w:gutter="0" w:footer="0" w:header="0"/>
          <w:type w:val="continuous"/>
        </w:sectPr>
      </w:pP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Broker or dealer registered under section 15 of the Act (15 U.S.C. 78o).</w:t>
      </w:r>
    </w:p>
    <w:p>
      <w:pPr>
        <w:spacing w:after="0" w:line="200" w:lineRule="exact"/>
        <w:rPr>
          <w:sz w:val="20"/>
          <w:szCs w:val="20"/>
          <w:color w:val="auto"/>
        </w:rPr>
      </w:pPr>
    </w:p>
    <w:p>
      <w:pPr>
        <w:sectPr>
          <w:pgSz w:w="11900" w:h="16838" w:orient="portrait"/>
          <w:cols w:equalWidth="0" w:num="2">
            <w:col w:w="1240" w:space="720"/>
            <w:col w:w="9260"/>
          </w:cols>
          <w:pgMar w:left="320" w:top="229" w:right="359" w:bottom="257"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Bank as defined in section 3(a)(6) of the Act (15 U.S.C. 78c).</w:t>
      </w:r>
    </w:p>
    <w:p>
      <w:pPr>
        <w:spacing w:after="0" w:line="200" w:lineRule="exact"/>
        <w:rPr>
          <w:sz w:val="20"/>
          <w:szCs w:val="20"/>
          <w:color w:val="auto"/>
        </w:rPr>
      </w:pPr>
    </w:p>
    <w:p>
      <w:pPr>
        <w:sectPr>
          <w:pgSz w:w="11900" w:h="16838" w:orient="portrait"/>
          <w:cols w:equalWidth="0" w:num="2">
            <w:col w:w="1240" w:space="720"/>
            <w:col w:w="9260"/>
          </w:cols>
          <w:pgMar w:left="320" w:top="229" w:right="359" w:bottom="257"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Insurance company as defined in section 3(a)(19) of the Act (15 U.S.C. 78c).</w:t>
      </w:r>
    </w:p>
    <w:p>
      <w:pPr>
        <w:spacing w:after="0" w:line="200" w:lineRule="exact"/>
        <w:rPr>
          <w:sz w:val="20"/>
          <w:szCs w:val="20"/>
          <w:color w:val="auto"/>
        </w:rPr>
      </w:pPr>
    </w:p>
    <w:p>
      <w:pPr>
        <w:sectPr>
          <w:pgSz w:w="11900" w:h="16838" w:orient="portrait"/>
          <w:cols w:equalWidth="0" w:num="2">
            <w:col w:w="1240" w:space="720"/>
            <w:col w:w="9260"/>
          </w:cols>
          <w:pgMar w:left="320" w:top="229" w:right="359" w:bottom="257"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Investment company registered under section 8 of the Investment Company Act of 1940 (15 U.S.C. 80a-8).</w:t>
      </w:r>
    </w:p>
    <w:p>
      <w:pPr>
        <w:spacing w:after="0" w:line="200" w:lineRule="exact"/>
        <w:rPr>
          <w:sz w:val="20"/>
          <w:szCs w:val="20"/>
          <w:color w:val="auto"/>
        </w:rPr>
      </w:pPr>
    </w:p>
    <w:p>
      <w:pPr>
        <w:sectPr>
          <w:pgSz w:w="11900" w:h="16838" w:orient="portrait"/>
          <w:cols w:equalWidth="0" w:num="2">
            <w:col w:w="1240" w:space="720"/>
            <w:col w:w="9260"/>
          </w:cols>
          <w:pgMar w:left="320" w:top="229" w:right="359" w:bottom="257" w:gutter="0" w:footer="0" w:header="0"/>
          <w:type w:val="continuous"/>
        </w:sectPr>
      </w:pPr>
    </w:p>
    <w:p>
      <w:pPr>
        <w:spacing w:after="0" w:line="3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9"/>
          <w:szCs w:val="19"/>
          <w:color w:val="auto"/>
        </w:rPr>
        <w:t>(e)</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X</w:t>
      </w:r>
      <w:r>
        <w:rPr>
          <w:rFonts w:ascii="Times New Roman" w:cs="Times New Roman" w:eastAsia="Times New Roman" w:hAnsi="Times New Roman"/>
          <w:sz w:val="19"/>
          <w:szCs w:val="19"/>
          <w:color w:val="auto"/>
        </w:rPr>
        <w:t>] An investment adviser in accordance with section 240.13d-1(b)(1)(ii)(E), as to Beryl and Beryl GP.</w:t>
      </w:r>
    </w:p>
    <w:p>
      <w:pPr>
        <w:sectPr>
          <w:pgSz w:w="11900" w:h="16838" w:orient="portrait"/>
          <w:cols w:equalWidth="0" w:num="1">
            <w:col w:w="11220"/>
          </w:cols>
          <w:pgMar w:left="320" w:top="229" w:right="359" w:bottom="257" w:gutter="0" w:footer="0" w:header="0"/>
          <w:type w:val="continuous"/>
        </w:sect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An employee benefit plan or endowment fund in accordance with section 240.13d-1(b)(1)(ii)(F).</w:t>
      </w:r>
    </w:p>
    <w:p>
      <w:pPr>
        <w:spacing w:after="0" w:line="211" w:lineRule="exact"/>
        <w:rPr>
          <w:sz w:val="20"/>
          <w:szCs w:val="20"/>
          <w:color w:val="auto"/>
        </w:rPr>
      </w:pPr>
    </w:p>
    <w:p>
      <w:pPr>
        <w:sectPr>
          <w:pgSz w:w="11900" w:h="16838" w:orient="portrait"/>
          <w:cols w:equalWidth="0" w:num="2">
            <w:col w:w="1240" w:space="720"/>
            <w:col w:w="9260"/>
          </w:cols>
          <w:pgMar w:left="320" w:top="229" w:right="359" w:bottom="257" w:gutter="0" w:footer="0" w:header="0"/>
          <w:type w:val="continuous"/>
        </w:sectPr>
      </w:pPr>
    </w:p>
    <w:p>
      <w:pPr>
        <w:spacing w:after="0" w:line="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9"/>
          <w:szCs w:val="19"/>
          <w:color w:val="auto"/>
        </w:rPr>
        <w:t>(g)</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X</w:t>
      </w:r>
      <w:r>
        <w:rPr>
          <w:rFonts w:ascii="Times New Roman" w:cs="Times New Roman" w:eastAsia="Times New Roman" w:hAnsi="Times New Roman"/>
          <w:sz w:val="19"/>
          <w:szCs w:val="19"/>
          <w:color w:val="auto"/>
        </w:rPr>
        <w:t>] A parent holding company or control person in accordance with 240.13d-1(b)(1)(ii)(G), as to Mr. Witkin.</w:t>
      </w:r>
    </w:p>
    <w:p>
      <w:pPr>
        <w:sectPr>
          <w:pgSz w:w="11900" w:h="16838" w:orient="portrait"/>
          <w:cols w:equalWidth="0" w:num="1">
            <w:col w:w="11220"/>
          </w:cols>
          <w:pgMar w:left="320" w:top="229" w:right="359" w:bottom="257" w:gutter="0" w:footer="0" w:header="0"/>
          <w:type w:val="continuous"/>
        </w:sect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A savings association as defined in section 3(b) of the Federal Deposit Insurance Act (12 U.S.C. 1813).</w:t>
      </w:r>
    </w:p>
    <w:p>
      <w:pPr>
        <w:spacing w:after="0" w:line="200" w:lineRule="exact"/>
        <w:rPr>
          <w:sz w:val="20"/>
          <w:szCs w:val="20"/>
          <w:color w:val="auto"/>
        </w:rPr>
      </w:pPr>
    </w:p>
    <w:p>
      <w:pPr>
        <w:sectPr>
          <w:pgSz w:w="11900" w:h="16838" w:orient="portrait"/>
          <w:cols w:equalWidth="0" w:num="2">
            <w:col w:w="1240" w:space="720"/>
            <w:col w:w="9260"/>
          </w:cols>
          <w:pgMar w:left="320" w:top="229" w:right="359" w:bottom="257"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73" w:lineRule="exact"/>
        <w:rPr>
          <w:sz w:val="20"/>
          <w:szCs w:val="20"/>
          <w:color w:val="auto"/>
        </w:rPr>
      </w:pPr>
    </w:p>
    <w:p>
      <w:pPr>
        <w:sectPr>
          <w:pgSz w:w="11900" w:h="16838" w:orient="portrait"/>
          <w:cols w:equalWidth="0" w:num="2">
            <w:col w:w="1240" w:space="720"/>
            <w:col w:w="9260"/>
          </w:cols>
          <w:pgMar w:left="320" w:top="229" w:right="359" w:bottom="257" w:gutter="0" w:footer="0" w:header="0"/>
          <w:type w:val="continuous"/>
        </w:sectPr>
      </w:pPr>
    </w:p>
    <w:p>
      <w:pPr>
        <w:ind w:left="660"/>
        <w:spacing w:after="0"/>
        <w:rPr>
          <w:sz w:val="20"/>
          <w:szCs w:val="20"/>
          <w:color w:val="auto"/>
        </w:rPr>
      </w:pPr>
      <w:r>
        <w:rPr>
          <w:rFonts w:ascii="Times New Roman" w:cs="Times New Roman" w:eastAsia="Times New Roman" w:hAnsi="Times New Roman"/>
          <w:sz w:val="19"/>
          <w:szCs w:val="19"/>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 ] A non-U.S. institution in accordance with §240.13d-1(b)(ii)(J).</w:t>
      </w:r>
    </w:p>
    <w:p>
      <w:pPr>
        <w:spacing w:after="0" w:line="200" w:lineRule="exact"/>
        <w:rPr>
          <w:sz w:val="20"/>
          <w:szCs w:val="20"/>
          <w:color w:val="auto"/>
        </w:rPr>
      </w:pPr>
    </w:p>
    <w:p>
      <w:pPr>
        <w:sectPr>
          <w:pgSz w:w="11900" w:h="16838" w:orient="portrait"/>
          <w:cols w:equalWidth="0" w:num="2">
            <w:col w:w="1240" w:space="720"/>
            <w:col w:w="9260"/>
          </w:cols>
          <w:pgMar w:left="320" w:top="229" w:right="359" w:bottom="257"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Group, in accordance with Rule 13d-1(b)(1)(ii)(K).</w:t>
      </w:r>
    </w:p>
    <w:p>
      <w:pPr>
        <w:spacing w:after="0" w:line="200" w:lineRule="exact"/>
        <w:rPr>
          <w:sz w:val="20"/>
          <w:szCs w:val="20"/>
          <w:color w:val="auto"/>
        </w:rPr>
      </w:pPr>
    </w:p>
    <w:p>
      <w:pPr>
        <w:sectPr>
          <w:pgSz w:w="11900" w:h="16838" w:orient="portrait"/>
          <w:cols w:equalWidth="0" w:num="2">
            <w:col w:w="1240" w:space="720"/>
            <w:col w:w="9260"/>
          </w:cols>
          <w:pgMar w:left="320" w:top="229" w:right="359" w:bottom="257" w:gutter="0" w:footer="0" w:header="0"/>
          <w:type w:val="continuous"/>
        </w:sectPr>
      </w:pPr>
    </w:p>
    <w:p>
      <w:pPr>
        <w:spacing w:after="0" w:line="41" w:lineRule="exact"/>
        <w:rPr>
          <w:sz w:val="20"/>
          <w:szCs w:val="20"/>
          <w:color w:val="auto"/>
        </w:rPr>
      </w:pPr>
    </w:p>
    <w:p>
      <w:pPr>
        <w:ind w:left="660" w:right="162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§240.13d-1(b)(1)(ii)(J), please specify the type of institution _______________________________________________________________.</w:t>
      </w:r>
    </w:p>
    <w:p>
      <w:pPr>
        <w:sectPr>
          <w:pgSz w:w="11900" w:h="16838" w:orient="portrait"/>
          <w:cols w:equalWidth="0" w:num="1">
            <w:col w:w="11220"/>
          </w:cols>
          <w:pgMar w:left="320" w:top="229" w:right="359" w:bottom="257" w:gutter="0" w:footer="0" w:header="0"/>
          <w:type w:val="continuous"/>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838" w:orient="portrait"/>
          <w:cols w:equalWidth="0" w:num="2">
            <w:col w:w="600" w:space="700"/>
            <w:col w:w="9920"/>
          </w:cols>
          <w:pgMar w:left="320" w:top="229" w:right="359" w:bottom="257"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percentages reported in this Schedule 13G are based on 31,116,305 Class A Ordinary Shares outstanding as of May 16, 2022, as reported in the Issuer’s Form 10-Q filed on May 16, 2022.</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Beryl is the investment adviser to the Partnership and other private investment funds (collectively, the “Funds”) and other accounts. Beryl is the general partner of Beryl GP, which is also the general partner of one or more of the Funds. Mr. Witkin is the control person of Beryl and Beryl GP. The Funds hold the Stock for the benefit of their investors, and the Funds and Beryl’s other clients have the right to receive or the power to direct the receipt of dividends from, or the proceeds from the sale of, the Stock. Other than the Partnership, no individual client's holdings of the Stock are more than five percent of the outstanding Stock.</w:t>
      </w:r>
    </w:p>
    <w:p>
      <w:pPr>
        <w:spacing w:after="0" w:line="194" w:lineRule="exact"/>
        <w:rPr>
          <w:sz w:val="20"/>
          <w:szCs w:val="20"/>
          <w:color w:val="auto"/>
        </w:rPr>
      </w:pPr>
    </w:p>
    <w:p>
      <w:pPr>
        <w:ind w:left="1300" w:right="36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Beryl is the investment adviser to the Funds and other accounts. Beryl is the general partner of Beryl GP, which is the general partner of one or more of the Funds. Mr. Witkin is the control person of Beryl.</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Material to Be Filed as 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Joint Filing Agreement.</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Certification of Beryl, Beryl GP and Mr. Witkin.</w:t>
      </w:r>
    </w:p>
    <w:p>
      <w:pPr>
        <w:sectPr>
          <w:pgSz w:w="11900" w:h="16838" w:orient="portrait"/>
          <w:cols w:equalWidth="0" w:num="1">
            <w:col w:w="11220"/>
          </w:cols>
          <w:pgMar w:left="320" w:top="229" w:right="359" w:bottom="257" w:gutter="0" w:footer="0" w:header="0"/>
          <w:type w:val="continuous"/>
        </w:sectPr>
      </w:pPr>
    </w:p>
    <w:bookmarkStart w:id="7" w:name="page8"/>
    <w:bookmarkEnd w:id="7"/>
    <w:p>
      <w:pPr>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Certification of the Partnership.</w:t>
      </w:r>
    </w:p>
    <w:p>
      <w:pPr>
        <w:spacing w:after="0" w:line="2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320" w:top="118" w:right="10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G0R21B104</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Dated: July 15, 2022</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5400" w:type="dxa"/>
            <w:vAlign w:val="bottom"/>
            <w:gridSpan w:val="4"/>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MANAGEMENT LLC</w:t>
            </w:r>
          </w:p>
        </w:tc>
        <w:tc>
          <w:tcPr>
            <w:tcW w:w="26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BERYL CAPITAL MANAGEMENT LP</w:t>
            </w:r>
          </w:p>
        </w:tc>
        <w:tc>
          <w:tcPr>
            <w:tcW w:w="0" w:type="dxa"/>
            <w:vAlign w:val="bottom"/>
          </w:tcPr>
          <w:p>
            <w:pPr>
              <w:spacing w:after="0"/>
              <w:rPr>
                <w:sz w:val="1"/>
                <w:szCs w:val="1"/>
                <w:color w:val="auto"/>
              </w:rPr>
            </w:pPr>
          </w:p>
        </w:tc>
      </w:tr>
      <w:tr>
        <w:trPr>
          <w:trHeight w:val="430"/>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By:   Beryl Capital Management LLC</w:t>
            </w:r>
          </w:p>
        </w:tc>
        <w:tc>
          <w:tcPr>
            <w:tcW w:w="0" w:type="dxa"/>
            <w:vAlign w:val="bottom"/>
          </w:tcPr>
          <w:p>
            <w:pPr>
              <w:spacing w:after="0"/>
              <w:rPr>
                <w:sz w:val="1"/>
                <w:szCs w:val="1"/>
                <w:color w:val="auto"/>
              </w:rPr>
            </w:pPr>
          </w:p>
        </w:tc>
      </w:tr>
      <w:tr>
        <w:trPr>
          <w:trHeight w:val="258"/>
        </w:trPr>
        <w:tc>
          <w:tcPr>
            <w:tcW w:w="54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Andrew Nelson</w:t>
            </w:r>
          </w:p>
        </w:tc>
        <w:tc>
          <w:tcPr>
            <w:tcW w:w="260" w:type="dxa"/>
            <w:vAlign w:val="bottom"/>
          </w:tcPr>
          <w:p>
            <w:pPr>
              <w:spacing w:after="0"/>
              <w:rPr>
                <w:sz w:val="22"/>
                <w:szCs w:val="22"/>
                <w:color w:val="auto"/>
              </w:rPr>
            </w:pPr>
          </w:p>
        </w:tc>
        <w:tc>
          <w:tcPr>
            <w:tcW w:w="55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General Partner</w:t>
            </w:r>
          </w:p>
        </w:tc>
        <w:tc>
          <w:tcPr>
            <w:tcW w:w="0" w:type="dxa"/>
            <w:vAlign w:val="bottom"/>
          </w:tcPr>
          <w:p>
            <w:pPr>
              <w:spacing w:after="0"/>
              <w:rPr>
                <w:sz w:val="1"/>
                <w:szCs w:val="1"/>
                <w:color w:val="auto"/>
              </w:rPr>
            </w:pPr>
          </w:p>
        </w:tc>
      </w:tr>
      <w:tr>
        <w:trPr>
          <w:trHeight w:val="223"/>
        </w:trPr>
        <w:tc>
          <w:tcPr>
            <w:tcW w:w="5400" w:type="dxa"/>
            <w:vAlign w:val="bottom"/>
            <w:gridSpan w:val="4"/>
            <w:vMerge w:val="continue"/>
          </w:tcPr>
          <w:p>
            <w:pPr>
              <w:spacing w:after="0"/>
              <w:rPr>
                <w:sz w:val="19"/>
                <w:szCs w:val="19"/>
                <w:color w:val="auto"/>
              </w:rPr>
            </w:pPr>
          </w:p>
        </w:tc>
        <w:tc>
          <w:tcPr>
            <w:tcW w:w="260" w:type="dxa"/>
            <w:vAlign w:val="bottom"/>
          </w:tcPr>
          <w:p>
            <w:pPr>
              <w:spacing w:after="0"/>
              <w:rPr>
                <w:sz w:val="19"/>
                <w:szCs w:val="19"/>
                <w:color w:val="auto"/>
              </w:rPr>
            </w:pPr>
          </w:p>
        </w:tc>
        <w:tc>
          <w:tcPr>
            <w:tcW w:w="5580" w:type="dxa"/>
            <w:vAlign w:val="bottom"/>
            <w:gridSpan w:val="3"/>
            <w:vMerge w:val="restart"/>
          </w:tcPr>
          <w:p>
            <w:pPr>
              <w:ind w:left="640"/>
              <w:spacing w:after="0"/>
              <w:rPr>
                <w:sz w:val="20"/>
                <w:szCs w:val="20"/>
                <w:color w:val="auto"/>
              </w:rPr>
            </w:pPr>
            <w:r>
              <w:rPr>
                <w:rFonts w:ascii="Times New Roman" w:cs="Times New Roman" w:eastAsia="Times New Roman" w:hAnsi="Times New Roman"/>
                <w:sz w:val="20"/>
                <w:szCs w:val="20"/>
                <w:color w:val="auto"/>
                <w:w w:val="98"/>
              </w:rPr>
              <w:t>By:</w:t>
            </w:r>
            <w:r>
              <w:rPr>
                <w:rFonts w:ascii="Times New Roman" w:cs="Times New Roman" w:eastAsia="Times New Roman" w:hAnsi="Times New Roman"/>
                <w:sz w:val="20"/>
                <w:szCs w:val="20"/>
                <w:i w:val="1"/>
                <w:iCs w:val="1"/>
                <w:color w:val="auto"/>
                <w:w w:val="98"/>
              </w:rPr>
              <w:t>/s/ Andrew Nelson</w:t>
            </w: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4820" w:type="dxa"/>
            <w:vAlign w:val="bottom"/>
            <w:tcBorders>
              <w:top w:val="single" w:sz="8" w:color="auto"/>
            </w:tcBorders>
            <w:gridSpan w:val="3"/>
          </w:tcPr>
          <w:p>
            <w:pPr>
              <w:ind w:left="100"/>
              <w:spacing w:after="0" w:line="200" w:lineRule="exact"/>
              <w:rPr>
                <w:sz w:val="20"/>
                <w:szCs w:val="20"/>
                <w:color w:val="auto"/>
              </w:rPr>
            </w:pPr>
            <w:r>
              <w:rPr>
                <w:rFonts w:ascii="Times New Roman" w:cs="Times New Roman" w:eastAsia="Times New Roman" w:hAnsi="Times New Roman"/>
                <w:sz w:val="20"/>
                <w:szCs w:val="20"/>
                <w:color w:val="auto"/>
              </w:rPr>
              <w:t>Andrew Nelson</w:t>
            </w:r>
          </w:p>
        </w:tc>
        <w:tc>
          <w:tcPr>
            <w:tcW w:w="260" w:type="dxa"/>
            <w:vAlign w:val="bottom"/>
          </w:tcPr>
          <w:p>
            <w:pPr>
              <w:spacing w:after="0"/>
              <w:rPr>
                <w:sz w:val="17"/>
                <w:szCs w:val="17"/>
                <w:color w:val="auto"/>
              </w:rPr>
            </w:pPr>
          </w:p>
        </w:tc>
        <w:tc>
          <w:tcPr>
            <w:tcW w:w="5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80" w:type="dxa"/>
            <w:vAlign w:val="bottom"/>
            <w:vMerge w:val="restart"/>
          </w:tcPr>
          <w:p>
            <w:pPr>
              <w:spacing w:after="0" w:line="20" w:lineRule="exact"/>
              <w:rPr>
                <w:sz w:val="1"/>
                <w:szCs w:val="1"/>
                <w:color w:val="auto"/>
              </w:rPr>
            </w:pPr>
          </w:p>
        </w:tc>
        <w:tc>
          <w:tcPr>
            <w:tcW w:w="4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Chief Operating Officer and CFO</w:t>
            </w: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80" w:type="dxa"/>
            <w:vAlign w:val="bottom"/>
            <w:vMerge w:val="continue"/>
          </w:tcPr>
          <w:p>
            <w:pPr>
              <w:spacing w:after="0"/>
              <w:rPr>
                <w:sz w:val="17"/>
                <w:szCs w:val="17"/>
                <w:color w:val="auto"/>
              </w:rPr>
            </w:pPr>
          </w:p>
        </w:tc>
        <w:tc>
          <w:tcPr>
            <w:tcW w:w="482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Andrew Nelson</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4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PARTNERS II LP</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Chief Operating Officer and CFO</w:t>
            </w:r>
          </w:p>
        </w:tc>
        <w:tc>
          <w:tcPr>
            <w:tcW w:w="0" w:type="dxa"/>
            <w:vAlign w:val="bottom"/>
          </w:tcPr>
          <w:p>
            <w:pPr>
              <w:spacing w:after="0"/>
              <w:rPr>
                <w:sz w:val="1"/>
                <w:szCs w:val="1"/>
                <w:color w:val="auto"/>
              </w:rPr>
            </w:pPr>
          </w:p>
        </w:tc>
      </w:tr>
      <w:tr>
        <w:trPr>
          <w:trHeight w:val="229"/>
        </w:trPr>
        <w:tc>
          <w:tcPr>
            <w:tcW w:w="5400" w:type="dxa"/>
            <w:vAlign w:val="bottom"/>
            <w:gridSpan w:val="4"/>
            <w:vMerge w:val="continue"/>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54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Beryl Capital Management LP</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80" w:type="dxa"/>
            <w:vAlign w:val="bottom"/>
            <w:gridSpan w:val="2"/>
          </w:tcPr>
          <w:p>
            <w:pPr>
              <w:jc w:val="center"/>
              <w:ind w:right="1200"/>
              <w:spacing w:after="0"/>
              <w:rPr>
                <w:sz w:val="20"/>
                <w:szCs w:val="20"/>
                <w:color w:val="auto"/>
              </w:rPr>
            </w:pPr>
            <w:r>
              <w:rPr>
                <w:rFonts w:ascii="Times New Roman" w:cs="Times New Roman" w:eastAsia="Times New Roman" w:hAnsi="Times New Roman"/>
                <w:sz w:val="20"/>
                <w:szCs w:val="20"/>
                <w:i w:val="1"/>
                <w:iCs w:val="1"/>
                <w:color w:val="auto"/>
                <w:w w:val="98"/>
              </w:rPr>
              <w:t>/s/ David A. Witkin</w:t>
            </w:r>
          </w:p>
        </w:tc>
        <w:tc>
          <w:tcPr>
            <w:tcW w:w="0" w:type="dxa"/>
            <w:vAlign w:val="bottom"/>
          </w:tcPr>
          <w:p>
            <w:pPr>
              <w:spacing w:after="0"/>
              <w:rPr>
                <w:sz w:val="1"/>
                <w:szCs w:val="1"/>
                <w:color w:val="auto"/>
              </w:rPr>
            </w:pPr>
          </w:p>
        </w:tc>
      </w:tr>
      <w:tr>
        <w:trPr>
          <w:trHeight w:val="23"/>
        </w:trPr>
        <w:tc>
          <w:tcPr>
            <w:tcW w:w="540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rPr>
              <w:t>General Partner</w:t>
            </w: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400" w:type="dxa"/>
            <w:vAlign w:val="bottom"/>
            <w:gridSpan w:val="4"/>
            <w:vMerge w:val="continue"/>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380" w:type="dxa"/>
            <w:vAlign w:val="bottom"/>
            <w:gridSpan w:val="2"/>
          </w:tcPr>
          <w:p>
            <w:pPr>
              <w:jc w:val="center"/>
              <w:ind w:right="1200"/>
              <w:spacing w:after="0"/>
              <w:rPr>
                <w:sz w:val="20"/>
                <w:szCs w:val="20"/>
                <w:color w:val="auto"/>
              </w:rPr>
            </w:pPr>
            <w:r>
              <w:rPr>
                <w:rFonts w:ascii="Times New Roman" w:cs="Times New Roman" w:eastAsia="Times New Roman" w:hAnsi="Times New Roman"/>
                <w:sz w:val="20"/>
                <w:szCs w:val="20"/>
                <w:b w:val="1"/>
                <w:bCs w:val="1"/>
                <w:color w:val="auto"/>
                <w:w w:val="98"/>
              </w:rPr>
              <w:t>David A. Witkin</w:t>
            </w:r>
          </w:p>
        </w:tc>
        <w:tc>
          <w:tcPr>
            <w:tcW w:w="0" w:type="dxa"/>
            <w:vAlign w:val="bottom"/>
          </w:tcPr>
          <w:p>
            <w:pPr>
              <w:spacing w:after="0"/>
              <w:rPr>
                <w:sz w:val="1"/>
                <w:szCs w:val="1"/>
                <w:color w:val="auto"/>
              </w:rPr>
            </w:pPr>
          </w:p>
        </w:tc>
      </w:tr>
      <w:tr>
        <w:trPr>
          <w:trHeight w:val="403"/>
        </w:trPr>
        <w:tc>
          <w:tcPr>
            <w:tcW w:w="54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By: Beryl Capital Management LLC</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4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General Partner</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48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Andrew Nelson</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4820" w:type="dxa"/>
            <w:vAlign w:val="bottom"/>
            <w:gridSpan w:val="3"/>
          </w:tcPr>
          <w:p>
            <w:pPr>
              <w:ind w:left="80"/>
              <w:spacing w:after="0" w:line="228" w:lineRule="exact"/>
              <w:rPr>
                <w:sz w:val="20"/>
                <w:szCs w:val="20"/>
                <w:color w:val="auto"/>
              </w:rPr>
            </w:pPr>
            <w:r>
              <w:rPr>
                <w:rFonts w:ascii="Times New Roman" w:cs="Times New Roman" w:eastAsia="Times New Roman" w:hAnsi="Times New Roman"/>
                <w:sz w:val="20"/>
                <w:szCs w:val="20"/>
                <w:color w:val="auto"/>
              </w:rPr>
              <w:t>Andrew Nelson</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80" w:type="dxa"/>
            <w:vAlign w:val="bottom"/>
          </w:tcPr>
          <w:p>
            <w:pPr>
              <w:spacing w:after="0"/>
              <w:rPr>
                <w:sz w:val="22"/>
                <w:szCs w:val="22"/>
                <w:color w:val="auto"/>
              </w:rPr>
            </w:pPr>
          </w:p>
        </w:tc>
        <w:tc>
          <w:tcPr>
            <w:tcW w:w="48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Chief Operating Officer</w:t>
            </w:r>
          </w:p>
        </w:tc>
        <w:tc>
          <w:tcPr>
            <w:tcW w:w="1460" w:type="dxa"/>
            <w:vAlign w:val="bottom"/>
            <w:gridSpan w:val="2"/>
            <w:vMerge w:val="restart"/>
          </w:tcPr>
          <w:p>
            <w:pPr>
              <w:jc w:val="right"/>
              <w:ind w:right="1098"/>
              <w:spacing w:after="0"/>
              <w:rPr>
                <w:sz w:val="20"/>
                <w:szCs w:val="20"/>
                <w:color w:val="auto"/>
              </w:rPr>
            </w:pPr>
            <w:r>
              <w:rPr>
                <w:rFonts w:ascii="Times New Roman" w:cs="Times New Roman" w:eastAsia="Times New Roman" w:hAnsi="Times New Roman"/>
                <w:sz w:val="18"/>
                <w:szCs w:val="18"/>
                <w:color w:val="auto"/>
              </w:rPr>
              <w:t>8</w:t>
            </w:r>
          </w:p>
        </w:tc>
        <w:tc>
          <w:tcPr>
            <w:tcW w:w="4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G0R21B104</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and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Beryl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6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Dated: July 15, 2022</w:t>
            </w:r>
          </w:p>
        </w:tc>
        <w:tc>
          <w:tcPr>
            <w:tcW w:w="12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5660" w:type="dxa"/>
            <w:vAlign w:val="bottom"/>
            <w:gridSpan w:val="5"/>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MANAGEMENT LLC</w:t>
            </w: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BERYL CAPITAL MANAGEMENT LP</w:t>
            </w:r>
          </w:p>
        </w:tc>
        <w:tc>
          <w:tcPr>
            <w:tcW w:w="0" w:type="dxa"/>
            <w:vAlign w:val="bottom"/>
          </w:tcPr>
          <w:p>
            <w:pPr>
              <w:spacing w:after="0"/>
              <w:rPr>
                <w:sz w:val="1"/>
                <w:szCs w:val="1"/>
                <w:color w:val="auto"/>
              </w:rPr>
            </w:pPr>
          </w:p>
        </w:tc>
      </w:tr>
      <w:tr>
        <w:trPr>
          <w:trHeight w:val="430"/>
        </w:trPr>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By:   Beryl Capital Management LLC</w:t>
            </w:r>
          </w:p>
        </w:tc>
        <w:tc>
          <w:tcPr>
            <w:tcW w:w="0" w:type="dxa"/>
            <w:vAlign w:val="bottom"/>
          </w:tcPr>
          <w:p>
            <w:pPr>
              <w:spacing w:after="0"/>
              <w:rPr>
                <w:sz w:val="1"/>
                <w:szCs w:val="1"/>
                <w:color w:val="auto"/>
              </w:rPr>
            </w:pPr>
          </w:p>
        </w:tc>
      </w:tr>
      <w:tr>
        <w:trPr>
          <w:trHeight w:val="258"/>
        </w:trPr>
        <w:tc>
          <w:tcPr>
            <w:tcW w:w="5660" w:type="dxa"/>
            <w:vAlign w:val="bottom"/>
            <w:gridSpan w:val="5"/>
            <w:vMerge w:val="restart"/>
          </w:tcPr>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Andrew Nelson</w:t>
            </w:r>
          </w:p>
        </w:tc>
        <w:tc>
          <w:tcPr>
            <w:tcW w:w="55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General Partner</w:t>
            </w:r>
          </w:p>
        </w:tc>
        <w:tc>
          <w:tcPr>
            <w:tcW w:w="0" w:type="dxa"/>
            <w:vAlign w:val="bottom"/>
          </w:tcPr>
          <w:p>
            <w:pPr>
              <w:spacing w:after="0"/>
              <w:rPr>
                <w:sz w:val="1"/>
                <w:szCs w:val="1"/>
                <w:color w:val="auto"/>
              </w:rPr>
            </w:pPr>
          </w:p>
        </w:tc>
      </w:tr>
      <w:tr>
        <w:trPr>
          <w:trHeight w:val="223"/>
        </w:trPr>
        <w:tc>
          <w:tcPr>
            <w:tcW w:w="5660" w:type="dxa"/>
            <w:vAlign w:val="bottom"/>
            <w:gridSpan w:val="5"/>
            <w:vMerge w:val="continue"/>
          </w:tcPr>
          <w:p>
            <w:pPr>
              <w:spacing w:after="0"/>
              <w:rPr>
                <w:sz w:val="19"/>
                <w:szCs w:val="19"/>
                <w:color w:val="auto"/>
              </w:rPr>
            </w:pPr>
          </w:p>
        </w:tc>
        <w:tc>
          <w:tcPr>
            <w:tcW w:w="5580" w:type="dxa"/>
            <w:vAlign w:val="bottom"/>
            <w:gridSpan w:val="3"/>
            <w:vMerge w:val="restart"/>
          </w:tcPr>
          <w:p>
            <w:pPr>
              <w:ind w:left="640"/>
              <w:spacing w:after="0"/>
              <w:rPr>
                <w:sz w:val="20"/>
                <w:szCs w:val="20"/>
                <w:color w:val="auto"/>
              </w:rPr>
            </w:pPr>
            <w:r>
              <w:rPr>
                <w:rFonts w:ascii="Times New Roman" w:cs="Times New Roman" w:eastAsia="Times New Roman" w:hAnsi="Times New Roman"/>
                <w:sz w:val="20"/>
                <w:szCs w:val="20"/>
                <w:color w:val="auto"/>
                <w:w w:val="98"/>
              </w:rPr>
              <w:t>By:</w:t>
            </w:r>
            <w:r>
              <w:rPr>
                <w:rFonts w:ascii="Times New Roman" w:cs="Times New Roman" w:eastAsia="Times New Roman" w:hAnsi="Times New Roman"/>
                <w:sz w:val="20"/>
                <w:szCs w:val="20"/>
                <w:i w:val="1"/>
                <w:iCs w:val="1"/>
                <w:color w:val="auto"/>
                <w:w w:val="98"/>
              </w:rPr>
              <w:t>/s/ Andrew Nelson</w:t>
            </w: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4820" w:type="dxa"/>
            <w:vAlign w:val="bottom"/>
            <w:tcBorders>
              <w:top w:val="single" w:sz="8" w:color="auto"/>
            </w:tcBorders>
            <w:gridSpan w:val="3"/>
          </w:tcPr>
          <w:p>
            <w:pPr>
              <w:ind w:left="100"/>
              <w:spacing w:after="0" w:line="200" w:lineRule="exact"/>
              <w:rPr>
                <w:sz w:val="20"/>
                <w:szCs w:val="20"/>
                <w:color w:val="auto"/>
              </w:rPr>
            </w:pPr>
            <w:r>
              <w:rPr>
                <w:rFonts w:ascii="Times New Roman" w:cs="Times New Roman" w:eastAsia="Times New Roman" w:hAnsi="Times New Roman"/>
                <w:sz w:val="20"/>
                <w:szCs w:val="20"/>
                <w:color w:val="auto"/>
              </w:rPr>
              <w:t>Andrew Nelson</w:t>
            </w:r>
          </w:p>
        </w:tc>
        <w:tc>
          <w:tcPr>
            <w:tcW w:w="260" w:type="dxa"/>
            <w:vAlign w:val="bottom"/>
          </w:tcPr>
          <w:p>
            <w:pPr>
              <w:spacing w:after="0"/>
              <w:rPr>
                <w:sz w:val="17"/>
                <w:szCs w:val="17"/>
                <w:color w:val="auto"/>
              </w:rPr>
            </w:pPr>
          </w:p>
        </w:tc>
        <w:tc>
          <w:tcPr>
            <w:tcW w:w="5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80" w:type="dxa"/>
            <w:vAlign w:val="bottom"/>
            <w:vMerge w:val="restart"/>
          </w:tcPr>
          <w:p>
            <w:pPr>
              <w:spacing w:after="0" w:line="20" w:lineRule="exact"/>
              <w:rPr>
                <w:sz w:val="1"/>
                <w:szCs w:val="1"/>
                <w:color w:val="auto"/>
              </w:rPr>
            </w:pPr>
          </w:p>
        </w:tc>
        <w:tc>
          <w:tcPr>
            <w:tcW w:w="5080" w:type="dxa"/>
            <w:vAlign w:val="bottom"/>
            <w:gridSpan w:val="4"/>
            <w:vMerge w:val="restart"/>
          </w:tcPr>
          <w:p>
            <w:pPr>
              <w:ind w:left="100"/>
              <w:spacing w:after="0"/>
              <w:rPr>
                <w:sz w:val="20"/>
                <w:szCs w:val="20"/>
                <w:color w:val="auto"/>
              </w:rPr>
            </w:pPr>
            <w:r>
              <w:rPr>
                <w:rFonts w:ascii="Times New Roman" w:cs="Times New Roman" w:eastAsia="Times New Roman" w:hAnsi="Times New Roman"/>
                <w:sz w:val="20"/>
                <w:szCs w:val="20"/>
                <w:color w:val="auto"/>
              </w:rPr>
              <w:t>Chief Operating Officer and CFO</w:t>
            </w:r>
          </w:p>
        </w:tc>
        <w:tc>
          <w:tcPr>
            <w:tcW w:w="120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80" w:type="dxa"/>
            <w:vAlign w:val="bottom"/>
            <w:vMerge w:val="continue"/>
          </w:tcPr>
          <w:p>
            <w:pPr>
              <w:spacing w:after="0"/>
              <w:rPr>
                <w:sz w:val="17"/>
                <w:szCs w:val="17"/>
                <w:color w:val="auto"/>
              </w:rPr>
            </w:pPr>
          </w:p>
        </w:tc>
        <w:tc>
          <w:tcPr>
            <w:tcW w:w="5080" w:type="dxa"/>
            <w:vAlign w:val="bottom"/>
            <w:gridSpan w:val="4"/>
            <w:vMerge w:val="continue"/>
          </w:tcPr>
          <w:p>
            <w:pPr>
              <w:spacing w:after="0"/>
              <w:rPr>
                <w:sz w:val="17"/>
                <w:szCs w:val="17"/>
                <w:color w:val="auto"/>
              </w:rPr>
            </w:pPr>
          </w:p>
        </w:tc>
        <w:tc>
          <w:tcPr>
            <w:tcW w:w="1200" w:type="dxa"/>
            <w:vAlign w:val="bottom"/>
          </w:tcPr>
          <w:p>
            <w:pPr>
              <w:spacing w:after="0"/>
              <w:rPr>
                <w:sz w:val="17"/>
                <w:szCs w:val="17"/>
                <w:color w:val="auto"/>
              </w:rPr>
            </w:pPr>
          </w:p>
        </w:tc>
        <w:tc>
          <w:tcPr>
            <w:tcW w:w="42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Andrew Nelson</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660" w:type="dxa"/>
            <w:vAlign w:val="bottom"/>
            <w:gridSpan w:val="5"/>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BERYL CAPITAL PARTNERS II LP</w:t>
            </w:r>
          </w:p>
        </w:tc>
        <w:tc>
          <w:tcPr>
            <w:tcW w:w="1200" w:type="dxa"/>
            <w:vAlign w:val="bottom"/>
          </w:tcPr>
          <w:p>
            <w:pPr>
              <w:spacing w:after="0"/>
              <w:rPr>
                <w:sz w:val="22"/>
                <w:szCs w:val="22"/>
                <w:color w:val="auto"/>
              </w:rPr>
            </w:pPr>
          </w:p>
        </w:tc>
        <w:tc>
          <w:tcPr>
            <w:tcW w:w="43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Chief Operating Officer and CFO</w:t>
            </w:r>
          </w:p>
        </w:tc>
        <w:tc>
          <w:tcPr>
            <w:tcW w:w="0" w:type="dxa"/>
            <w:vAlign w:val="bottom"/>
          </w:tcPr>
          <w:p>
            <w:pPr>
              <w:spacing w:after="0"/>
              <w:rPr>
                <w:sz w:val="1"/>
                <w:szCs w:val="1"/>
                <w:color w:val="auto"/>
              </w:rPr>
            </w:pPr>
          </w:p>
        </w:tc>
      </w:tr>
      <w:tr>
        <w:trPr>
          <w:trHeight w:val="230"/>
        </w:trPr>
        <w:tc>
          <w:tcPr>
            <w:tcW w:w="5660" w:type="dxa"/>
            <w:vAlign w:val="bottom"/>
            <w:gridSpan w:val="5"/>
            <w:vMerge w:val="continue"/>
          </w:tcPr>
          <w:p>
            <w:pPr>
              <w:spacing w:after="0"/>
              <w:rPr>
                <w:sz w:val="19"/>
                <w:szCs w:val="19"/>
                <w:color w:val="auto"/>
              </w:rPr>
            </w:pPr>
          </w:p>
        </w:tc>
        <w:tc>
          <w:tcPr>
            <w:tcW w:w="12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56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By: Beryl Capital Management LP</w:t>
            </w:r>
          </w:p>
        </w:tc>
        <w:tc>
          <w:tcPr>
            <w:tcW w:w="1200" w:type="dxa"/>
            <w:vAlign w:val="bottom"/>
          </w:tcPr>
          <w:p>
            <w:pPr>
              <w:spacing w:after="0"/>
              <w:rPr>
                <w:sz w:val="24"/>
                <w:szCs w:val="24"/>
                <w:color w:val="auto"/>
              </w:rPr>
            </w:pPr>
          </w:p>
        </w:tc>
        <w:tc>
          <w:tcPr>
            <w:tcW w:w="4380" w:type="dxa"/>
            <w:vAlign w:val="bottom"/>
            <w:gridSpan w:val="2"/>
          </w:tcPr>
          <w:p>
            <w:pPr>
              <w:jc w:val="center"/>
              <w:ind w:right="1200"/>
              <w:spacing w:after="0"/>
              <w:rPr>
                <w:sz w:val="20"/>
                <w:szCs w:val="20"/>
                <w:color w:val="auto"/>
              </w:rPr>
            </w:pPr>
            <w:r>
              <w:rPr>
                <w:rFonts w:ascii="Times New Roman" w:cs="Times New Roman" w:eastAsia="Times New Roman" w:hAnsi="Times New Roman"/>
                <w:sz w:val="20"/>
                <w:szCs w:val="20"/>
                <w:i w:val="1"/>
                <w:iCs w:val="1"/>
                <w:color w:val="auto"/>
                <w:w w:val="98"/>
              </w:rPr>
              <w:t>/s/ David A. Witkin</w:t>
            </w:r>
          </w:p>
        </w:tc>
        <w:tc>
          <w:tcPr>
            <w:tcW w:w="0" w:type="dxa"/>
            <w:vAlign w:val="bottom"/>
          </w:tcPr>
          <w:p>
            <w:pPr>
              <w:spacing w:after="0"/>
              <w:rPr>
                <w:sz w:val="1"/>
                <w:szCs w:val="1"/>
                <w:color w:val="auto"/>
              </w:rPr>
            </w:pPr>
          </w:p>
        </w:tc>
      </w:tr>
      <w:tr>
        <w:trPr>
          <w:trHeight w:val="23"/>
        </w:trPr>
        <w:tc>
          <w:tcPr>
            <w:tcW w:w="566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auto"/>
              </w:rPr>
              <w:t>General Partner</w:t>
            </w:r>
          </w:p>
        </w:tc>
        <w:tc>
          <w:tcPr>
            <w:tcW w:w="120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660" w:type="dxa"/>
            <w:vAlign w:val="bottom"/>
            <w:gridSpan w:val="5"/>
            <w:vMerge w:val="continue"/>
          </w:tcPr>
          <w:p>
            <w:pPr>
              <w:spacing w:after="0"/>
              <w:rPr>
                <w:sz w:val="22"/>
                <w:szCs w:val="22"/>
                <w:color w:val="auto"/>
              </w:rPr>
            </w:pPr>
          </w:p>
        </w:tc>
        <w:tc>
          <w:tcPr>
            <w:tcW w:w="1200" w:type="dxa"/>
            <w:vAlign w:val="bottom"/>
          </w:tcPr>
          <w:p>
            <w:pPr>
              <w:spacing w:after="0"/>
              <w:rPr>
                <w:sz w:val="22"/>
                <w:szCs w:val="22"/>
                <w:color w:val="auto"/>
              </w:rPr>
            </w:pPr>
          </w:p>
        </w:tc>
        <w:tc>
          <w:tcPr>
            <w:tcW w:w="4380" w:type="dxa"/>
            <w:vAlign w:val="bottom"/>
            <w:gridSpan w:val="2"/>
          </w:tcPr>
          <w:p>
            <w:pPr>
              <w:jc w:val="center"/>
              <w:ind w:right="1200"/>
              <w:spacing w:after="0"/>
              <w:rPr>
                <w:sz w:val="20"/>
                <w:szCs w:val="20"/>
                <w:color w:val="auto"/>
              </w:rPr>
            </w:pPr>
            <w:r>
              <w:rPr>
                <w:rFonts w:ascii="Times New Roman" w:cs="Times New Roman" w:eastAsia="Times New Roman" w:hAnsi="Times New Roman"/>
                <w:sz w:val="20"/>
                <w:szCs w:val="20"/>
                <w:b w:val="1"/>
                <w:bCs w:val="1"/>
                <w:color w:val="auto"/>
                <w:w w:val="98"/>
              </w:rPr>
              <w:t>David A. Witkin</w:t>
            </w:r>
          </w:p>
        </w:tc>
        <w:tc>
          <w:tcPr>
            <w:tcW w:w="0" w:type="dxa"/>
            <w:vAlign w:val="bottom"/>
          </w:tcPr>
          <w:p>
            <w:pPr>
              <w:spacing w:after="0"/>
              <w:rPr>
                <w:sz w:val="1"/>
                <w:szCs w:val="1"/>
                <w:color w:val="auto"/>
              </w:rPr>
            </w:pPr>
          </w:p>
        </w:tc>
      </w:tr>
      <w:tr>
        <w:trPr>
          <w:trHeight w:val="403"/>
        </w:trPr>
        <w:tc>
          <w:tcPr>
            <w:tcW w:w="56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By: Beryl Capital Management LLC</w:t>
            </w:r>
          </w:p>
        </w:tc>
        <w:tc>
          <w:tcPr>
            <w:tcW w:w="12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6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General Partner</w:t>
            </w:r>
          </w:p>
        </w:tc>
        <w:tc>
          <w:tcPr>
            <w:tcW w:w="12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50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Andrew Nelson</w:t>
            </w:r>
          </w:p>
        </w:tc>
        <w:tc>
          <w:tcPr>
            <w:tcW w:w="12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80" w:type="dxa"/>
            <w:vAlign w:val="bottom"/>
          </w:tcPr>
          <w:p>
            <w:pPr>
              <w:spacing w:after="0"/>
              <w:rPr>
                <w:sz w:val="19"/>
                <w:szCs w:val="19"/>
                <w:color w:val="auto"/>
              </w:rPr>
            </w:pPr>
          </w:p>
        </w:tc>
        <w:tc>
          <w:tcPr>
            <w:tcW w:w="5080" w:type="dxa"/>
            <w:vAlign w:val="bottom"/>
            <w:gridSpan w:val="4"/>
          </w:tcPr>
          <w:p>
            <w:pPr>
              <w:ind w:left="80"/>
              <w:spacing w:after="0" w:line="228" w:lineRule="exact"/>
              <w:rPr>
                <w:sz w:val="20"/>
                <w:szCs w:val="20"/>
                <w:color w:val="auto"/>
              </w:rPr>
            </w:pPr>
            <w:r>
              <w:rPr>
                <w:rFonts w:ascii="Times New Roman" w:cs="Times New Roman" w:eastAsia="Times New Roman" w:hAnsi="Times New Roman"/>
                <w:sz w:val="20"/>
                <w:szCs w:val="20"/>
                <w:color w:val="auto"/>
              </w:rPr>
              <w:t>Andrew Nelson</w:t>
            </w:r>
          </w:p>
        </w:tc>
        <w:tc>
          <w:tcPr>
            <w:tcW w:w="12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80" w:type="dxa"/>
            <w:vAlign w:val="bottom"/>
          </w:tcPr>
          <w:p>
            <w:pPr>
              <w:spacing w:after="0"/>
              <w:rPr>
                <w:sz w:val="22"/>
                <w:szCs w:val="22"/>
                <w:color w:val="auto"/>
              </w:rPr>
            </w:pPr>
          </w:p>
        </w:tc>
        <w:tc>
          <w:tcPr>
            <w:tcW w:w="50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Chief Operating Officer</w:t>
            </w:r>
          </w:p>
        </w:tc>
        <w:tc>
          <w:tcPr>
            <w:tcW w:w="12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2022-07-15T14:58:43Z</dcterms:created>
  <dcterms:modified xsi:type="dcterms:W3CDTF">2022-07-15T14:58:43Z</dcterms:modified>
</cp:coreProperties>
</file>