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10-Q/A</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2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60"/>
          </w:cols>
          <w:pgMar w:left="320" w:top="230" w:right="5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620" w:space="720"/>
            <w:col w:w="2880" w:space="720"/>
            <w:col w:w="2120"/>
          </w:cols>
          <w:pgMar w:left="320" w:top="230" w:right="519" w:bottom="0" w:gutter="0" w:footer="0" w:header="0"/>
          <w:type w:val="continuous"/>
        </w:sectPr>
      </w:pPr>
    </w:p>
    <w:p>
      <w:pPr>
        <w:spacing w:after="0" w:line="12"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600" w:space="720"/>
            <w:col w:w="2620" w:space="720"/>
            <w:col w:w="2400"/>
          </w:cols>
          <w:pgMar w:left="320" w:top="230" w:right="519" w:bottom="0" w:gutter="0" w:footer="0" w:header="0"/>
          <w:type w:val="continuous"/>
        </w:sectPr>
      </w:pPr>
    </w:p>
    <w:p>
      <w:pPr>
        <w:spacing w:after="0" w:line="44"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200 Clarendon Street, 55th Floor</w:t>
      </w:r>
    </w:p>
    <w:p>
      <w:pPr>
        <w:spacing w:after="0" w:line="50"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Boston, MA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02116</w:t>
      </w:r>
    </w:p>
    <w:p>
      <w:pPr>
        <w:spacing w:after="0" w:line="277" w:lineRule="exact"/>
        <w:rPr>
          <w:sz w:val="24"/>
          <w:szCs w:val="24"/>
          <w:color w:val="auto"/>
        </w:rPr>
      </w:pPr>
    </w:p>
    <w:p>
      <w:pPr>
        <w:sectPr>
          <w:pgSz w:w="11900" w:h="16838" w:orient="portrait"/>
          <w:cols w:equalWidth="0" w:num="2">
            <w:col w:w="7520" w:space="720"/>
            <w:col w:w="2820"/>
          </w:cols>
          <w:pgMar w:left="320" w:top="230" w:right="519" w:bottom="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00" w:space="720"/>
            <w:col w:w="2940"/>
          </w:cols>
          <w:pgMar w:left="320" w:top="230" w:right="519" w:bottom="0" w:gutter="0" w:footer="0" w:header="0"/>
          <w:type w:val="continuous"/>
        </w:sectPr>
      </w:pP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Trading</w:t>
            </w:r>
          </w:p>
        </w:tc>
        <w:tc>
          <w:tcPr>
            <w:tcW w:w="346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318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89"/>
              </w:rPr>
              <w:t>Title of each class</w:t>
            </w:r>
          </w:p>
        </w:tc>
        <w:tc>
          <w:tcPr>
            <w:tcW w:w="2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Symbol(s)</w:t>
            </w:r>
          </w:p>
        </w:tc>
        <w:tc>
          <w:tcPr>
            <w:tcW w:w="3460" w:type="dxa"/>
            <w:vAlign w:val="bottom"/>
            <w:gridSpan w:val="3"/>
          </w:tcPr>
          <w:p>
            <w:pPr>
              <w:jc w:val="center"/>
              <w:ind w:left="937"/>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20" w:type="dxa"/>
            <w:vAlign w:val="bottom"/>
            <w:gridSpan w:val="3"/>
            <w:vMerge w:val="restart"/>
          </w:tcPr>
          <w:p>
            <w:pPr>
              <w:jc w:val="center"/>
              <w:ind w:right="160"/>
              <w:spacing w:after="0" w:line="205" w:lineRule="exact"/>
              <w:rPr>
                <w:sz w:val="20"/>
                <w:szCs w:val="20"/>
                <w:color w:val="auto"/>
              </w:rPr>
            </w:pPr>
            <w:r>
              <w:rPr>
                <w:rFonts w:ascii="Arial" w:cs="Arial" w:eastAsia="Arial" w:hAnsi="Arial"/>
                <w:sz w:val="18"/>
                <w:szCs w:val="18"/>
                <w:b w:val="1"/>
                <w:bCs w:val="1"/>
                <w:color w:val="auto"/>
              </w:rPr>
              <w:t>ACTDU</w:t>
            </w:r>
          </w:p>
        </w:tc>
        <w:tc>
          <w:tcPr>
            <w:tcW w:w="3460" w:type="dxa"/>
            <w:vAlign w:val="bottom"/>
            <w:gridSpan w:val="3"/>
            <w:vMerge w:val="restart"/>
          </w:tcPr>
          <w:p>
            <w:pPr>
              <w:jc w:val="center"/>
              <w:ind w:left="937"/>
              <w:spacing w:after="0" w:line="205"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line="20" w:lineRule="exact"/>
              <w:rPr>
                <w:sz w:val="1"/>
                <w:szCs w:val="1"/>
                <w:color w:val="auto"/>
              </w:rPr>
            </w:pPr>
          </w:p>
        </w:tc>
      </w:tr>
      <w:tr>
        <w:trPr>
          <w:trHeight w:val="165"/>
        </w:trPr>
        <w:tc>
          <w:tcPr>
            <w:tcW w:w="4420" w:type="dxa"/>
            <w:vAlign w:val="bottom"/>
            <w:gridSpan w:val="3"/>
          </w:tcPr>
          <w:p>
            <w:pPr>
              <w:jc w:val="center"/>
              <w:ind w:right="840"/>
              <w:spacing w:after="0" w:line="164"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2520" w:type="dxa"/>
            <w:vAlign w:val="bottom"/>
            <w:gridSpan w:val="3"/>
            <w:vMerge w:val="continue"/>
          </w:tcPr>
          <w:p>
            <w:pPr>
              <w:spacing w:after="0"/>
              <w:rPr>
                <w:sz w:val="14"/>
                <w:szCs w:val="14"/>
                <w:color w:val="auto"/>
              </w:rPr>
            </w:pPr>
          </w:p>
        </w:tc>
        <w:tc>
          <w:tcPr>
            <w:tcW w:w="3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redeemable warrant</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Class A Ordinary Shares included as part of</w:t>
            </w:r>
          </w:p>
        </w:tc>
        <w:tc>
          <w:tcPr>
            <w:tcW w:w="880" w:type="dxa"/>
            <w:vAlign w:val="bottom"/>
          </w:tcPr>
          <w:p>
            <w:pPr>
              <w:spacing w:after="0"/>
              <w:rPr>
                <w:sz w:val="18"/>
                <w:szCs w:val="18"/>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ACTD</w:t>
            </w:r>
          </w:p>
        </w:tc>
        <w:tc>
          <w:tcPr>
            <w:tcW w:w="346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18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w w:val="87"/>
              </w:rPr>
              <w:t>the units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9"/>
              </w:rPr>
              <w:t>Redeemable warrants included as part of the</w:t>
            </w:r>
          </w:p>
        </w:tc>
        <w:tc>
          <w:tcPr>
            <w:tcW w:w="2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ACTDW</w:t>
            </w:r>
          </w:p>
        </w:tc>
        <w:tc>
          <w:tcPr>
            <w:tcW w:w="346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44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7"/>
              </w:rPr>
              <w:t>$11.50</w:t>
            </w:r>
          </w:p>
        </w:tc>
        <w:tc>
          <w:tcPr>
            <w:tcW w:w="2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060"/>
          </w:cols>
          <w:pgMar w:left="320" w:top="230" w:right="5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company” in Rule 12b-2 of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August 5, 2021, 31,116,305 Class A ordinary shares, par value $0.0001, and 7,779,076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i w:val="1"/>
          <w:iCs w:val="1"/>
          <w:color w:val="auto"/>
        </w:rPr>
        <w:t>References throughout this Amendment No. 1 to the Quarterly Report on Form 10-Q to “we,” “us,” the “Company” or “our company” are to ArcLight Clean Transition Corp. II, unless the context otherwise indicates.</w:t>
      </w:r>
    </w:p>
    <w:p>
      <w:pPr>
        <w:spacing w:after="0" w:line="170"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This Amendment No. 1 (“Amendment No. 1”) to the Quarterly Report on Form 10-Q/A amends the Quarterly Report on Form 10-Q of ArcLight Clean Transition Corp. II as of June 30, 2021 and for the three months ended June 30, 2021 and for the period from January 13, 2021 (inception) through June 30, 2021, as filed with the Securities and Exchange Commission (“SEC”) on May 21, 2021 (the “First Amended Filing”).</w:t>
      </w:r>
    </w:p>
    <w:p>
      <w:pPr>
        <w:spacing w:after="0" w:line="16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November 5, 2021, ArcLight Clean Transition Corp. II (the “Company”) filed its Form 10-Q for the quarterly period ending September 30, 2021 (the “Q3 Form 10-Q”), which included a Note 2, Revision of Previously Issued Financial Statements, (“Note 2”) that describes a revision to the Company’s classification of its Class A ordinary shares subject to redemption issued as part of the units sold in the Company’s initial public offering (“IPO”) on March 25, 2021. As described in Note 2, upon its IPO, the Company classified a portion of the Class A ordinary shares as permanent equity to maintain net tangible assets greater than $5,000,000 on the basis that the Company will consummate its initial business combination only if the Company has net tangible assets of at least $5,000,001. The Company’s management re-evaluated the conclusion and determined that the Class A ordinary shares subject to redemption included certain provisions that require classification of the Class A ordinary shares as temporary equity regardless of the minimum net tangible assets required to complete the Company’s initial business combination. As a result, management corrected the error by revising all Class A ordinary shares subject to redemption as temporary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8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connection with the change in presentation for the Class A ordinary shares subject to possible redemption, the Company revised its earnings per share calculation to allocate income and losses shared pro rata between the two classes of shares. This presentation differs from the previously presented method of earnings per share, which was similar to the two-class method.</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Company determined the changes were not qualitatively material to the Company’s previously issued financial statements and did not restate its financial statements. Instead, the Company revised its previously financial statements in Note 2 to its Q3 Form 10-Q. Although the qualitative factors that management assessed tended to support a conclusion that the misstatements were not material, these factors were not strong enough to overcome the significant quantitative errors in the financial statements. The qualitative and quantitative factors support a conclusion that the misstatements are material on a quantitative basis. Management concluded that the misstatement was such of magnitude that it is probable that the judgment of a reasonable person relying upon the financial statements would have been influenced by the inclusion or correction of the foregoing items. As such, upon further consideration of the change, the Company determined the change in classification of the Class A ordinary shares subject to redemption and change to its presentation of earnings per share is material quantitatively and it should restate its previously issued financial statements.</w:t>
      </w:r>
    </w:p>
    <w:p>
      <w:pPr>
        <w:spacing w:after="0" w:line="16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Therefore, on November 24, 2021, the Company’s management and the audit committee of the Company’s board of directors (the “Audit Committee”) concluded that the Company’s previously issued unaudited interim financial statements included in the Company’s Quarterly Report on Form 10-Q for the quarterly period ended June 30, 2021, filed with the SEC on August 5, 2021 (collectively, the “Affected Period”), should be restated to report all Public Shares as temporary equity and should no longer be relied upon.</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such, the Company is restating its unaudited interim financial statements included in the Company’s Quarterly Report on Form 10-Q for the quarterly period ended June 30, 2021 in this Form 10-Q/A, Amendment No. 1.</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Company determined that none of the above changes will have any impact on its cash position and cash held in the trust account established in connection with the IPO.</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After re-evaluation, the Company’s management has concluded that in light of the errors described above, a material weakness existed in the Company’s internal control over financial reporting during the Affected Periods as well as the unaudited interim financial statements included in the Company’s Quarterly Report on Form 10-Q for the quarterly period ended June 30, 2021, filed with the SEC on August 5, 2021; and that the Company’s disclosure controls and procedures were not effective. The Company’s remediation plan with respect to such material weakness is described in more detail in Item 4 of Part I to this Quarterly Report on Form 10-Q/A.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0" w:type="dxa"/>
            <w:vAlign w:val="bottom"/>
            <w:gridSpan w:val="23"/>
            <w:vMerge w:val="restart"/>
          </w:tcPr>
          <w:p>
            <w:pPr>
              <w:ind w:left="36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56"/>
        </w:trPr>
        <w:tc>
          <w:tcPr>
            <w:tcW w:w="10400" w:type="dxa"/>
            <w:vAlign w:val="bottom"/>
            <w:gridSpan w:val="23"/>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w:t>
              </w:r>
            </w:hyperlink>
          </w:p>
        </w:tc>
        <w:tc>
          <w:tcPr>
            <w:tcW w:w="792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 xml:space="preserve">Condensed Balance Sheet as of June 30, 2021 (unaudited)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Operations for the Three Months ended June 30, 2021, and for the period from January 13,</w:t>
              </w:r>
            </w:hyperlink>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2021 (inception) through June 30, 2021 </w:t>
              </w:r>
              <w:r>
                <w:rPr>
                  <w:rFonts w:ascii="Arial" w:cs="Arial" w:eastAsia="Arial" w:hAnsi="Arial"/>
                  <w:sz w:val="18"/>
                  <w:szCs w:val="18"/>
                  <w:color w:val="000000"/>
                </w:rPr>
                <w:t>(as restated)</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 of Changes in Shareholders’ Deficit for the period from January 13, 2021 (inception) through</w:t>
              </w:r>
            </w:hyperlink>
          </w:p>
        </w:tc>
        <w:tc>
          <w:tcPr>
            <w:tcW w:w="3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 xml:space="preserve">June 30, 2021 </w:t>
              </w:r>
              <w:r>
                <w:rPr>
                  <w:rFonts w:ascii="Arial" w:cs="Arial" w:eastAsia="Arial" w:hAnsi="Arial"/>
                  <w:sz w:val="18"/>
                  <w:szCs w:val="18"/>
                  <w:color w:val="000000"/>
                </w:rPr>
                <w:t>(as restated)</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 xml:space="preserve">Unaudited Condensed Statement of Cash Flows for the period from January 13, 2021 (inception) through June 30, 2021 </w:t>
              </w:r>
            </w:hyperlink>
            <w:r>
              <w:rPr>
                <w:rFonts w:ascii="Arial" w:cs="Arial" w:eastAsia="Arial" w:hAnsi="Arial"/>
                <w:sz w:val="18"/>
                <w:szCs w:val="18"/>
                <w:color w:val="000000"/>
                <w:w w:val="95"/>
              </w:rPr>
              <w:t>(as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4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restated)</w:t>
            </w:r>
          </w:p>
        </w:tc>
        <w:tc>
          <w:tcPr>
            <w:tcW w:w="80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40" w:type="dxa"/>
            <w:vAlign w:val="bottom"/>
            <w:gridSpan w:val="21"/>
          </w:tcPr>
          <w:p>
            <w:pPr>
              <w:spacing w:after="0" w:line="190" w:lineRule="exact"/>
              <w:rPr>
                <w:rFonts w:ascii="Arial" w:cs="Arial" w:eastAsia="Arial" w:hAnsi="Arial"/>
                <w:sz w:val="18"/>
                <w:szCs w:val="18"/>
                <w:color w:val="0000EE"/>
              </w:rPr>
            </w:pPr>
            <w:hyperlink w:anchor="page9">
              <w:r>
                <w:rPr>
                  <w:rFonts w:ascii="Arial" w:cs="Arial" w:eastAsia="Arial" w:hAnsi="Arial"/>
                  <w:sz w:val="18"/>
                  <w:szCs w:val="18"/>
                  <w:color w:val="0000EE"/>
                </w:rPr>
                <w:t xml:space="preserve">Notes to Unaudited Condensed Financial Statements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 xml:space="preserve">Controls and Procedures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508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3"/>
          </w:tcPr>
          <w:p>
            <w:pPr>
              <w:ind w:left="360"/>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4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10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 from Registered Securities</w:t>
              </w:r>
            </w:hyperlink>
          </w:p>
        </w:tc>
        <w:tc>
          <w:tcPr>
            <w:tcW w:w="31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710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76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81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84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3"/>
          </w:tcPr>
          <w:p>
            <w:pPr>
              <w:ind w:left="360"/>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720" w:type="dxa"/>
            <w:vAlign w:val="bottom"/>
            <w:gridSpan w:val="14"/>
          </w:tcPr>
          <w:p>
            <w:pPr>
              <w:jc w:val="right"/>
              <w:ind w:right="17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5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140" w:type="dxa"/>
            <w:vAlign w:val="bottom"/>
          </w:tcPr>
          <w:p>
            <w:pPr>
              <w:jc w:val="center"/>
              <w:ind w:left="290"/>
              <w:spacing w:after="0"/>
              <w:rPr>
                <w:sz w:val="20"/>
                <w:szCs w:val="20"/>
                <w:color w:val="auto"/>
              </w:rPr>
            </w:pPr>
            <w:r>
              <w:rPr>
                <w:rFonts w:ascii="Arial" w:cs="Arial" w:eastAsia="Arial" w:hAnsi="Arial"/>
                <w:sz w:val="18"/>
                <w:szCs w:val="18"/>
                <w:b w:val="1"/>
                <w:bCs w:val="1"/>
                <w:color w:val="auto"/>
              </w:rPr>
              <w:t>PART I—FINANCIAL INFORMATION</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140" w:type="dxa"/>
            <w:vAlign w:val="bottom"/>
          </w:tcPr>
          <w:p>
            <w:pPr>
              <w:jc w:val="center"/>
              <w:ind w:left="290"/>
              <w:spacing w:after="0"/>
              <w:rPr>
                <w:sz w:val="20"/>
                <w:szCs w:val="20"/>
                <w:color w:val="auto"/>
              </w:rPr>
            </w:pPr>
            <w:r>
              <w:rPr>
                <w:rFonts w:ascii="Arial" w:cs="Arial" w:eastAsia="Arial" w:hAnsi="Arial"/>
                <w:sz w:val="18"/>
                <w:szCs w:val="18"/>
                <w:b w:val="1"/>
                <w:bCs w:val="1"/>
                <w:color w:val="auto"/>
              </w:rPr>
              <w:t>ARCLIGHT CLEAN TRANSITION CORP. II</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1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UNAUDITED CONDENSED BALANCE SHEET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14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JUNE 30, 2021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1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(restated – See Note 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1,164,577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1,225,548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2,390,125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311,167,507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313,557,632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3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175,056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25,950,160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37,215,923</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31,116,305 shares at redemption value of $10.00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380" w:type="dxa"/>
            <w:vAlign w:val="bottom"/>
            <w:gridSpan w:val="2"/>
          </w:tcPr>
          <w:p>
            <w:pPr>
              <w:spacing w:after="0" w:line="201" w:lineRule="exact"/>
              <w:rPr>
                <w:sz w:val="20"/>
                <w:szCs w:val="20"/>
                <w:color w:val="auto"/>
              </w:rPr>
            </w:pPr>
            <w:r>
              <w:rPr>
                <w:rFonts w:ascii="Arial" w:cs="Arial" w:eastAsia="Arial" w:hAnsi="Arial"/>
                <w:sz w:val="18"/>
                <w:szCs w:val="18"/>
                <w:color w:val="auto"/>
                <w:w w:val="93"/>
              </w:rPr>
              <w:t>Class A ordinary shares, $0.0001 par value; 500,000,000 shares authorized (excluding 31,116,305 shares subject to possible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380" w:type="dxa"/>
            <w:vAlign w:val="bottom"/>
            <w:gridSpan w:val="2"/>
          </w:tcPr>
          <w:p>
            <w:pPr>
              <w:ind w:left="180"/>
              <w:spacing w:after="0"/>
              <w:rPr>
                <w:sz w:val="20"/>
                <w:szCs w:val="20"/>
                <w:color w:val="auto"/>
              </w:rPr>
            </w:pPr>
            <w:r>
              <w:rPr>
                <w:rFonts w:ascii="Arial" w:cs="Arial" w:eastAsia="Arial" w:hAnsi="Arial"/>
                <w:sz w:val="18"/>
                <w:szCs w:val="18"/>
                <w:color w:val="auto"/>
              </w:rPr>
              <w:t>redemption)</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(34,822,119)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(34,821,341)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313,557,632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73"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(restated – See Note 2)</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For the three</w:t>
            </w: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January 13, 2021</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(394,413)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(11,225,560)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(10,954,400)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(11,221,256)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(11,412,563)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(11,615,669)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(11,935,452)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 basic and diluted</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31,116,305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 basic and diluted</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7,779,076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left="440" w:right="1820"/>
        <w:spacing w:after="0" w:line="255" w:lineRule="auto"/>
        <w:rPr>
          <w:sz w:val="20"/>
          <w:szCs w:val="20"/>
          <w:color w:val="auto"/>
        </w:rPr>
      </w:pPr>
      <w:r>
        <w:rPr>
          <w:rFonts w:ascii="Arial" w:cs="Arial" w:eastAsia="Arial" w:hAnsi="Arial"/>
          <w:sz w:val="18"/>
          <w:szCs w:val="18"/>
          <w:b w:val="1"/>
          <w:bCs w:val="1"/>
          <w:color w:val="auto"/>
        </w:rPr>
        <w:t>UNAUDITED CONDENSED STATEMENTS OF CHANGES IN SHAREHOLDERS’ DEFICIT FOR THE PERIOD FROM JANUARY 13, 2021 (INCEPTION) THROUGH JUNE 30, 2021 (restated – See Note 2)</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Ordinary Shares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auto"/>
            </w:tcBorders>
            <w:gridSpan w:val="2"/>
          </w:tcPr>
          <w:p>
            <w:pPr>
              <w:jc w:val="center"/>
              <w:ind w:left="417"/>
              <w:spacing w:after="0" w:line="129" w:lineRule="exact"/>
              <w:rPr>
                <w:sz w:val="20"/>
                <w:szCs w:val="20"/>
                <w:color w:val="auto"/>
              </w:rPr>
            </w:pPr>
            <w:r>
              <w:rPr>
                <w:rFonts w:ascii="Arial" w:cs="Arial" w:eastAsia="Arial" w:hAnsi="Arial"/>
                <w:sz w:val="14"/>
                <w:szCs w:val="14"/>
                <w:b w:val="1"/>
                <w:bCs w:val="1"/>
                <w:color w:val="auto"/>
                <w:w w:val="89"/>
              </w:rPr>
              <w:t>Class B</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22"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108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Shareholders’</w:t>
            </w:r>
          </w:p>
        </w:tc>
      </w:tr>
      <w:tr>
        <w:trPr>
          <w:trHeight w:val="156"/>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Deficit</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7,906,250</w:t>
            </w:r>
          </w:p>
        </w:tc>
        <w:tc>
          <w:tcPr>
            <w:tcW w:w="1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Accretion on Class A ordinary shares subject to possible redemption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(199,953)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(22,886,667)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(23,086,620)</w:t>
            </w: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7"/>
              </w:rPr>
              <w:t>Sale of private placement warrants to Sponsor less fair value of private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175,731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175,731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ordinary shares from Sponsor</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(127,174)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(319,783)</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(319,783)</w:t>
            </w:r>
          </w:p>
        </w:tc>
        <w:tc>
          <w:tcPr>
            <w:tcW w:w="60" w:type="dxa"/>
            <w:vAlign w:val="bottom"/>
            <w:tcBorders>
              <w:bottom w:val="single" w:sz="8" w:color="CCEEFF"/>
            </w:tcBorders>
          </w:tcPr>
          <w:p>
            <w:pPr>
              <w:spacing w:after="0"/>
              <w:rPr>
                <w:sz w:val="18"/>
                <w:szCs w:val="18"/>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(unaudited), as restated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$7,779,076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778</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(23,206,450)</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shd w:val="clear" w:color="auto" w:fill="CCEEFF"/>
              </w:rPr>
              <w:t>(23,205,672)</w:t>
            </w:r>
          </w:p>
        </w:tc>
        <w:tc>
          <w:tcPr>
            <w:tcW w:w="60" w:type="dxa"/>
            <w:vAlign w:val="bottom"/>
            <w:shd w:val="clear" w:color="auto" w:fill="CCEEFF"/>
          </w:tcPr>
          <w:p>
            <w:pPr>
              <w:spacing w:after="0"/>
              <w:rPr>
                <w:sz w:val="19"/>
                <w:szCs w:val="19"/>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(11,615,669)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(11,615,669)</w:t>
            </w:r>
          </w:p>
        </w:tc>
        <w:tc>
          <w:tcPr>
            <w:tcW w:w="60" w:type="dxa"/>
            <w:vAlign w:val="bottom"/>
            <w:tcBorders>
              <w:bottom w:val="single" w:sz="8" w:color="CCEEFF"/>
            </w:tcBorders>
          </w:tcPr>
          <w:p>
            <w:pPr>
              <w:spacing w:after="0"/>
              <w:rPr>
                <w:sz w:val="18"/>
                <w:szCs w:val="18"/>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 as restated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7,779,076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778</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(34,822,119)</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shd w:val="clear" w:color="auto" w:fill="CCEEFF"/>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shd w:val="clear" w:color="auto" w:fill="CCEEFF"/>
              </w:rPr>
              <w:t>(34,821,341)</w:t>
            </w:r>
          </w:p>
        </w:tc>
        <w:tc>
          <w:tcPr>
            <w:tcW w:w="60" w:type="dxa"/>
            <w:vAlign w:val="bottom"/>
            <w:shd w:val="clear" w:color="auto" w:fill="CCEEFF"/>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003" w:right="77"/>
        <w:spacing w:after="0" w:line="263" w:lineRule="auto"/>
        <w:rPr>
          <w:sz w:val="20"/>
          <w:szCs w:val="20"/>
          <w:color w:val="auto"/>
        </w:rPr>
      </w:pPr>
      <w:r>
        <w:rPr>
          <w:rFonts w:ascii="Arial" w:cs="Arial" w:eastAsia="Arial" w:hAnsi="Arial"/>
          <w:sz w:val="18"/>
          <w:szCs w:val="18"/>
          <w:b w:val="1"/>
          <w:bCs w:val="1"/>
          <w:color w:val="auto"/>
        </w:rPr>
        <w:t>ARCLIGHT CLEAN TRANSITION CORP. II UNAUDITED CONDENSED STATEMENT OF CASH FLOWS FOR THE PERIOD FROM JANUARY 13, 2021 (INCEPTION) THROUGH JUNE 30, 2021 (restated – See Note 2)</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General and administrative expenses paid by related party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General and administrative expenses paid by related party under promissory note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Financing costs - warrant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note payable to related party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received from initial public offering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accounts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Offering costs paid by related party under promissory note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underwriting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Forfeiture of Class B ordinary shares from Sponsor</w:t>
      </w:r>
    </w:p>
    <w:p>
      <w:pPr>
        <w:spacing w:after="0" w:line="211" w:lineRule="exact"/>
        <w:rPr>
          <w:sz w:val="20"/>
          <w:szCs w:val="20"/>
          <w:color w:val="auto"/>
        </w:rPr>
      </w:pPr>
    </w:p>
    <w:p>
      <w:pPr>
        <w:jc w:val="center"/>
        <w:ind w:left="2003"/>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81" w:lineRule="exact"/>
        <w:rPr>
          <w:sz w:val="20"/>
          <w:szCs w:val="20"/>
          <w:color w:val="auto"/>
        </w:rPr>
      </w:pPr>
    </w:p>
    <w:p>
      <w:pPr>
        <w:jc w:val="center"/>
        <w:ind w:left="200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(11,935,452)</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26,800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10,954,400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(4,457)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(1,225,548)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(1,591,581)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1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63" w:lineRule="exact"/>
        <w:rPr>
          <w:sz w:val="20"/>
          <w:szCs w:val="20"/>
          <w:color w:val="auto"/>
        </w:rPr>
      </w:pPr>
    </w:p>
    <w:p>
      <w:pPr>
        <w:ind w:left="103"/>
        <w:spacing w:after="0"/>
        <w:rPr>
          <w:sz w:val="20"/>
          <w:szCs w:val="20"/>
          <w:color w:val="auto"/>
        </w:rPr>
      </w:pPr>
      <w:r>
        <w:rPr>
          <w:rFonts w:ascii="Arial" w:cs="Arial" w:eastAsia="Arial" w:hAnsi="Arial"/>
          <w:sz w:val="16"/>
          <w:szCs w:val="16"/>
          <w:u w:val="single" w:color="auto"/>
          <w:color w:val="auto"/>
        </w:rPr>
        <w:t>(311,163,050)</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6"/>
          <w:szCs w:val="16"/>
          <w:u w:val="single" w:color="auto"/>
          <w:color w:val="auto"/>
        </w:rPr>
        <w:t>(311,163,050)</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(171,742)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311,163,050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(6,295,461)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 w:lineRule="exact"/>
        <w:rPr>
          <w:sz w:val="20"/>
          <w:szCs w:val="20"/>
          <w:color w:val="auto"/>
        </w:rPr>
      </w:pPr>
    </w:p>
    <w:p>
      <w:pPr>
        <w:ind w:left="223"/>
        <w:spacing w:after="0"/>
        <w:rPr>
          <w:sz w:val="20"/>
          <w:szCs w:val="20"/>
          <w:color w:val="auto"/>
        </w:rPr>
      </w:pPr>
      <w:r>
        <w:rPr>
          <w:rFonts w:ascii="Arial" w:cs="Arial" w:eastAsia="Arial" w:hAnsi="Arial"/>
          <w:sz w:val="16"/>
          <w:szCs w:val="16"/>
          <w:color w:val="auto"/>
        </w:rPr>
        <w:t>313,919,208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1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47" w:lineRule="exact"/>
        <w:rPr>
          <w:sz w:val="20"/>
          <w:szCs w:val="20"/>
          <w:color w:val="auto"/>
        </w:rPr>
      </w:pPr>
    </w:p>
    <w:p>
      <w:pPr>
        <w:ind w:left="403"/>
        <w:spacing w:after="0"/>
        <w:rPr>
          <w:sz w:val="20"/>
          <w:szCs w:val="20"/>
          <w:color w:val="auto"/>
        </w:rPr>
      </w:pPr>
      <w:r>
        <w:rPr>
          <w:rFonts w:ascii="Arial" w:cs="Arial" w:eastAsia="Arial" w:hAnsi="Arial"/>
          <w:sz w:val="16"/>
          <w:szCs w:val="16"/>
          <w:color w:val="auto"/>
        </w:rPr>
        <w:t>1,164,577</w:t>
      </w:r>
    </w:p>
    <w:p>
      <w:pPr>
        <w:spacing w:after="0" w:line="140" w:lineRule="exact"/>
        <w:rPr>
          <w:sz w:val="20"/>
          <w:szCs w:val="20"/>
          <w:color w:val="auto"/>
        </w:rPr>
      </w:pPr>
    </w:p>
    <w:p>
      <w:pPr>
        <w:ind w:left="84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2" w:lineRule="exact"/>
        <w:rPr>
          <w:sz w:val="20"/>
          <w:szCs w:val="20"/>
          <w:color w:val="auto"/>
        </w:rPr>
      </w:pPr>
    </w:p>
    <w:p>
      <w:pPr>
        <w:ind w:left="403" w:hanging="403"/>
        <w:spacing w:after="0"/>
        <w:tabs>
          <w:tab w:leader="none" w:pos="403" w:val="left"/>
        </w:tabs>
        <w:numPr>
          <w:ilvl w:val="0"/>
          <w:numId w:val="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1,164,577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1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94" w:lineRule="exact"/>
        <w:rPr>
          <w:sz w:val="20"/>
          <w:szCs w:val="20"/>
          <w:color w:val="auto"/>
        </w:rPr>
      </w:pPr>
    </w:p>
    <w:p>
      <w:pPr>
        <w:ind w:left="543" w:hanging="543"/>
        <w:spacing w:after="0"/>
        <w:tabs>
          <w:tab w:leader="none" w:pos="543" w:val="left"/>
        </w:tabs>
        <w:numPr>
          <w:ilvl w:val="0"/>
          <w:numId w:val="4"/>
        </w:numPr>
        <w:rPr>
          <w:rFonts w:ascii="Arial" w:cs="Arial" w:eastAsia="Arial" w:hAnsi="Arial"/>
          <w:sz w:val="16"/>
          <w:szCs w:val="16"/>
          <w:color w:val="auto"/>
        </w:rPr>
      </w:pPr>
      <w:r>
        <w:rPr>
          <w:rFonts w:ascii="Arial" w:cs="Arial" w:eastAsia="Arial" w:hAnsi="Arial"/>
          <w:sz w:val="16"/>
          <w:szCs w:val="16"/>
          <w:color w:val="auto"/>
        </w:rPr>
        <w:t>200,000</w:t>
      </w:r>
    </w:p>
    <w:p>
      <w:pPr>
        <w:spacing w:after="0" w:line="46" w:lineRule="exact"/>
        <w:rPr>
          <w:sz w:val="20"/>
          <w:szCs w:val="20"/>
          <w:color w:val="auto"/>
        </w:rPr>
      </w:pPr>
    </w:p>
    <w:p>
      <w:pPr>
        <w:ind w:left="623" w:hanging="623"/>
        <w:spacing w:after="0"/>
        <w:tabs>
          <w:tab w:leader="none" w:pos="623" w:val="left"/>
        </w:tabs>
        <w:numPr>
          <w:ilvl w:val="0"/>
          <w:numId w:val="5"/>
        </w:numPr>
        <w:rPr>
          <w:rFonts w:ascii="Arial" w:cs="Arial" w:eastAsia="Arial" w:hAnsi="Arial"/>
          <w:sz w:val="16"/>
          <w:szCs w:val="16"/>
          <w:color w:val="auto"/>
        </w:rPr>
      </w:pPr>
      <w:r>
        <w:rPr>
          <w:rFonts w:ascii="Arial" w:cs="Arial" w:eastAsia="Arial" w:hAnsi="Arial"/>
          <w:sz w:val="16"/>
          <w:szCs w:val="16"/>
          <w:color w:val="auto"/>
        </w:rPr>
        <w:t>70,000</w:t>
      </w:r>
    </w:p>
    <w:p>
      <w:pPr>
        <w:spacing w:after="0" w:line="32" w:lineRule="exact"/>
        <w:rPr>
          <w:sz w:val="20"/>
          <w:szCs w:val="20"/>
          <w:color w:val="auto"/>
        </w:rPr>
      </w:pPr>
    </w:p>
    <w:p>
      <w:pPr>
        <w:ind w:left="543" w:hanging="543"/>
        <w:spacing w:after="0"/>
        <w:tabs>
          <w:tab w:leader="none" w:pos="543" w:val="left"/>
        </w:tabs>
        <w:numPr>
          <w:ilvl w:val="0"/>
          <w:numId w:val="6"/>
        </w:numPr>
        <w:rPr>
          <w:rFonts w:ascii="Arial" w:cs="Arial" w:eastAsia="Arial" w:hAnsi="Arial"/>
          <w:sz w:val="16"/>
          <w:szCs w:val="16"/>
          <w:color w:val="auto"/>
        </w:rPr>
      </w:pPr>
      <w:r>
        <w:rPr>
          <w:rFonts w:ascii="Arial" w:cs="Arial" w:eastAsia="Arial" w:hAnsi="Arial"/>
          <w:sz w:val="16"/>
          <w:szCs w:val="16"/>
          <w:color w:val="auto"/>
        </w:rPr>
        <w:t>144,842</w:t>
      </w:r>
    </w:p>
    <w:p>
      <w:pPr>
        <w:spacing w:after="0" w:line="32" w:lineRule="exact"/>
        <w:rPr>
          <w:rFonts w:ascii="Arial" w:cs="Arial" w:eastAsia="Arial" w:hAnsi="Arial"/>
          <w:sz w:val="16"/>
          <w:szCs w:val="16"/>
          <w:color w:val="auto"/>
        </w:rPr>
      </w:pPr>
    </w:p>
    <w:p>
      <w:pPr>
        <w:ind w:left="303" w:hanging="303"/>
        <w:spacing w:after="0"/>
        <w:tabs>
          <w:tab w:leader="none" w:pos="303" w:val="left"/>
        </w:tabs>
        <w:numPr>
          <w:ilvl w:val="0"/>
          <w:numId w:val="6"/>
        </w:numPr>
        <w:rPr>
          <w:rFonts w:ascii="Arial" w:cs="Arial" w:eastAsia="Arial" w:hAnsi="Arial"/>
          <w:sz w:val="16"/>
          <w:szCs w:val="16"/>
          <w:color w:val="auto"/>
        </w:rPr>
      </w:pPr>
      <w:r>
        <w:rPr>
          <w:rFonts w:ascii="Arial" w:cs="Arial" w:eastAsia="Arial" w:hAnsi="Arial"/>
          <w:sz w:val="16"/>
          <w:szCs w:val="16"/>
          <w:color w:val="auto"/>
        </w:rPr>
        <w:t>10,890,707</w:t>
      </w:r>
    </w:p>
    <w:p>
      <w:pPr>
        <w:spacing w:after="0" w:line="32" w:lineRule="exact"/>
        <w:rPr>
          <w:rFonts w:ascii="Arial" w:cs="Arial" w:eastAsia="Arial" w:hAnsi="Arial"/>
          <w:sz w:val="16"/>
          <w:szCs w:val="16"/>
          <w:color w:val="auto"/>
        </w:rPr>
      </w:pPr>
    </w:p>
    <w:p>
      <w:pPr>
        <w:ind w:left="943" w:hanging="943"/>
        <w:spacing w:after="0"/>
        <w:tabs>
          <w:tab w:leader="none" w:pos="943" w:val="left"/>
        </w:tabs>
        <w:numPr>
          <w:ilvl w:val="0"/>
          <w:numId w:val="6"/>
        </w:numPr>
        <w:rPr>
          <w:rFonts w:ascii="Arial" w:cs="Arial" w:eastAsia="Arial" w:hAnsi="Arial"/>
          <w:sz w:val="16"/>
          <w:szCs w:val="16"/>
          <w:color w:val="auto"/>
        </w:rPr>
      </w:pPr>
      <w:r>
        <w:rPr>
          <w:rFonts w:ascii="Arial" w:cs="Arial" w:eastAsia="Arial" w:hAnsi="Arial"/>
          <w:sz w:val="16"/>
          <w:szCs w:val="16"/>
          <w:color w:val="auto"/>
        </w:rPr>
        <w:t>13</w:t>
      </w:r>
    </w:p>
    <w:p>
      <w:pPr>
        <w:sectPr>
          <w:pgSz w:w="11900" w:h="16838" w:orient="portrait"/>
          <w:cols w:equalWidth="0" w:num="2">
            <w:col w:w="9237" w:space="720"/>
            <w:col w:w="1123"/>
          </w:cols>
          <w:pgMar w:left="320" w:top="48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of June 30, 2021, the Company had not yet commenced operations. All activity for the period from January 13, 2021 (inception) through June 30,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76"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4), and incurring offering costs of approximately $17.6 million, of which approximately $10.9 million was for deferred underwriting commissions (see Note 7).</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5).</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w:t>
      </w:r>
    </w:p>
    <w:p>
      <w:pPr>
        <w:spacing w:after="0" w:line="1" w:lineRule="exact"/>
        <w:rPr>
          <w:sz w:val="20"/>
          <w:szCs w:val="20"/>
          <w:color w:val="auto"/>
        </w:rPr>
      </w:pPr>
    </w:p>
    <w:p>
      <w:pPr>
        <w:ind w:left="120" w:right="460"/>
        <w:spacing w:after="0" w:line="323" w:lineRule="auto"/>
        <w:rPr>
          <w:sz w:val="20"/>
          <w:szCs w:val="20"/>
          <w:color w:val="auto"/>
        </w:rPr>
      </w:pPr>
      <w:r>
        <w:rPr>
          <w:rFonts w:ascii="Arial" w:cs="Arial" w:eastAsia="Arial" w:hAnsi="Arial"/>
          <w:sz w:val="16"/>
          <w:szCs w:val="16"/>
          <w:color w:val="auto"/>
        </w:rPr>
        <w:t>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3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deferred underwriting commissions the Company will pay to the underwriters (as discussed in Note 7).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6)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9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5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2021, the Company had approximately $1.2 million in its operating bank account and a working capital of approximately $2.0 million.</w:t>
      </w:r>
    </w:p>
    <w:p>
      <w:pPr>
        <w:spacing w:after="0" w:line="24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Company’s liquidity needs up to June 30, 2021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To date, there were no amounts outstanding under any Working Capital Loans.</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11" w:name="page12"/>
    <w:bookmarkEnd w:id="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After preparing and filing the Company’s unaudited condensed financial statements for the quarterly period ended September 30, 2021, the Company concluded it should restate its previously issued financial statements to classify all Class A ordinary shares subject to possible redemption in temporary equity. In accordance with the SEC and its staff’s guidance on redeemable equity instruments in ASC 480-10-S99, redemption provisions not solely within the control of the Company, require ordinary shares subject to redemption to be classified outside of permanent equity. The Company had previously classified a portion of its Class A ordinary shares in permanent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shares classified as temporary equity as part of net tangible assets. Effective with these condensed financial statements, the Company revised this interpretation to include temporary equity in net tangible assets. In connection with the change in presentation for the Class A ordinary shares subject to possible redemption, the Company has restated its earnings per share calculation to allocate income and losses shared pro rata between the two classes of shares. This presentation contemplates a Business Combination as the most likely outcome, in which case, both classes of shares participate pro rata in the income and losses of the Company.</w:t>
      </w:r>
    </w:p>
    <w:p>
      <w:pPr>
        <w:spacing w:after="0" w:line="17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accordance with SEC Staff Accounting Bulletin No. 99, “Materiality,” and SEC Staff Accounting Bulletin No. 108, “Considering the Effects of Prior Year Misstatements when Quantifying Misstatements in Current Year Financial Statements,” the Company evaluated the corrections and has determined that the related impact was material to the previously filed financial statements that contained the error, the Company’s Form 10-Q for the quarterly period ended June 30, 2021 (the “Affected Quarterly Period”). Therefore, the Company, in consultation with its Audit Committee, concluded that the Post-IPO Balance Sheet and the Affected Quarterly Period should be restated to present all Class A ordinary shares subject to possible redemption as temporary equity and to recognize accretion from the initial book value to redemption value at the time of its Initial Public Offering. As such, the Company is reporting these restatements to those periods in this quarterly report.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the restatement on the financial statements for the Affected Quarterly Period is presented below.</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table below presents the effect of the financial statement adjustments related to the restatement discussed above of the Company’s previously reported balance sheet as of June 30, 2021:</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As Previously Reported</w:t>
            </w:r>
          </w:p>
        </w:tc>
        <w:tc>
          <w:tcPr>
            <w:tcW w:w="320" w:type="dxa"/>
            <w:vAlign w:val="bottom"/>
          </w:tcPr>
          <w:p>
            <w:pPr>
              <w:spacing w:after="0"/>
              <w:rPr>
                <w:sz w:val="13"/>
                <w:szCs w:val="13"/>
                <w:color w:val="auto"/>
              </w:rPr>
            </w:pP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3"/>
                <w:szCs w:val="13"/>
                <w:color w:val="auto"/>
              </w:rPr>
            </w:pPr>
          </w:p>
        </w:tc>
        <w:tc>
          <w:tcPr>
            <w:tcW w:w="100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Class A ordinary shares subject to possible redemption</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271,341,700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$ 39,821,350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$311,163,050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Class A ordinary shares—$0.0001 par value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16,934,285</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(16,934,285)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(11,935,452)</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(22,886,667)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(34,822,119)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(39,821,350)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(34,821,341)</w:t>
            </w: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Shares of Class A ordinary shares subject to possible</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27,134,170</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3,982,135</w:t>
            </w:r>
          </w:p>
        </w:tc>
        <w:tc>
          <w:tcPr>
            <w:tcW w:w="2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31,116,305</w:t>
            </w:r>
          </w:p>
        </w:tc>
        <w:tc>
          <w:tcPr>
            <w:tcW w:w="120" w:type="dxa"/>
            <w:vAlign w:val="bottom"/>
          </w:tcPr>
          <w:p>
            <w:pPr>
              <w:spacing w:after="0"/>
              <w:rPr>
                <w:sz w:val="20"/>
                <w:szCs w:val="20"/>
                <w:color w:val="auto"/>
              </w:rPr>
            </w:pPr>
          </w:p>
        </w:tc>
      </w:tr>
      <w:tr>
        <w:trPr>
          <w:trHeight w:val="216"/>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Shares of Class A ordinary shares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3,982,135</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(3,982,135)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Company’s statement of shareholders’ equity has been restated to reflect the changes to the impacted shareholders’ equity accounts described above.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three months ended June 30, 2021 (unaudited)</w:t>
            </w:r>
          </w:p>
        </w:tc>
        <w:tc>
          <w:tcPr>
            <w:tcW w:w="2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As Previously</w:t>
            </w:r>
          </w:p>
        </w:tc>
        <w:tc>
          <w:tcPr>
            <w:tcW w:w="46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0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49"/>
        </w:trPr>
        <w:tc>
          <w:tcPr>
            <w:tcW w:w="3340" w:type="dxa"/>
            <w:vAlign w:val="bottom"/>
            <w:tcBorders>
              <w:bottom w:val="single" w:sz="8" w:color="auto"/>
            </w:tcBorders>
            <w:vMerge w:val="continue"/>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subject to redemption</w:t>
            </w:r>
          </w:p>
        </w:tc>
        <w:tc>
          <w:tcPr>
            <w:tcW w:w="23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89"/>
              </w:rPr>
              <w:t>$11,615,670</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3"/>
              </w:rPr>
              <w:t>$(11,615,670)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table below presents the effect of the financial statement adjustments related to the restatement discussed above of the Company’s previously reported statement of cash flows for the period from January 13, 2021 (inception) through June 30, 2021:</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Noncash Financing Activities:</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As Previously</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Adjustment</w:t>
            </w: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44"/>
        </w:trPr>
        <w:tc>
          <w:tcPr>
            <w:tcW w:w="5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36"/>
              <w:spacing w:after="0" w:line="125" w:lineRule="exact"/>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Initial value of Class A ordinary shares subject to possible redemption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282,777,640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(282,777,640)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color w:val="auto"/>
              </w:rPr>
              <w:t>Shares subject to redemption</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11,615,670</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(11,615,670)</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impact to the reported amounts of weighted average shares outstanding and basic and diluted earnings per share is presented below for the Affected Quarterly Periods: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months ended June 30, 2021:</w:t>
      </w:r>
    </w:p>
    <w:p>
      <w:pPr>
        <w:spacing w:after="0" w:line="26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Earnings per share</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6"/>
              </w:rPr>
              <w:t>(0.30)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88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9"/>
              </w:rPr>
              <w:t>(0.45)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three months ended June 30, 2021:</w:t>
            </w: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Earnings per Share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4"/>
          </w:tcPr>
          <w:p>
            <w:pPr>
              <w:jc w:val="right"/>
              <w:ind w:right="260"/>
              <w:spacing w:after="0" w:line="115" w:lineRule="exact"/>
              <w:rPr>
                <w:sz w:val="20"/>
                <w:szCs w:val="20"/>
                <w:color w:val="auto"/>
              </w:rPr>
            </w:pPr>
            <w:r>
              <w:rPr>
                <w:rFonts w:ascii="Arial" w:cs="Arial" w:eastAsia="Arial" w:hAnsi="Arial"/>
                <w:sz w:val="13"/>
                <w:szCs w:val="13"/>
                <w:b w:val="1"/>
                <w:bCs w:val="1"/>
                <w:color w:val="auto"/>
              </w:rPr>
              <w:t>As Reported</w:t>
            </w:r>
          </w:p>
        </w:tc>
        <w:tc>
          <w:tcPr>
            <w:tcW w:w="280" w:type="dxa"/>
            <w:vAlign w:val="bottom"/>
          </w:tcPr>
          <w:p>
            <w:pPr>
              <w:spacing w:after="0"/>
              <w:rPr>
                <w:sz w:val="11"/>
                <w:szCs w:val="11"/>
                <w:color w:val="auto"/>
              </w:rPr>
            </w:pPr>
          </w:p>
        </w:tc>
        <w:tc>
          <w:tcPr>
            <w:tcW w:w="1180" w:type="dxa"/>
            <w:vAlign w:val="bottom"/>
            <w:gridSpan w:val="3"/>
          </w:tcPr>
          <w:p>
            <w:pPr>
              <w:jc w:val="right"/>
              <w:ind w:right="380"/>
              <w:spacing w:after="0" w:line="115" w:lineRule="exact"/>
              <w:rPr>
                <w:sz w:val="20"/>
                <w:szCs w:val="20"/>
                <w:color w:val="auto"/>
              </w:rPr>
            </w:pPr>
            <w:r>
              <w:rPr>
                <w:rFonts w:ascii="Arial" w:cs="Arial" w:eastAsia="Arial" w:hAnsi="Arial"/>
                <w:sz w:val="13"/>
                <w:szCs w:val="13"/>
                <w:b w:val="1"/>
                <w:bCs w:val="1"/>
                <w:color w:val="auto"/>
              </w:rPr>
              <w:t>Adjustment</w:t>
            </w:r>
          </w:p>
        </w:tc>
        <w:tc>
          <w:tcPr>
            <w:tcW w:w="120" w:type="dxa"/>
            <w:vAlign w:val="bottom"/>
          </w:tcPr>
          <w:p>
            <w:pPr>
              <w:spacing w:after="0"/>
              <w:rPr>
                <w:sz w:val="11"/>
                <w:szCs w:val="11"/>
                <w:color w:val="auto"/>
              </w:rPr>
            </w:pPr>
          </w:p>
        </w:tc>
        <w:tc>
          <w:tcPr>
            <w:tcW w:w="960" w:type="dxa"/>
            <w:vAlign w:val="bottom"/>
            <w:gridSpan w:val="3"/>
          </w:tcPr>
          <w:p>
            <w:pPr>
              <w:jc w:val="right"/>
              <w:ind w:right="100"/>
              <w:spacing w:after="0" w:line="115" w:lineRule="exact"/>
              <w:rPr>
                <w:sz w:val="20"/>
                <w:szCs w:val="20"/>
                <w:color w:val="auto"/>
              </w:rPr>
            </w:pPr>
            <w:r>
              <w:rPr>
                <w:rFonts w:ascii="Arial" w:cs="Arial" w:eastAsia="Arial" w:hAnsi="Arial"/>
                <w:sz w:val="13"/>
                <w:szCs w:val="13"/>
                <w:b w:val="1"/>
                <w:bCs w:val="1"/>
                <w:color w:val="auto"/>
              </w:rPr>
              <w:t>As 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$(11,615,669)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$(11,615,669)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 Class A ordinary share</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28,282,973</w:t>
            </w: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2,833,332</w:t>
            </w:r>
          </w:p>
        </w:tc>
        <w:tc>
          <w:tcPr>
            <w:tcW w:w="3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31,116,305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dilued earnings per share - Class A ordinary shares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 Class B ordinary share</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10,612,408</w:t>
            </w:r>
          </w:p>
        </w:tc>
        <w:tc>
          <w:tcPr>
            <w:tcW w:w="160" w:type="dxa"/>
            <w:vAlign w:val="bottom"/>
          </w:tcPr>
          <w:p>
            <w:pPr>
              <w:spacing w:after="0"/>
              <w:rPr>
                <w:sz w:val="18"/>
                <w:szCs w:val="18"/>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(3,737,408)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6,875,000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dilued earnings per share - Class B ordinary shares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ectPr>
          <w:pgSz w:w="11900" w:h="16900" w:orient="portrait"/>
          <w:cols w:equalWidth="0" w:num="1">
            <w:col w:w="11100"/>
          </w:cols>
          <w:pgMar w:left="320" w:top="486" w:right="47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 the period from January 13, 2021 (inception) through June 30, 2021:</w:t>
      </w:r>
    </w:p>
    <w:p>
      <w:pPr>
        <w:spacing w:after="0" w:line="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For the period from January 13, 2021 (inception) through</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9"/>
              </w:rPr>
              <w:t>Earnings per 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980" w:type="dxa"/>
            <w:vAlign w:val="bottom"/>
            <w:gridSpan w:val="2"/>
            <w:vMerge w:val="restart"/>
          </w:tcPr>
          <w:p>
            <w:pPr>
              <w:spacing w:after="0" w:line="151" w:lineRule="exact"/>
              <w:rPr>
                <w:sz w:val="20"/>
                <w:szCs w:val="20"/>
                <w:color w:val="auto"/>
              </w:rPr>
            </w:pPr>
            <w:r>
              <w:rPr>
                <w:rFonts w:ascii="Arial" w:cs="Arial" w:eastAsia="Arial" w:hAnsi="Arial"/>
                <w:sz w:val="14"/>
                <w:szCs w:val="14"/>
                <w:b w:val="1"/>
                <w:bCs w:val="1"/>
                <w:color w:val="auto"/>
              </w:rPr>
              <w:t>June 30, 2021:</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9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240"/>
              <w:spacing w:after="0" w:line="115" w:lineRule="exact"/>
              <w:rPr>
                <w:sz w:val="20"/>
                <w:szCs w:val="20"/>
                <w:color w:val="auto"/>
              </w:rPr>
            </w:pPr>
            <w:r>
              <w:rPr>
                <w:rFonts w:ascii="Arial" w:cs="Arial" w:eastAsia="Arial" w:hAnsi="Arial"/>
                <w:sz w:val="13"/>
                <w:szCs w:val="13"/>
                <w:b w:val="1"/>
                <w:bCs w:val="1"/>
                <w:color w:val="auto"/>
                <w:w w:val="98"/>
              </w:rPr>
              <w:t>As Reported</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right"/>
              <w:ind w:right="380"/>
              <w:spacing w:after="0" w:line="115" w:lineRule="exact"/>
              <w:rPr>
                <w:sz w:val="20"/>
                <w:szCs w:val="20"/>
                <w:color w:val="auto"/>
              </w:rPr>
            </w:pPr>
            <w:r>
              <w:rPr>
                <w:rFonts w:ascii="Arial" w:cs="Arial" w:eastAsia="Arial" w:hAnsi="Arial"/>
                <w:sz w:val="13"/>
                <w:szCs w:val="13"/>
                <w:b w:val="1"/>
                <w:bCs w:val="1"/>
                <w:color w:val="auto"/>
              </w:rPr>
              <w:t>Adjustment</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4"/>
              <w:spacing w:after="0" w:line="115" w:lineRule="exact"/>
              <w:rPr>
                <w:sz w:val="20"/>
                <w:szCs w:val="20"/>
                <w:color w:val="auto"/>
              </w:rPr>
            </w:pPr>
            <w:r>
              <w:rPr>
                <w:rFonts w:ascii="Arial" w:cs="Arial" w:eastAsia="Arial" w:hAnsi="Arial"/>
                <w:sz w:val="13"/>
                <w:szCs w:val="13"/>
                <w:b w:val="1"/>
                <w:bCs w:val="1"/>
                <w:color w:val="auto"/>
                <w:w w:val="97"/>
              </w:rPr>
              <w:t>As 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(11,935,452)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(11,935,452)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 Class A ordinary share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28,282,967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(9,459,523)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18,823,444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dilued earnings per share - Class A ordinary shares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w w:val="98"/>
              </w:rPr>
              <w:t>Weighted average shares outstanding - Class B ordinary share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9,136,016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(2,261,016)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dilued earnings per share - Class B ordinary shares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January 13, 2021 (Inception) through June 30, 2021 are not necessarily indicative of the results that may be expected for the period from January 13, 2021 (inception) through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shareholder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as of June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condensed balance sheet at fair value at the end of each reporting period. Gains and losses resulting from the change in fair value of these securities is included in net gain on investments held in Trust Account in the accompanying unaudited condensed statements of operations. The estimated fair values of investments held in the Trust Account are determined using available market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364"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June 30, 2021,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unaudited condensed statements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8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unaudited condensed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June 30, 2021, 31,116,305 Class A ordinary shares subject to possible redemption are presented as temporary equity, outside of the shareholders’ equity section of the Company’s balance sheet.</w:t>
      </w:r>
    </w:p>
    <w:p>
      <w:pPr>
        <w:spacing w:after="0" w:line="16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2021. The Company is currently not aware of any issues under review that could result in significant payments, accruals or material deviation from its position.</w:t>
      </w:r>
    </w:p>
    <w:p>
      <w:pPr>
        <w:spacing w:after="0" w:line="192"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two classes of shares, Class A ordinary shares and Class B ordinary shares. Income and losses are shared pro rata</w:t>
      </w:r>
    </w:p>
    <w:p>
      <w:pPr>
        <w:spacing w:after="0" w:line="23"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months ended June 30, 2021 and for the period from January 13, 2021 (inception) through June 30, 2021. Accretion associated with the Class A ordinary shares subject to possible redemption is excluded from earnings per share as the redemption value approximates fair value.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14"/>
                <w:szCs w:val="14"/>
                <w:color w:val="auto"/>
              </w:rPr>
            </w:pPr>
          </w:p>
        </w:tc>
        <w:tc>
          <w:tcPr>
            <w:tcW w:w="222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5"/>
              </w:rPr>
              <w:t>For the period January 13, 2021</w:t>
            </w:r>
          </w:p>
        </w:tc>
      </w:tr>
      <w:tr>
        <w:trPr>
          <w:trHeight w:val="171"/>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1"/>
              </w:rPr>
              <w:t>(inception) through June 30, 2021</w:t>
            </w:r>
          </w:p>
        </w:tc>
      </w:tr>
      <w:tr>
        <w:trPr>
          <w:trHeight w:val="156"/>
        </w:trPr>
        <w:tc>
          <w:tcPr>
            <w:tcW w:w="8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Class A</w:t>
            </w:r>
          </w:p>
        </w:tc>
        <w:tc>
          <w:tcPr>
            <w:tcW w:w="88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Class A</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r>
      <w:tr>
        <w:trPr>
          <w:trHeight w:val="209"/>
        </w:trPr>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Allocation of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(9,513,669)</w:t>
            </w:r>
          </w:p>
        </w:tc>
        <w:tc>
          <w:tcPr>
            <w:tcW w:w="11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w w:val="90"/>
              </w:rPr>
              <w:t>$(2,102,000)</w:t>
            </w:r>
          </w:p>
        </w:tc>
        <w:tc>
          <w:tcPr>
            <w:tcW w:w="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89"/>
              </w:rPr>
              <w:t>$ (8,742,409)</w:t>
            </w: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(3,193,043)</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Basic and diluted weighted average ordinary shares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31,116,305</w:t>
            </w:r>
          </w:p>
        </w:tc>
        <w:tc>
          <w:tcPr>
            <w:tcW w:w="118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6,875,000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5"/>
              </w:rPr>
              <w:t>18,823,444</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6,875,000</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Basic and diluted net income (loss) per ordinary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3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(0.46)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1"/>
              </w:rPr>
              <w:t>For the 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4"/>
                <w:szCs w:val="14"/>
                <w:b w:val="1"/>
                <w:bCs w:val="1"/>
                <w:color w:val="auto"/>
                <w:w w:val="92"/>
              </w:rPr>
              <w:t>June 30, 2021</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88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(9,292,535)</w:t>
            </w:r>
          </w:p>
        </w:tc>
        <w:tc>
          <w:tcPr>
            <w:tcW w:w="46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(2,323,134)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Basic and diluted weighted average ordinary shares outstanding</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31,116,305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7,779,076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(0.30)</w:t>
            </w:r>
          </w:p>
        </w:tc>
        <w:tc>
          <w:tcPr>
            <w:tcW w:w="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4"/>
              </w:rPr>
              <w:t>For the period from</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8"/>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January 13, 2021 (inception)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1"/>
              </w:rPr>
              <w:t>through June 30, 2021</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88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(8,560,232)</w:t>
            </w:r>
          </w:p>
        </w:tc>
        <w:tc>
          <w:tcPr>
            <w:tcW w:w="46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(3,375,220)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Basic and diluted weighted average ordinary shares outstanding</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18,823,444</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7,421,910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(0.45)</w:t>
            </w:r>
          </w:p>
        </w:tc>
        <w:tc>
          <w:tcPr>
            <w:tcW w:w="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320" w:top="486"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4—Initial Public Offering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5—Private Placement</w:t>
      </w:r>
    </w:p>
    <w:p>
      <w:pPr>
        <w:spacing w:after="0" w:line="121"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40"/>
        <w:spacing w:after="0" w:line="282" w:lineRule="auto"/>
        <w:rPr>
          <w:sz w:val="20"/>
          <w:szCs w:val="20"/>
          <w:color w:val="auto"/>
        </w:rPr>
      </w:pPr>
      <w:r>
        <w:rPr>
          <w:rFonts w:ascii="Arial" w:cs="Arial" w:eastAsia="Arial" w:hAnsi="Arial"/>
          <w:sz w:val="16"/>
          <w:szCs w:val="16"/>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w:t>
      </w:r>
    </w:p>
    <w:p>
      <w:pPr>
        <w:spacing w:after="0" w:line="1" w:lineRule="exact"/>
        <w:rPr>
          <w:sz w:val="20"/>
          <w:szCs w:val="20"/>
          <w:color w:val="auto"/>
        </w:rPr>
      </w:pPr>
    </w:p>
    <w:p>
      <w:pPr>
        <w:jc w:val="both"/>
        <w:ind w:left="120" w:right="40"/>
        <w:spacing w:after="0" w:line="218" w:lineRule="auto"/>
        <w:rPr>
          <w:sz w:val="20"/>
          <w:szCs w:val="20"/>
          <w:color w:val="auto"/>
        </w:rPr>
      </w:pPr>
      <w:r>
        <w:rPr>
          <w:rFonts w:ascii="Arial" w:cs="Arial" w:eastAsia="Arial" w:hAnsi="Arial"/>
          <w:sz w:val="18"/>
          <w:szCs w:val="18"/>
          <w:color w:val="auto"/>
        </w:rPr>
        <w:t>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On January 20, 2021, the Sponsor agreed to loan the Company up to $300,000 pursuant to a promissory note (the “Note”). The Note was non-interest bearing, unsecured and due upon the closing of the Initial Public Offering. For the period from January 13, 2021 (inception) through June 30, 2021, the Company borrowed approximately $172,000 under the Note and fully repaid the Note on March 26, 2021.</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June 30, 2021, the Company had no borrowings under the Working Capital Loans.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Nasdaq through the earlier of consummation of the initial Business Combination and the liquidation, the Company agreed to pay the Sponsor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per month for office space, secretarial and administrative services provided to the Company. The Company incurred $30,000 and $40,000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in connection with such services for the three months ended June 30, 2021 and for the period from January 13, 2021 (inception) ended June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as reflected in the accompanying unaudited condensed statements of operations.</w:t>
      </w:r>
    </w:p>
    <w:p>
      <w:pPr>
        <w:spacing w:after="0" w:line="21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8—Class A Ordinary Shares Subject to Possible Redemption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Company’s Class A ordinary shares feature certain redemption rights that are considered to be outside of the Company’s control and subject to the occurrence of future events. As of June 30, 2021, there were 31,116,305 Class A ordinary shares outstanding, all of which were subject to possible redemption.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June 30, 2021, Class A ordinary shares subject to possible redemption reflected on the balance sheet is reconciled on the following table:</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$311,163,050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Offering costs allocated to Class A shares subject to possible redemption</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(17,138,390)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Proceeds allocated to Public Warrants at issuance</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(5,948,230)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3"/>
              </w:rPr>
              <w:t>Accretion on Class A ordinary shares subject to possible redemption amount</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23,086,620</w:t>
            </w:r>
          </w:p>
        </w:tc>
        <w:tc>
          <w:tcPr>
            <w:tcW w:w="100" w:type="dxa"/>
            <w:vAlign w:val="bottom"/>
            <w:tcBorders>
              <w:bottom w:val="single" w:sz="8" w:color="CCEEFF"/>
            </w:tcBorders>
          </w:tcPr>
          <w:p>
            <w:pPr>
              <w:spacing w:after="0"/>
              <w:rPr>
                <w:sz w:val="18"/>
                <w:szCs w:val="18"/>
                <w:color w:val="auto"/>
              </w:rPr>
            </w:pPr>
          </w:p>
        </w:tc>
      </w:tr>
      <w:tr>
        <w:trPr>
          <w:trHeight w:val="223"/>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shd w:val="clear" w:color="auto" w:fill="CCEEFF"/>
              </w:rPr>
              <w:t>$</w:t>
            </w:r>
            <w:r>
              <w:rPr>
                <w:rFonts w:ascii="Arial" w:cs="Arial" w:eastAsia="Arial" w:hAnsi="Arial"/>
                <w:sz w:val="18"/>
                <w:szCs w:val="18"/>
                <w:b w:val="1"/>
                <w:bCs w:val="1"/>
                <w:color w:val="auto"/>
                <w:shd w:val="clear" w:color="auto" w:fill="CCEEFF"/>
              </w:rPr>
              <w:t>311,163,050</w:t>
            </w:r>
          </w:p>
        </w:tc>
        <w:tc>
          <w:tcPr>
            <w:tcW w:w="100" w:type="dxa"/>
            <w:vAlign w:val="bottom"/>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86" w:right="459" w:bottom="966" w:gutter="0" w:footer="0" w:header="0"/>
        </w:sect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86" w:right="459" w:bottom="966"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9—Shareholders’ Equity</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500,000,000 Class A ordinary shares with a par value of $0.0001 per share.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Class A ordinary shares are entitled to one vote for each share. As of June 30, 2021, there were 31,116,305 Class A ordinary shares issued and outstanding, all of which are subject to possible redemption and are classified as temporary equity (see Note 8).</w:t>
      </w:r>
    </w:p>
    <w:p>
      <w:pPr>
        <w:spacing w:after="0" w:line="16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i w:val="1"/>
          <w:iCs w:val="1"/>
          <w:color w:val="auto"/>
        </w:rPr>
        <w:t xml:space="preserve">Class B Ordinary Shares </w:t>
      </w:r>
      <w:r>
        <w:rPr>
          <w:rFonts w:ascii="Arial" w:cs="Arial" w:eastAsia="Arial" w:hAnsi="Arial"/>
          <w:sz w:val="17"/>
          <w:szCs w:val="17"/>
          <w:color w:val="auto"/>
        </w:rPr>
        <w:t>— The Company is authorized to issue 50,000,000 Class B ordinary shares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2021, there were 7,779,076 Class B ordinary shares issued and outstanding.</w:t>
      </w:r>
    </w:p>
    <w:p>
      <w:pPr>
        <w:spacing w:after="0" w:line="18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As of June 30,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10—Derivative Warrant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2021, the Company had 6,223,261 and 9,223,261 Public Warrants and Private Placement Warrants, respectively, outstanding.</w:t>
      </w:r>
    </w:p>
    <w:p>
      <w:pPr>
        <w:spacing w:after="0" w:line="23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8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540" w:right="360" w:hanging="331"/>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$10.00: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76" w:lineRule="exact"/>
        <w:rPr>
          <w:sz w:val="20"/>
          <w:szCs w:val="20"/>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right="220" w:hanging="331"/>
        <w:spacing w:after="0" w:line="311"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54" w:lineRule="exact"/>
        <w:rPr>
          <w:rFonts w:ascii="Arial" w:cs="Arial" w:eastAsia="Arial" w:hAnsi="Arial"/>
          <w:sz w:val="16"/>
          <w:szCs w:val="16"/>
          <w:color w:val="auto"/>
        </w:rPr>
      </w:pPr>
    </w:p>
    <w:p>
      <w:pPr>
        <w:ind w:left="1540" w:right="14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540" w:right="100" w:hanging="331"/>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11—Fair Value Measurements</w:t>
      </w:r>
    </w:p>
    <w:p>
      <w:pPr>
        <w:spacing w:after="0" w:line="12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as of June 30, 2021 and indicates the fair value hierarchy of the valuation techniques that the Company utilized to determine such fair value.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30,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Prices</w:t>
            </w:r>
          </w:p>
        </w:tc>
        <w:tc>
          <w:tcPr>
            <w:tcW w:w="16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3"/>
              </w:rPr>
              <w:t>Significant Other</w:t>
            </w:r>
          </w:p>
        </w:tc>
        <w:tc>
          <w:tcPr>
            <w:tcW w:w="166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w w:val="99"/>
              </w:rPr>
              <w:t>Significant Other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in</w:t>
            </w:r>
          </w:p>
        </w:tc>
        <w:tc>
          <w:tcPr>
            <w:tcW w:w="1620" w:type="dxa"/>
            <w:vAlign w:val="bottom"/>
            <w:gridSpan w:val="3"/>
            <w:vMerge w:val="continue"/>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Active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Observable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8"/>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311,167,507</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Derivative warrant liabilities—public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10,455,080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active market in the period ended June 30, 2021.</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Level 1 assets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2021 and for the period from January 13, 2021 (inception) through June 30, 2021, the Company recognized a charge to the unaudited condensed statements of operations resulting from an increase in the fair value of liabilities of approximately $11.2 million and $11.0 million, respectively, presented as change in fair value of derivative warrant liabilities in the accompanying unaudited condensed statements of operations.</w:t>
      </w:r>
    </w:p>
    <w:p>
      <w:pPr>
        <w:spacing w:after="0" w:line="17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22, 2021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Risk-free rate</w:t>
            </w:r>
          </w:p>
        </w:tc>
        <w:tc>
          <w:tcPr>
            <w:tcW w:w="3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change in the fair value of the Level 3 derivative warrant liabilities for the period from January 13, 2021 (inception) through June 30, 2021 is summarized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14,995,760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(271,160)</w:t>
            </w: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Derivative warrant liabilities at March 31, 2021</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14,724,600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11,225,560</w:t>
            </w: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Transfer to Level 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(10,455,080)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June 30, 2021</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15,495,080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12—Subsequent Events</w:t>
      </w:r>
    </w:p>
    <w:p>
      <w:pPr>
        <w:spacing w:after="0" w:line="121"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Management has evaluated subsequent events to determine if events or transactions occurring through the date the financial statement were issued.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In this Amendment No. 1 (“Amendment No. 1”) to the Quarterly Report on Form 10-Q of ArcLight Clean Transition Corp. II (the “Company”) for the quarter ended June 30, 2021, we are restating our unaudited interim financial statements as of June 30, 2021, see Note 2 for additional information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our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w:t>
      </w:r>
    </w:p>
    <w:p>
      <w:pPr>
        <w:spacing w:after="0" w:line="184"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entire activity since inception through June 30, 2021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the three months ended June 30, 2021, we had a net loss of approximately $11.6 million from changes in the value of derivative warrant liabilities of approximately $11.2 million and approximately $0.4 million in general and administrative costs.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For the period from January 13, 2021 (inception) through June 30, 2021, we had a net loss of approximately $11.9 million from changes in the value of derivative warrant liabilities of approximately $11.0 million, financing costs of approximately $0.5 million and approximately $0.5 million in general and administrative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we had approximately $1.2 million in our operating bank account and working capital of approximately $2.0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liquidity needs up to June 30, 2021 had been satisfied through a payment of $25,000 from the Sponsor to cover certain expenses on behalf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in exchange for the issuance of the Founder Shares (as defined below), a loan under a promissory note from our Sponsor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$172,000 (the “Note”), and the net proceeds from the consummation of the Private Placement not held in the Trust Account. The Note was repaid in full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March 26, 2021. In addition, in order to finance transaction costs in connection with a Business Combination, our officers, directors and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but are not obligated to, provide the Company with Working Capital Loans. To date, there are no amounts outstanding under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Working Capital Loans.</w:t>
      </w:r>
    </w:p>
    <w:p>
      <w:pPr>
        <w:spacing w:after="0" w:line="21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We continue to evaluate the impact of the COVID-19 pandemic and has concluded that the specific impact is not readily determinable as of the date of the condensed balance sheet. The financial statement does not include any adjustments that might result from the outcome of this uncertainty.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the Financial Accounting Standards Board’s (“FASB”) Accounting Standards Codification (“ASC”) Topic 480 “Distinguishing Liabilities from Equity”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as of June 30, 2021, 31,116,305 Class A ordinary shares subject to possible redemption is presented at redemption value as temporary equity, outside of the shareholders’ equity section of our condensed balance sheet.</w:t>
      </w:r>
    </w:p>
    <w:p>
      <w:pPr>
        <w:spacing w:after="0" w:line="181"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Immediately upon the closing of the Initial Public Offering, we recognized the accretion from initial book value to redemption amount. The change in the carrying value of redeemable shares of Class A ordinary shares resulted in charges against additional paid-in capital and accumulated deficit.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 The classification of derivative instruments, including whether such instruments should be recorded as liabilities or as equity, is re-assessed at the end of each reporting period.</w:t>
      </w:r>
    </w:p>
    <w:p>
      <w:pPr>
        <w:spacing w:after="0" w:line="16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warrants issued in our Initial Public Offering, the underwriters’ exercise of their overallotment option and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unaudited condensed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have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We have not considered the effect of the warrants sold in the Initial Public Offering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months ended June 30, 2021 and for the period from January 13, 2021 (inception) through June 30, 2021. Accretion associated with the Class A ordinary shares subject to possible redemption is excluded from earnings per share as the redemption value approximates fair value.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8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instruments by removing major separation models required under accounting principles generally accepted in the United States.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20" w:hanging="4"/>
        <w:spacing w:after="0" w:line="255" w:lineRule="auto"/>
        <w:tabs>
          <w:tab w:leader="none" w:pos="4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2021,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as of June 30, 2021,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ordinary shares subject to redemption and warrants issued by the Company was not effectively designed or maintained. This material weakness resulted in the restatement of the Company’s balance sheet as of March 25, 2021 and its interim financial statements for the quarter ended June 30, 2021. Additionally, this material weakness could result in a misstatement of the warrant liability, Class A ordinary shares subject to redemption and related accounts and disclosures that would result in a material misstatement of the financial statements that would not be prevented or detected on a timely basis.</w:t>
      </w:r>
    </w:p>
    <w:p>
      <w:pPr>
        <w:spacing w:after="0" w:line="16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June 30, 2021 covered by this Quarterly Report on Form 10-Q that has materially affected, or is reasonably likely to materially affect, our internal control over financial reporting except for the below:</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principal executive officer and principal financial officer performed additional accounting and financial analyses and other post-closing procedures including consulting with subject matter experts related to the accounting for certain complex features of the Class A ordinary shares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ectPr>
          <w:pgSz w:w="11900" w:h="16838" w:orient="portrait"/>
          <w:cols w:equalWidth="0" w:num="1">
            <w:col w:w="11100"/>
          </w:cols>
          <w:pgMar w:left="320" w:top="486" w:right="479" w:bottom="0" w:gutter="0" w:footer="0" w:header="0"/>
        </w:sectPr>
      </w:pP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86" w:right="479" w:bottom="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prospectus for the Initial Public Offering as filed with the SEC on March 22, 2021.</w:t>
      </w:r>
    </w:p>
    <w:p>
      <w:pPr>
        <w:spacing w:after="0" w:line="274" w:lineRule="exact"/>
        <w:rPr>
          <w:sz w:val="20"/>
          <w:szCs w:val="20"/>
          <w:color w:val="auto"/>
        </w:rPr>
      </w:pPr>
    </w:p>
    <w:p>
      <w:pPr>
        <w:ind w:left="120" w:right="374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ind w:left="120"/>
        <w:spacing w:after="0" w:line="271" w:lineRule="auto"/>
        <w:rPr>
          <w:sz w:val="20"/>
          <w:szCs w:val="20"/>
          <w:color w:val="auto"/>
        </w:rPr>
      </w:pPr>
      <w:r>
        <w:rPr>
          <w:rFonts w:ascii="Arial" w:cs="Arial" w:eastAsia="Arial" w:hAnsi="Arial"/>
          <w:sz w:val="17"/>
          <w:szCs w:val="17"/>
          <w:color w:val="auto"/>
        </w:rPr>
        <w:t>On January 3,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Initial Public Offering and the underwriters of their over-allotment option, we incurred offering costs of approximately</w:t>
      </w:r>
    </w:p>
    <w:p>
      <w:pPr>
        <w:spacing w:after="0" w:line="35"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8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7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7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3"/>
                <w:szCs w:val="23"/>
                <w:color w:val="auto"/>
              </w:rPr>
            </w:pPr>
          </w:p>
        </w:tc>
        <w:tc>
          <w:tcPr>
            <w:tcW w:w="9740" w:type="dxa"/>
            <w:vAlign w:val="bottom"/>
            <w:gridSpan w:val="8"/>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Adopted Pursuant to Section 302 of the Sarbanes-Oxley Act of 2002.</w:t>
              </w:r>
            </w:hyperlink>
          </w:p>
        </w:tc>
        <w:tc>
          <w:tcPr>
            <w:tcW w:w="436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3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4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2002.</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40" w:type="dxa"/>
            <w:vAlign w:val="bottom"/>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3200" w:hanging="5424"/>
        <w:spacing w:after="0" w:line="449" w:lineRule="auto"/>
        <w:tabs>
          <w:tab w:leader="none" w:pos="12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26</w:t>
      </w:r>
    </w:p>
    <w:p>
      <w:pPr>
        <w:sectPr>
          <w:pgSz w:w="11900" w:h="16838" w:orient="portrait"/>
          <w:cols w:equalWidth="0" w:num="1">
            <w:col w:w="10960"/>
          </w:cols>
          <w:pgMar w:left="320" w:top="486" w:right="6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26th day of November,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80"/>
          </w:cols>
          <w:pgMar w:left="320" w:top="486" w:right="11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right="10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Amendment No. 1 to the Quarterly Report on Form 10-Q for the three months ended June 30, 2021 of ArcLight Clean Transition Corp. II;</w:t>
      </w:r>
    </w:p>
    <w:p>
      <w:pPr>
        <w:spacing w:after="0" w:line="75"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264" w:val="left"/>
          <w:tab w:leader="none" w:pos="5824" w:val="left"/>
        </w:tabs>
        <w:rPr>
          <w:sz w:val="20"/>
          <w:szCs w:val="20"/>
          <w:color w:val="auto"/>
        </w:rPr>
      </w:pPr>
      <w:r>
        <w:rPr>
          <w:rFonts w:ascii="Arial" w:cs="Arial" w:eastAsia="Arial" w:hAnsi="Arial"/>
          <w:sz w:val="18"/>
          <w:szCs w:val="18"/>
          <w:color w:val="auto"/>
        </w:rPr>
        <w:t>Date: November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right="10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Amendment No. 1 to the Quarterly Report on Form 10-Q for the three months ended June 30, 2021 of ArcLight Clean Transition Corp. II;</w:t>
      </w:r>
    </w:p>
    <w:p>
      <w:pPr>
        <w:spacing w:after="0" w:line="75"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264" w:val="left"/>
          <w:tab w:leader="none" w:pos="5824" w:val="left"/>
        </w:tabs>
        <w:rPr>
          <w:sz w:val="20"/>
          <w:szCs w:val="20"/>
          <w:color w:val="auto"/>
        </w:rPr>
      </w:pPr>
      <w:r>
        <w:rPr>
          <w:rFonts w:ascii="Arial" w:cs="Arial" w:eastAsia="Arial" w:hAnsi="Arial"/>
          <w:sz w:val="18"/>
          <w:szCs w:val="18"/>
          <w:color w:val="auto"/>
        </w:rPr>
        <w:t>Date: November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In connection with Amendment No. 1 to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26,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In connection with Amendment No. 1 to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Marco F. Gatti,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26,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4"/>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2021-11-26T08:19:54Z</dcterms:created>
  <dcterms:modified xsi:type="dcterms:W3CDTF">2021-11-26T08:19:54Z</dcterms:modified>
</cp:coreProperties>
</file>