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ArcLight Clean Transition Corp. II</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200 Clarendon Street, 55th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Boston, MA 02116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May 12, 2022</w:t>
      </w:r>
    </w:p>
    <w:p>
      <w:pPr>
        <w:spacing w:after="0" w:line="225"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color w:val="auto"/>
        </w:rPr>
        <w:t>Attention:</w:t>
        <w:tab/>
        <w:t>Kevin Dougherty</w:t>
      </w:r>
    </w:p>
    <w:p>
      <w:pPr>
        <w:spacing w:after="0" w:line="23" w:lineRule="exact"/>
        <w:rPr>
          <w:sz w:val="24"/>
          <w:szCs w:val="24"/>
          <w:color w:val="auto"/>
        </w:rPr>
      </w:pPr>
    </w:p>
    <w:p>
      <w:pPr>
        <w:ind w:left="980"/>
        <w:spacing w:after="0"/>
        <w:rPr>
          <w:sz w:val="20"/>
          <w:szCs w:val="20"/>
          <w:color w:val="auto"/>
        </w:rPr>
      </w:pPr>
      <w:r>
        <w:rPr>
          <w:rFonts w:ascii="Arial" w:cs="Arial" w:eastAsia="Arial" w:hAnsi="Arial"/>
          <w:sz w:val="18"/>
          <w:szCs w:val="18"/>
          <w:color w:val="auto"/>
        </w:rPr>
        <w:t>Laura Nicholson</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Mark Wojciechowski</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John Cannarella</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45" w:right="3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3 to Registration Statement on Form S-4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May 9, 2022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333-262583</w:t>
      </w:r>
    </w:p>
    <w:p>
      <w:pPr>
        <w:spacing w:after="0" w:line="200" w:lineRule="exact"/>
        <w:rPr>
          <w:sz w:val="24"/>
          <w:szCs w:val="24"/>
          <w:color w:val="auto"/>
        </w:rPr>
      </w:pPr>
    </w:p>
    <w:p>
      <w:pPr>
        <w:sectPr>
          <w:pgSz w:w="11900" w:h="16838" w:orient="portrait"/>
          <w:cols w:equalWidth="0" w:num="2">
            <w:col w:w="920" w:space="380"/>
            <w:col w:w="9940"/>
          </w:cols>
          <w:pgMar w:left="320" w:top="445"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is the response of ArcLight Clean Transition Corp. II (“we” or the “Company”) to the comment received from the staff of the Division of Corporation Finance (the “Staff”) of the Securities and Exchange Commission (the “Commission”) by letter dated May 11, 2022, with respect to the Company’s Registration Statement on Form S-4, File No. 333-262583 (the “Registration Statement”).</w:t>
      </w:r>
    </w:p>
    <w:p>
      <w:pPr>
        <w:spacing w:after="0" w:line="184"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Concurrently with the submission of this letter, the Company is filing Amendment No. 4 to the Registration Statement on Form S-4 (the “</w:t>
      </w:r>
      <w:r>
        <w:rPr>
          <w:rFonts w:ascii="Arial" w:cs="Arial" w:eastAsia="Arial" w:hAnsi="Arial"/>
          <w:sz w:val="18"/>
          <w:szCs w:val="18"/>
          <w:b w:val="1"/>
          <w:bCs w:val="1"/>
          <w:i w:val="1"/>
          <w:iCs w:val="1"/>
          <w:color w:val="auto"/>
        </w:rPr>
        <w:t>Amendment No. 4</w:t>
      </w:r>
      <w:r>
        <w:rPr>
          <w:rFonts w:ascii="Arial" w:cs="Arial" w:eastAsia="Arial" w:hAnsi="Arial"/>
          <w:sz w:val="18"/>
          <w:szCs w:val="18"/>
          <w:color w:val="auto"/>
        </w:rPr>
        <w:t>”) in response to the Staff’s comment. Capitalized terms used but not otherwise defined herein shall have the meanings ascribed thereto in Amendment No. 4, unless otherwise specified.</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3 to Form S-4 filed May 9, 2022</w:t>
      </w:r>
    </w:p>
    <w:p>
      <w:pPr>
        <w:spacing w:after="0" w:line="225" w:lineRule="exact"/>
        <w:rPr>
          <w:sz w:val="24"/>
          <w:szCs w:val="24"/>
          <w:color w:val="auto"/>
        </w:rPr>
      </w:pPr>
    </w:p>
    <w:p>
      <w:pPr>
        <w:ind w:right="5360"/>
        <w:spacing w:after="0" w:line="277" w:lineRule="auto"/>
        <w:rPr>
          <w:sz w:val="20"/>
          <w:szCs w:val="20"/>
          <w:color w:val="auto"/>
        </w:rPr>
      </w:pPr>
      <w:r>
        <w:rPr>
          <w:rFonts w:ascii="Arial" w:cs="Arial" w:eastAsia="Arial" w:hAnsi="Arial"/>
          <w:sz w:val="18"/>
          <w:szCs w:val="18"/>
          <w:u w:val="single" w:color="auto"/>
          <w:color w:val="auto"/>
        </w:rPr>
        <w:t>Questions and Answers about the Business Combination and the Special Meeting Q. The Private Placement, page 30</w:t>
      </w:r>
    </w:p>
    <w:p>
      <w:pPr>
        <w:spacing w:after="0" w:line="170" w:lineRule="exact"/>
        <w:rPr>
          <w:sz w:val="24"/>
          <w:szCs w:val="24"/>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We note your disclosure regarding the subscription agreement with PIPE Investors, including your disclosure that the subscription agreement includes a termination right if the transaction contemplated by the subscription agreement has not been consummated by May 31, 2022. Please update the disclosure throughout your prospectus regarding the status of the subscription agreement and any amendments to the termination provision, and disclose all material risks.</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In response to the Staff’s comment, the Company has revised the disclosure on pages 14, 17, 31, 41, 42, 105, 121, 204, 205, 207, 213, 278, 279 and 283 of Amendment No. 4.</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both"/>
        <w:ind w:firstLine="648"/>
        <w:spacing w:after="0" w:line="263" w:lineRule="auto"/>
        <w:rPr>
          <w:sz w:val="20"/>
          <w:szCs w:val="20"/>
          <w:color w:val="auto"/>
        </w:rPr>
      </w:pPr>
      <w:r>
        <w:rPr>
          <w:rFonts w:ascii="Arial" w:cs="Arial" w:eastAsia="Arial" w:hAnsi="Arial"/>
          <w:sz w:val="18"/>
          <w:szCs w:val="18"/>
          <w:color w:val="auto"/>
        </w:rPr>
        <w:t>If any additional supplemental information is required by the Staff or if you have any questions regarding the foregoing, please contact Julian J. Seiguer of Kirkland &amp; Ellis LLP at (713) 836-3334 or Jennifer Wu of Kirkland &amp; Ellis LLP at (512) 678-9150 with any questions or further comments regarding the responses to the Staff’s comments.</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ARCLIGHT CLEAN TRANSITION CORP. II</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660" w:right="6860" w:hanging="652"/>
        <w:spacing w:after="0" w:line="274"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Marco F. Gatti (ArcLight Clean Transition Corp. II) Julian J. Seiguer (Kirkland &amp; Ellis LLP)</w:t>
      </w:r>
    </w:p>
    <w:p>
      <w:pPr>
        <w:ind w:left="660"/>
        <w:spacing w:after="0"/>
        <w:rPr>
          <w:rFonts w:ascii="Arial" w:cs="Arial" w:eastAsia="Arial" w:hAnsi="Arial"/>
          <w:sz w:val="17"/>
          <w:szCs w:val="17"/>
          <w:color w:val="auto"/>
        </w:rPr>
      </w:pPr>
      <w:r>
        <w:rPr>
          <w:rFonts w:ascii="Arial" w:cs="Arial" w:eastAsia="Arial" w:hAnsi="Arial"/>
          <w:sz w:val="18"/>
          <w:szCs w:val="18"/>
          <w:color w:val="auto"/>
        </w:rPr>
        <w:t>Jennifer Wu (Kirkland &amp; Ellis LLP)</w:t>
      </w:r>
    </w:p>
    <w:p>
      <w:pPr>
        <w:spacing w:after="0" w:line="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John H. Booher (Sheppard, Mullin, Richter &amp; Hampton LLP)</w:t>
      </w:r>
    </w:p>
    <w:p>
      <w:pPr>
        <w:spacing w:after="0" w:line="9"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 Allen McConnell (Sheppard,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2022-08-01T00:19:39Z</dcterms:created>
  <dcterms:modified xsi:type="dcterms:W3CDTF">2022-08-01T00:19:39Z</dcterms:modified>
</cp:coreProperties>
</file>