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ArcLight CTC Holdings II,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 55TH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01/17/2023</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01/17/2023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9,045</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6.96</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9,439,537</w:t>
            </w:r>
          </w:p>
        </w:tc>
        <w:tc>
          <w:tcPr>
            <w:tcW w:w="94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01/18/2023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2,055</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6.96</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9,437,482</w:t>
            </w:r>
          </w:p>
        </w:tc>
        <w:tc>
          <w:tcPr>
            <w:tcW w:w="94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9,437,482 shares of Class A common stock. par value $0.0001 per share, of the Issuer are held directly by ArcLight CTC Holdings,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ARCLIGHT CTC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797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HOLDINGS II, L.P.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75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ACTC HOLDINGS GP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73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ARCLIGHT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9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HOLDINGS, LLC, its</w:t>
      </w:r>
      <w:r>
        <w:rPr>
          <w:sz w:val="20"/>
          <w:szCs w:val="20"/>
          <w:color w:val="auto"/>
        </w:rPr>
        <w:tab/>
      </w: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Manager By: ACHP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52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its Managing Member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63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ACH GP, LLC, its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5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 By: /s/ Daniel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4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Revers Title: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855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2023-01-18T20:49:17Z</dcterms:created>
  <dcterms:modified xsi:type="dcterms:W3CDTF">2023-01-18T20:49:17Z</dcterms:modified>
</cp:coreProperties>
</file>