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10,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1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1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91"/>
              </w:rPr>
              <w:t>(Zip Code)</w:t>
            </w:r>
          </w:p>
        </w:tc>
      </w:tr>
    </w:tbl>
    <w:p>
      <w:pPr>
        <w:spacing w:after="0" w:line="27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7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Pr>
          <w:p>
            <w:pPr>
              <w:spacing w:after="0"/>
              <w:rPr>
                <w:sz w:val="21"/>
                <w:szCs w:val="21"/>
                <w:color w:val="auto"/>
              </w:rPr>
            </w:pPr>
          </w:p>
        </w:tc>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Trading Symbol(s)</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60" w:type="dxa"/>
            <w:vAlign w:val="bottom"/>
            <w:gridSpan w:val="3"/>
          </w:tcPr>
          <w:p>
            <w:pPr>
              <w:jc w:val="center"/>
              <w:ind w:left="130"/>
              <w:spacing w:after="0"/>
              <w:rPr>
                <w:sz w:val="20"/>
                <w:szCs w:val="20"/>
                <w:color w:val="auto"/>
              </w:rPr>
            </w:pPr>
            <w:r>
              <w:rPr>
                <w:rFonts w:ascii="Arial" w:cs="Arial" w:eastAsia="Arial" w:hAnsi="Arial"/>
                <w:sz w:val="18"/>
                <w:szCs w:val="18"/>
                <w:color w:val="auto"/>
                <w:w w:val="88"/>
              </w:rPr>
              <w:t>Class A common stock, par value $0.0001 per share</w:t>
            </w:r>
          </w:p>
        </w:tc>
        <w:tc>
          <w:tcPr>
            <w:tcW w:w="2780" w:type="dxa"/>
            <w:vAlign w:val="bottom"/>
          </w:tcPr>
          <w:p>
            <w:pPr>
              <w:ind w:left="980"/>
              <w:spacing w:after="0"/>
              <w:rPr>
                <w:sz w:val="20"/>
                <w:szCs w:val="20"/>
                <w:color w:val="auto"/>
              </w:rPr>
            </w:pPr>
            <w:r>
              <w:rPr>
                <w:rFonts w:ascii="Arial" w:cs="Arial" w:eastAsia="Arial" w:hAnsi="Arial"/>
                <w:sz w:val="18"/>
                <w:szCs w:val="18"/>
                <w:color w:val="auto"/>
              </w:rPr>
              <w:t>OPAL</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0" w:lineRule="exact"/>
        <w:rPr>
          <w:sz w:val="20"/>
          <w:szCs w:val="20"/>
          <w:color w:val="auto"/>
        </w:rPr>
      </w:pPr>
    </w:p>
    <w:p>
      <w:pPr>
        <w:spacing w:after="0" w:line="299"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On May 10,2023, OPAL Fuels Inc. (the ”Company”) issued a press release regarding its financial results for the three months ended March 31, 2023. A copy of the press release is furnished as Exhibit 99.1 hereto.</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7"/>
          <w:szCs w:val="17"/>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Additionally, to supplement the Company’s unaudited condensed consolidated financial statements presented in accordance with accounting principles generally accepted in the United States of America (“GAAP”) in Exhibit 99.1, the Company uses a non-GAAP financial measure that it calls adjusted EBITDA (“Adjusted EBITDA”). This non-GAAP Measure adjusts net income for realized and unrealized gain on interest rate swaps, net loss attributable to non-redeemable non-controlling interests, stock-based compensation expense, transaction costs and other one time non recurring charges, other non-cash charges, major maintenance for renewable power, unrealized loss (gain) for derivative instruments, non cash gain on reversal of a liability to non redeemable non-controlling interests, loss on disposal of assets, gain on redemption of Note receivable, gas in storage with forward purchase agreement and gain on equity method investments.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 w:name="page4"/>
    <w:bookmarkEnd w:id="3"/>
    <w:p>
      <w:pPr>
        <w:spacing w:after="0"/>
        <w:tabs>
          <w:tab w:leader="none" w:pos="2340" w:val="left"/>
        </w:tabs>
        <w:rPr>
          <w:sz w:val="20"/>
          <w:szCs w:val="20"/>
          <w:color w:val="auto"/>
        </w:rPr>
      </w:pPr>
      <w:r>
        <w:rPr>
          <w:rFonts w:ascii="Arial" w:cs="Arial" w:eastAsia="Arial" w:hAnsi="Arial"/>
          <w:sz w:val="18"/>
          <w:szCs w:val="18"/>
          <w:color w:val="auto"/>
        </w:rPr>
        <w:t>Exhibit Number</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6926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0119"/>
          </w:cols>
          <w:pgMar w:left="340" w:top="1151" w:right="1440" w:bottom="1440" w:gutter="0" w:footer="0" w:header="0"/>
        </w:sectPr>
      </w:pPr>
    </w:p>
    <w:p>
      <w:pPr>
        <w:spacing w:after="0" w:line="347"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issued by OPAL Fuels Inc., dated 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842010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51" w:right="1440"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May 10,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46"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 Ann Anthony</w:t>
            </w:r>
          </w:p>
        </w:tc>
      </w:tr>
      <w:tr>
        <w:trPr>
          <w:trHeight w:val="27"/>
        </w:trPr>
        <w:tc>
          <w:tcPr>
            <w:tcW w:w="7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Pr>
          <w:p>
            <w:pPr>
              <w:ind w:left="40"/>
              <w:spacing w:after="0"/>
              <w:rPr>
                <w:sz w:val="20"/>
                <w:szCs w:val="20"/>
                <w:color w:val="auto"/>
              </w:rPr>
            </w:pPr>
            <w:r>
              <w:rPr>
                <w:rFonts w:ascii="Arial" w:cs="Arial" w:eastAsia="Arial" w:hAnsi="Arial"/>
                <w:sz w:val="18"/>
                <w:szCs w:val="18"/>
                <w:color w:val="auto"/>
              </w:rPr>
              <w:t>Ann Anthony</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336"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OPAL Fuels Reports First Quarter 2023 Results</w:t>
      </w: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 xml:space="preserve">WHITE PLAINS, N.Y. – (May 10, 2023) – </w:t>
      </w:r>
      <w:r>
        <w:rPr>
          <w:rFonts w:ascii="Arial" w:cs="Arial" w:eastAsia="Arial" w:hAnsi="Arial"/>
          <w:sz w:val="22"/>
          <w:szCs w:val="22"/>
          <w:u w:val="single" w:color="auto"/>
          <w:color w:val="0000FF"/>
        </w:rPr>
        <w:t>OPAL Fuels Inc.</w:t>
      </w:r>
      <w:r>
        <w:rPr>
          <w:rFonts w:ascii="Arial" w:cs="Arial" w:eastAsia="Arial" w:hAnsi="Arial"/>
          <w:sz w:val="22"/>
          <w:szCs w:val="22"/>
          <w:color w:val="auto"/>
        </w:rPr>
        <w:t xml:space="preserve"> (“OPAL Fuels” or the “Company”) (Nasdaq: OPAL), ), a leading vertically integrated producer and distributor of renewable natural gas (RNG) and renewable electricity, today announced financial and operating results for the three months ended March 31, 2023.</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“First quarter results reflect the continued progress we’ve been making on our strategic priorities,” said OPAL Fuels Co-CEO Adam Comora. “Performance at our RNG facilities met our expectations and is in-line with our full-year 2023 outlook. Having recently signed additional gas rights agreements, and with development projects moving forward, our Advanced Development Pipeline (“ADP”) continues to grow and mature. We are encouraged by this progress as we continue to win new business, setting the stage for strong growth in 2024 and beyond.</w:t>
      </w:r>
    </w:p>
    <w:p>
      <w:pPr>
        <w:spacing w:after="0" w:line="23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“First quarter results reflect the impact of lower environmental credit pricing compared to last year, and our related decision to defer monetizing the majority of our RIN inventory. We are encouraged by the recent improvements in environmental credit pricing and look forward to the EPA finalizing its renewable fuel standards rules, which is due in June.”</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continue to execute on our growth plans,” said OPAL Fuels Co-CEO Jonathan Maurer. “During the first quarter, our ADP increased to 9.3 million MMBtu of feedstock biogas from 8.3 million MMBtu at year end, including progress associated with recently executed gas rights at landfill sites in Illinois and Florida. This progress gives us confidence that we are on track to meet our target of placing at least 2 million MMBtu of RNG projects into construction in 2023.</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In addition to the projects in our ADP, we continue to see an increase in prospective opportunities for new RNG and renewable electric projects, as well as for our existing renewable power portfolio, with the potential of the proposed eRIN pathway.</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“Overall, while environmental credit market prices are lower relative to last year, the industry continues to benefit from increasing demand for RNG across end markets. We believe the tailwinds for RNG will be increasingly recognized by the market. We remain focused on creating long-term intrinsic value for our stakeholders by delivering on our growth plans.”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4"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Reflects OPAL Fuels proportional ownership with respect to RNG projects owned with joint venture partners.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95" w:lineRule="exact"/>
        <w:rPr>
          <w:rFonts w:ascii="Arial" w:cs="Arial" w:eastAsia="Arial" w:hAnsi="Arial"/>
          <w:sz w:val="23"/>
          <w:szCs w:val="23"/>
          <w:color w:val="auto"/>
          <w:vertAlign w:val="superscript"/>
        </w:rPr>
      </w:pPr>
    </w:p>
    <w:p>
      <w:pPr>
        <w:ind w:left="5580"/>
        <w:spacing w:after="0"/>
        <w:rPr>
          <w:rFonts w:ascii="Arial" w:cs="Arial" w:eastAsia="Arial" w:hAnsi="Arial"/>
          <w:sz w:val="23"/>
          <w:szCs w:val="23"/>
          <w:color w:val="auto"/>
          <w:vertAlign w:val="superscript"/>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226" w:lineRule="exact"/>
        <w:rPr>
          <w:sz w:val="20"/>
          <w:szCs w:val="20"/>
          <w:color w:val="auto"/>
        </w:rPr>
      </w:pPr>
    </w:p>
    <w:p>
      <w:pPr>
        <w:ind w:left="660" w:right="340" w:hanging="328"/>
        <w:spacing w:after="0" w:line="25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Revenues for the three months ended March 31, 2023, were $43.0 million, down 12%, compared to to the same period last year.</w:t>
      </w:r>
    </w:p>
    <w:p>
      <w:pPr>
        <w:spacing w:after="0" w:line="188"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loss for the three months ended March 31, 2023, was $7.3 million compared to $4.5 million in the same period last year.</w:t>
      </w:r>
    </w:p>
    <w:p>
      <w:pPr>
        <w:spacing w:after="0" w:line="185"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Basic and diluted loss per share attributable to Class A common shareholders for the three months ended March 31, 2023 was $0.06.</w:t>
      </w:r>
    </w:p>
    <w:p>
      <w:pPr>
        <w:spacing w:after="0" w:line="191" w:lineRule="exact"/>
        <w:rPr>
          <w:rFonts w:ascii="Arial" w:cs="Arial" w:eastAsia="Arial" w:hAnsi="Arial"/>
          <w:sz w:val="22"/>
          <w:szCs w:val="22"/>
          <w:color w:val="auto"/>
        </w:rPr>
      </w:pPr>
    </w:p>
    <w:p>
      <w:pPr>
        <w:ind w:left="660" w:right="120" w:hanging="328"/>
        <w:spacing w:after="0" w:line="219"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Adjusted EBITDA</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three months ended March 31, 2023, was $8.7 million, up 112% compared to the same period last year.</w:t>
      </w:r>
    </w:p>
    <w:p>
      <w:pPr>
        <w:spacing w:after="0" w:line="200" w:lineRule="exact"/>
        <w:rPr>
          <w:sz w:val="20"/>
          <w:szCs w:val="20"/>
          <w:color w:val="auto"/>
        </w:rPr>
      </w:pPr>
    </w:p>
    <w:p>
      <w:pPr>
        <w:spacing w:after="0" w:line="25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Consistent with previous disclosures, to better align current period costs of RNG production with the associated value of RNG pending certification, we include in Adjusted EBITDA our RNG pending certification marked at quarter-end index prices. Given our decision to defer monetizing the majority of our environmental credit inventory, we are also including unsold credit inventory for the current period in Adjusted EBITDA marking the inventory at quarter-end index prices.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Highlights</w:t>
      </w:r>
    </w:p>
    <w:p>
      <w:pPr>
        <w:spacing w:after="0" w:line="226" w:lineRule="exact"/>
        <w:rPr>
          <w:sz w:val="20"/>
          <w:szCs w:val="20"/>
          <w:color w:val="auto"/>
        </w:rPr>
      </w:pPr>
    </w:p>
    <w:p>
      <w:pPr>
        <w:ind w:left="660" w:hanging="328"/>
        <w:spacing w:after="0" w:line="232"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RNG produced was 0.6 million MMBtu, for the three months ended March 31, 2023, up 50%, compared to the prior-year period.</w:t>
      </w:r>
    </w:p>
    <w:p>
      <w:pPr>
        <w:spacing w:after="0" w:line="185"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RNG sold as transportation fuel was 8.3 million GGEs for the three months ended March 31, 2023, up 36% compared to the prior-year period.</w:t>
      </w:r>
    </w:p>
    <w:p>
      <w:pPr>
        <w:spacing w:after="0" w:line="212" w:lineRule="exact"/>
        <w:rPr>
          <w:rFonts w:ascii="Arial" w:cs="Arial" w:eastAsia="Arial" w:hAnsi="Arial"/>
          <w:sz w:val="22"/>
          <w:szCs w:val="22"/>
          <w:color w:val="auto"/>
        </w:rPr>
      </w:pPr>
    </w:p>
    <w:p>
      <w:pPr>
        <w:ind w:left="660" w:hanging="328"/>
        <w:spacing w:after="0" w:line="287" w:lineRule="auto"/>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Fuel Station Services segment sold, dispensed, and serviced an aggregate of 32.4 million GGEs of transportation fuel for the three months ended March 31, 2023, a 27% increase compared to the prior-year period.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Construction Update</w:t>
      </w:r>
    </w:p>
    <w:p>
      <w:pPr>
        <w:spacing w:after="0" w:line="22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Emerald RNG project remains on track to commence commercial operations in the next few months.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Prince William RNG project is expected to commence commercial operations in the fourth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right="40"/>
        <w:spacing w:after="0" w:line="207" w:lineRule="auto"/>
        <w:rPr>
          <w:sz w:val="20"/>
          <w:szCs w:val="20"/>
          <w:color w:val="auto"/>
        </w:rPr>
      </w:pPr>
      <w:r>
        <w:rPr>
          <w:rFonts w:ascii="Arial" w:cs="Arial" w:eastAsia="Arial" w:hAnsi="Arial"/>
          <w:sz w:val="28"/>
          <w:szCs w:val="28"/>
          <w:color w:val="FFFFFF"/>
          <w:vertAlign w:val="superscript"/>
        </w:rPr>
        <w:t>1</w:t>
      </w:r>
      <w:r>
        <w:rPr>
          <w:rFonts w:ascii="Arial" w:cs="Arial" w:eastAsia="Arial" w:hAnsi="Arial"/>
          <w:sz w:val="28"/>
          <w:szCs w:val="28"/>
          <w:color w:val="auto"/>
          <w:vertAlign w:val="superscript"/>
        </w:rPr>
        <w:t>2</w:t>
      </w:r>
      <w:r>
        <w:rPr>
          <w:rFonts w:ascii="Arial" w:cs="Arial" w:eastAsia="Arial" w:hAnsi="Arial"/>
          <w:sz w:val="18"/>
          <w:szCs w:val="18"/>
          <w:color w:val="auto"/>
        </w:rPr>
        <w:t xml:space="preserve"> Adjusted EBITDA is a non-GAAP measure. A reconciliation of GAAP Net (Loss) Income to Adjusted EBITDA has been provided in the financial tables included in this press release. An explanation of this measure and how it is calculated is also included below under the heading “Non-GAAP Financial Measures."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7" w:name="page8"/>
    <w:bookmarkEnd w:id="7"/>
    <w:p>
      <w:pPr>
        <w:ind w:left="660" w:hanging="328"/>
        <w:spacing w:after="0" w:line="250"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Sapphire RNG project is now expected to commence commercial operations in the first half of 2024 due to permitting delays.</w:t>
      </w:r>
    </w:p>
    <w:p>
      <w:pPr>
        <w:spacing w:after="0" w:line="201"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Our two dairy projects in California and our Northeast landfill project are anticipated to be commissioned in the second half of 2024.</w:t>
      </w:r>
    </w:p>
    <w:p>
      <w:pPr>
        <w:spacing w:after="0" w:line="194" w:lineRule="exact"/>
        <w:rPr>
          <w:rFonts w:ascii="Arial" w:cs="Arial" w:eastAsia="Arial" w:hAnsi="Arial"/>
          <w:sz w:val="22"/>
          <w:szCs w:val="22"/>
          <w:color w:val="auto"/>
        </w:rPr>
      </w:pPr>
    </w:p>
    <w:p>
      <w:pPr>
        <w:ind w:left="660" w:hanging="328"/>
        <w:spacing w:after="0" w:line="227"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OPAL Fuels’ share of annual nameplate capacity</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for the six projects in construction is approximately 4.7 million MMBtu, including 4.2 million MMBtu of landfill projects and 0.5 MMBtu of dairy projects.</w:t>
      </w:r>
      <w:r>
        <w:rPr>
          <w:rFonts w:ascii="Arial" w:cs="Arial" w:eastAsia="Arial" w:hAnsi="Arial"/>
          <w:sz w:val="28"/>
          <w:szCs w:val="28"/>
          <w:color w:val="auto"/>
          <w:vertAlign w:val="superscript"/>
        </w:rPr>
        <w:t>4</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Development Update</w:t>
      </w:r>
    </w:p>
    <w:p>
      <w:pPr>
        <w:spacing w:after="0" w:line="239" w:lineRule="exact"/>
        <w:rPr>
          <w:sz w:val="20"/>
          <w:szCs w:val="20"/>
          <w:color w:val="auto"/>
        </w:rPr>
      </w:pPr>
    </w:p>
    <w:p>
      <w:pPr>
        <w:ind w:left="660" w:hanging="328"/>
        <w:spacing w:after="0" w:line="215"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We are on track to place at least 2 million MMBtu</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of RNG projects (representing OPAL Fuels' proportional ownership) into construction in 2023.</w:t>
      </w:r>
    </w:p>
    <w:p>
      <w:pPr>
        <w:spacing w:after="0" w:line="213" w:lineRule="exact"/>
        <w:rPr>
          <w:rFonts w:ascii="Arial" w:cs="Arial" w:eastAsia="Arial" w:hAnsi="Arial"/>
          <w:sz w:val="22"/>
          <w:szCs w:val="22"/>
          <w:color w:val="auto"/>
        </w:rPr>
      </w:pPr>
    </w:p>
    <w:p>
      <w:pPr>
        <w:ind w:left="660" w:hanging="328"/>
        <w:spacing w:after="0" w:line="260"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Our Advanced Development Pipeline comprises 9.4 million MMBtu of feedstock biogas per year, compared to 8.3 million MMBtu at year-end.</w:t>
      </w:r>
      <w:r>
        <w:rPr>
          <w:rFonts w:ascii="Arial" w:cs="Arial" w:eastAsia="Arial" w:hAnsi="Arial"/>
          <w:sz w:val="28"/>
          <w:szCs w:val="28"/>
          <w:color w:val="auto"/>
          <w:vertAlign w:val="superscript"/>
        </w:rPr>
        <w:t>5</w:t>
      </w:r>
    </w:p>
    <w:p>
      <w:pPr>
        <w:spacing w:after="0" w:line="119" w:lineRule="exact"/>
        <w:rPr>
          <w:rFonts w:ascii="Arial" w:cs="Arial" w:eastAsia="Arial" w:hAnsi="Arial"/>
          <w:sz w:val="22"/>
          <w:szCs w:val="22"/>
          <w:color w:val="auto"/>
        </w:rPr>
      </w:pPr>
    </w:p>
    <w:p>
      <w:pPr>
        <w:ind w:left="660" w:hanging="328"/>
        <w:spacing w:after="0" w:line="287" w:lineRule="auto"/>
        <w:tabs>
          <w:tab w:leader="none" w:pos="660" w:val="left"/>
        </w:tabs>
        <w:numPr>
          <w:ilvl w:val="0"/>
          <w:numId w:val="7"/>
        </w:numPr>
        <w:rPr>
          <w:rFonts w:ascii="Arial" w:cs="Arial" w:eastAsia="Arial" w:hAnsi="Arial"/>
          <w:sz w:val="21"/>
          <w:szCs w:val="21"/>
          <w:color w:val="auto"/>
        </w:rPr>
      </w:pPr>
      <w:r>
        <w:rPr>
          <w:rFonts w:ascii="Arial" w:cs="Arial" w:eastAsia="Arial" w:hAnsi="Arial"/>
          <w:sz w:val="21"/>
          <w:szCs w:val="21"/>
          <w:color w:val="auto"/>
        </w:rPr>
        <w:t>OPAL Fuels recently entered into gas rights agreements for two landfill RNG projects, one with a municipality in Polk County, Florida and the other with WM in Illinois. These projects are 100% owned by OPAL Fuels.</w:t>
      </w:r>
    </w:p>
    <w:p>
      <w:pPr>
        <w:spacing w:after="0" w:line="178" w:lineRule="exact"/>
        <w:rPr>
          <w:rFonts w:ascii="Arial" w:cs="Arial" w:eastAsia="Arial" w:hAnsi="Arial"/>
          <w:sz w:val="21"/>
          <w:szCs w:val="21"/>
          <w:color w:val="auto"/>
        </w:rPr>
      </w:pPr>
    </w:p>
    <w:p>
      <w:pPr>
        <w:ind w:left="660" w:hanging="328"/>
        <w:spacing w:after="0" w:line="256"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Polk County project is anticipated to have nameplate capacity</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of approximately 1.1 million annual MMBtu, with start of construction expected next month and commencement of operations anticipated in the second half of 2024.</w:t>
      </w:r>
    </w:p>
    <w:p>
      <w:pPr>
        <w:spacing w:after="0" w:line="197" w:lineRule="exact"/>
        <w:rPr>
          <w:rFonts w:ascii="Arial" w:cs="Arial" w:eastAsia="Arial" w:hAnsi="Arial"/>
          <w:sz w:val="20"/>
          <w:szCs w:val="20"/>
          <w:color w:val="auto"/>
        </w:rPr>
      </w:pPr>
    </w:p>
    <w:p>
      <w:pPr>
        <w:ind w:left="660" w:hanging="328"/>
        <w:spacing w:after="0" w:line="224"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WM project is anticipated to have nameplate capacity</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of 600,000 to 700,000 annual MMBtu, with start of construction expected in the second half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w:t>
      </w:r>
    </w:p>
    <w:p>
      <w:pPr>
        <w:spacing w:after="0" w:line="233" w:lineRule="exact"/>
        <w:rPr>
          <w:sz w:val="20"/>
          <w:szCs w:val="20"/>
          <w:color w:val="auto"/>
        </w:rPr>
      </w:pPr>
    </w:p>
    <w:p>
      <w:pPr>
        <w:ind w:firstLine="8"/>
        <w:spacing w:after="0" w:line="231" w:lineRule="auto"/>
        <w:tabs>
          <w:tab w:leader="none" w:pos="104"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Nameplate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182"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Represents OPAL Fuels proportional share with respect to RNG projects owned with joint venture partners.</w:t>
      </w:r>
    </w:p>
    <w:p>
      <w:pPr>
        <w:spacing w:after="0" w:line="256" w:lineRule="exact"/>
        <w:rPr>
          <w:sz w:val="20"/>
          <w:szCs w:val="20"/>
          <w:color w:val="auto"/>
        </w:rPr>
      </w:pPr>
    </w:p>
    <w:p>
      <w:pPr>
        <w:jc w:val="both"/>
        <w:ind w:firstLine="8"/>
        <w:spacing w:after="0" w:line="217" w:lineRule="auto"/>
        <w:tabs>
          <w:tab w:leader="none" w:pos="126" w:val="left"/>
        </w:tabs>
        <w:numPr>
          <w:ilvl w:val="0"/>
          <w:numId w:val="10"/>
        </w:numPr>
        <w:rPr>
          <w:rFonts w:ascii="Arial" w:cs="Arial" w:eastAsia="Arial" w:hAnsi="Arial"/>
          <w:sz w:val="27"/>
          <w:szCs w:val="27"/>
          <w:color w:val="auto"/>
          <w:vertAlign w:val="superscript"/>
        </w:rPr>
      </w:pPr>
      <w:r>
        <w:rPr>
          <w:rFonts w:ascii="Arial" w:cs="Arial" w:eastAsia="Arial" w:hAnsi="Arial"/>
          <w:sz w:val="17"/>
          <w:szCs w:val="17"/>
          <w:color w:val="auto"/>
        </w:rPr>
        <w:t>The Company's Advanced Development Pipeline comprises projects that have been qualified and are reasonably expected to be in construction within the next twelve to eighteen months. The MMBtu associated with these projects is presented as available biogas resource and assumes a conversion ratio of 90% for output gas. The Advanced Development Pipeline excludes the five dairy projects referenced above.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FFFFFF"/>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4"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54"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thousands of dollars)</w:t>
            </w:r>
          </w:p>
        </w:tc>
        <w:tc>
          <w:tcPr>
            <w:tcW w:w="24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2"/>
              </w:rPr>
              <w:t>Three Months Ended March 31,</w:t>
            </w:r>
          </w:p>
        </w:tc>
      </w:tr>
      <w:tr>
        <w:trPr>
          <w:trHeight w:val="230"/>
        </w:trPr>
        <w:tc>
          <w:tcPr>
            <w:tcW w:w="7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7280" w:type="dxa"/>
            <w:vAlign w:val="bottom"/>
          </w:tcPr>
          <w:p>
            <w:pPr>
              <w:ind w:left="180"/>
              <w:spacing w:after="0"/>
              <w:rPr>
                <w:sz w:val="20"/>
                <w:szCs w:val="20"/>
                <w:color w:val="auto"/>
              </w:rPr>
            </w:pPr>
            <w:r>
              <w:rPr>
                <w:rFonts w:ascii="Arial" w:cs="Arial" w:eastAsia="Arial" w:hAnsi="Arial"/>
                <w:sz w:val="18"/>
                <w:szCs w:val="18"/>
                <w:color w:val="auto"/>
              </w:rPr>
              <w:t>RNG Fuel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12,194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15,049</w:t>
            </w:r>
          </w:p>
        </w:tc>
      </w:tr>
      <w:tr>
        <w:trPr>
          <w:trHeight w:val="317"/>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Station Services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24,874</w:t>
            </w:r>
          </w:p>
        </w:tc>
      </w:tr>
      <w:tr>
        <w:trPr>
          <w:trHeight w:val="243"/>
        </w:trPr>
        <w:tc>
          <w:tcPr>
            <w:tcW w:w="7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Renewable Power</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r>
      <w:tr>
        <w:trPr>
          <w:trHeight w:val="257"/>
        </w:trPr>
        <w:tc>
          <w:tcPr>
            <w:tcW w:w="7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r>
      <w:tr>
        <w:trPr>
          <w:trHeight w:val="257"/>
        </w:trPr>
        <w:tc>
          <w:tcPr>
            <w:tcW w:w="7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RNG Fuel volume produced (Million MMBtus)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RNG Fuel volume sold (Million GGEs)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volume delivered (Million GGEs)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bl>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Revenues for the three months ended March 31, 2023, were $43.0 million, a decrease of 12%, or $6.1 million, compared to $49.0 million in the prior-year period. The primary driver for the decrease in revenues was the Company's decision to defer RIN sales at current market prices.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Net loss for the three months ended March 31, 2023, was $7.3 million compared to $4.5 million in the prior-year period.</w:t>
      </w:r>
    </w:p>
    <w:p>
      <w:pPr>
        <w:spacing w:after="0" w:line="258"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Adjusted EBITDA for the three months ended March 31, 2023, was $8.7 million compared to $4.1 million in the prior-year period. The primary driver for the increase in Adjusted EBITDA is the Company's higher production of RNG.</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RNG Pending Certification and Unsold Environmental Credits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At March 31, 2023, the Company had produced RNG that was pending certification for generation of environmental credits. Upon completion of certification, this RNG is anticipated to generate approximately 5.9 million RINs and 0.1 million LCFS credits.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At March 31, 2023, the Company had unsold environmental credits including approximately 5.1 million RINs, reflecting its decision to defer monetizing these environmental credits given market conditions.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Under generally accepted accounting principles (“GAAP”), the timing of revenue recognition for stand-alone RIN and LCFS sales contracts is tied to the delivery of the RIN and LCFS credits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36" w:lineRule="auto"/>
        <w:rPr>
          <w:sz w:val="20"/>
          <w:szCs w:val="20"/>
          <w:color w:val="auto"/>
        </w:rPr>
      </w:pPr>
      <w:r>
        <w:rPr>
          <w:rFonts w:ascii="Arial" w:cs="Arial" w:eastAsia="Arial" w:hAnsi="Arial"/>
          <w:sz w:val="22"/>
          <w:szCs w:val="22"/>
          <w:color w:val="auto"/>
        </w:rPr>
        <w:t>our counterparties and not the production of the RIN and LCFS. To better align timing of revenues to when costs are recognized for the production of RNG in a current period, we also illustrate the value of that RNG and environmental credits held in inventory as an adjustment to EBITDA in that period. For the first quarter of 2023, based on market prices as of March 31, 2023</w:t>
      </w:r>
      <w:r>
        <w:rPr>
          <w:rFonts w:ascii="Arial" w:cs="Arial" w:eastAsia="Arial" w:hAnsi="Arial"/>
          <w:sz w:val="28"/>
          <w:szCs w:val="28"/>
          <w:color w:val="auto"/>
          <w:vertAlign w:val="superscript"/>
        </w:rPr>
        <w:t>7</w:t>
      </w:r>
      <w:r>
        <w:rPr>
          <w:rFonts w:ascii="Arial" w:cs="Arial" w:eastAsia="Arial" w:hAnsi="Arial"/>
          <w:sz w:val="22"/>
          <w:szCs w:val="22"/>
          <w:color w:val="auto"/>
        </w:rPr>
        <w:t>, Adjusted EBITDA includes an aggregate of $10.3 million that is anticipated to be generated from sales of RNG pending certification and unsold environmental credits.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Revenues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RNG Fuel</w:t>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Revenue from RNG Fuel was $12.2 million, a decrease of $2.9 million, or 19%, for the three months ended March 31, 2023, compared to the three months ended March 31, 2022. The decrease is primarily due to a decrease in sales volume and lower pricing attained for environmental credits as the Company elected to defer sales of credits in the quarter. Additionally, there was a decrease in brown gas revenues due to lower market pricing.</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Fuel Station Services</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Revenue from Fuel Station Services was $20.8 million a decrease of $4.0 million, or 16%, for the first quarter of 2023 compared to the three months ended March 31, 2022. This was primarily attributable to the timing of work completed on fuel station construction projects and the associated RNG pending certification and unsold environmental credits. At March 31, 2023, the Company had a backlog of third-party construction contracts with related revenue of $59.5 million, which is anticipated to be recognized in the next 12 months as construction is completed.</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It should be noted that with our reclassification of the Fuel Station Services business segment such that it now includes both fuel sales contracts at OPAL Fuels-owned stations and RNG marketing revenues associated with dispensing RNG, Fuel Station Services revenues and EBITDA were also impacted by the decision to defer monetization of environmental credits in the first quarter.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Renewable Power</w:t>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Revenue from Renewable Power was $9.9 million, $0.8 million higher for the three months ended March 31, 2023, compared to the first quarter 2022.</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March 31, 2023, liquidity was $181.8 million, consisting of cash and cash equivalents of $39.8 million including restricted cash of $6.6 million, $37.0 million in short-term investments maturing within 90 days, and availability of $105 million senior secured credit facilities.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186"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28"/>
          <w:szCs w:val="28"/>
          <w:color w:val="auto"/>
          <w:vertAlign w:val="superscript"/>
        </w:rPr>
      </w:pPr>
      <w:r>
        <w:rPr>
          <w:rFonts w:ascii="Arial" w:cs="Arial" w:eastAsia="Arial" w:hAnsi="Arial"/>
          <w:sz w:val="22"/>
          <w:szCs w:val="22"/>
          <w:color w:val="auto"/>
        </w:rPr>
        <w:t>Using quarter end pricing of $1.95/gallon for D3 RINs and $70.0 per LCFS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8" w:right="339" w:bottom="1440" w:gutter="0" w:footer="0" w:header="0"/>
        </w:sectPr>
      </w:pPr>
    </w:p>
    <w:bookmarkStart w:id="10" w:name="page11"/>
    <w:bookmarkEnd w:id="10"/>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believe that our liquidity, anticipated cash flows from operations, and access to expected sources of capital will be sufficient to meet our existing funding needs.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Expenditures</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During the first quarter of 2023, OPAL Fuels invested $38.8 million across five RNG projects and 22 OPAL Fuels owned fueling stations in construction as compared to $22.5 million as of the comparable period in 2022.</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Call</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A webcast to review OPAL Fuels’ First Quarter 2023 results is being held tomorrow, May 11, 2023 at 11:00AM Eastern Time.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Materials to be discussed in the webcast will be available before the call on the Company's website.</w:t>
      </w:r>
    </w:p>
    <w:p>
      <w:pPr>
        <w:spacing w:after="0" w:line="233"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 xml:space="preserve">Participants may access the call at </w:t>
      </w:r>
      <w:r>
        <w:rPr>
          <w:rFonts w:ascii="Arial" w:cs="Arial" w:eastAsia="Arial" w:hAnsi="Arial"/>
          <w:sz w:val="19"/>
          <w:szCs w:val="19"/>
          <w:color w:val="0E32E1"/>
        </w:rPr>
        <w:t>https://edge.media-server.com/mmc/p/qbsqnkux</w:t>
      </w:r>
      <w:r>
        <w:rPr>
          <w:rFonts w:ascii="Arial" w:cs="Arial" w:eastAsia="Arial" w:hAnsi="Arial"/>
          <w:sz w:val="19"/>
          <w:szCs w:val="19"/>
          <w:color w:val="auto"/>
        </w:rPr>
        <w:t xml:space="preserve">. Investors can also listen to a webcast of the presentation on the company’s Investor Relations website at </w:t>
      </w:r>
      <w:r>
        <w:rPr>
          <w:rFonts w:ascii="Arial" w:cs="Arial" w:eastAsia="Arial" w:hAnsi="Arial"/>
          <w:sz w:val="19"/>
          <w:szCs w:val="19"/>
          <w:color w:val="0E32E1"/>
        </w:rPr>
        <w:t>https://investors.opalfuels.com/news-events/events-presentations.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Glossary of terms</w:t>
      </w:r>
    </w:p>
    <w:p>
      <w:pPr>
        <w:spacing w:after="0" w:line="307" w:lineRule="exact"/>
        <w:rPr>
          <w:sz w:val="20"/>
          <w:szCs w:val="20"/>
          <w:color w:val="auto"/>
        </w:rPr>
      </w:pPr>
    </w:p>
    <w:p>
      <w:pPr>
        <w:jc w:val="both"/>
        <w:spacing w:after="0" w:line="254" w:lineRule="auto"/>
        <w:rPr>
          <w:sz w:val="20"/>
          <w:szCs w:val="20"/>
          <w:color w:val="auto"/>
        </w:rPr>
      </w:pPr>
      <w:r>
        <w:rPr>
          <w:rFonts w:ascii="Arial" w:cs="Arial" w:eastAsia="Arial" w:hAnsi="Arial"/>
          <w:sz w:val="22"/>
          <w:szCs w:val="22"/>
          <w:i w:val="1"/>
          <w:iCs w:val="1"/>
          <w:color w:val="auto"/>
        </w:rPr>
        <w:t xml:space="preserve">“Environmental Attributes” </w:t>
      </w:r>
      <w:r>
        <w:rPr>
          <w:rFonts w:ascii="Arial" w:cs="Arial" w:eastAsia="Arial" w:hAnsi="Arial"/>
          <w:sz w:val="22"/>
          <w:szCs w:val="22"/>
          <w:color w:val="auto"/>
        </w:rPr>
        <w:t>refer to federal, state, and local government incentives in the United States, provided in the form of</w:t>
      </w:r>
      <w:r>
        <w:rPr>
          <w:rFonts w:ascii="Arial" w:cs="Arial" w:eastAsia="Arial" w:hAnsi="Arial"/>
          <w:sz w:val="22"/>
          <w:szCs w:val="22"/>
          <w:i w:val="1"/>
          <w:iCs w:val="1"/>
          <w:color w:val="auto"/>
        </w:rPr>
        <w:t xml:space="preserve"> </w:t>
      </w:r>
      <w:r>
        <w:rPr>
          <w:rFonts w:ascii="Arial" w:cs="Arial" w:eastAsia="Arial" w:hAnsi="Arial"/>
          <w:sz w:val="22"/>
          <w:szCs w:val="22"/>
          <w:color w:val="auto"/>
        </w:rPr>
        <w:t>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 xml:space="preserve">“GGE” </w:t>
      </w:r>
      <w:r>
        <w:rPr>
          <w:rFonts w:ascii="Arial" w:cs="Arial" w:eastAsia="Arial" w:hAnsi="Arial"/>
          <w:sz w:val="22"/>
          <w:szCs w:val="22"/>
          <w:color w:val="auto"/>
        </w:rPr>
        <w:t>refers to Gasoline gallon equivalent. It is used to measure the total volume of RNG production that OPAL Fuels expects</w:t>
      </w:r>
      <w:r>
        <w:rPr>
          <w:rFonts w:ascii="Arial" w:cs="Arial" w:eastAsia="Arial" w:hAnsi="Arial"/>
          <w:sz w:val="22"/>
          <w:szCs w:val="22"/>
          <w:i w:val="1"/>
          <w:iCs w:val="1"/>
          <w:color w:val="auto"/>
        </w:rPr>
        <w:t xml:space="preserve"> </w:t>
      </w:r>
      <w:r>
        <w:rPr>
          <w:rFonts w:ascii="Arial" w:cs="Arial" w:eastAsia="Arial" w:hAnsi="Arial"/>
          <w:sz w:val="22"/>
          <w:szCs w:val="22"/>
          <w:color w:val="auto"/>
        </w:rPr>
        <w:t>to dispense each year. The conversion ratio is 1MMBtu equal to 7.74 GGE.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“LFG” </w:t>
      </w:r>
      <w:r>
        <w:rPr>
          <w:rFonts w:ascii="Arial" w:cs="Arial" w:eastAsia="Arial" w:hAnsi="Arial"/>
          <w:sz w:val="22"/>
          <w:szCs w:val="22"/>
          <w:color w:val="auto"/>
        </w:rPr>
        <w:t>refers to landfill gas.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“MMBtu” </w:t>
      </w:r>
      <w:r>
        <w:rPr>
          <w:rFonts w:ascii="Arial" w:cs="Arial" w:eastAsia="Arial" w:hAnsi="Arial"/>
          <w:sz w:val="22"/>
          <w:szCs w:val="22"/>
          <w:color w:val="auto"/>
        </w:rPr>
        <w:t>refers to British thermal units.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“Renewable Power” </w:t>
      </w:r>
      <w:r>
        <w:rPr>
          <w:rFonts w:ascii="Arial" w:cs="Arial" w:eastAsia="Arial" w:hAnsi="Arial"/>
          <w:sz w:val="22"/>
          <w:szCs w:val="22"/>
          <w:color w:val="auto"/>
        </w:rPr>
        <w:t>refers to electricity generated from renewable sources.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“RNG” </w:t>
      </w:r>
      <w:r>
        <w:rPr>
          <w:rFonts w:ascii="Arial" w:cs="Arial" w:eastAsia="Arial" w:hAnsi="Arial"/>
          <w:sz w:val="22"/>
          <w:szCs w:val="22"/>
          <w:color w:val="auto"/>
        </w:rPr>
        <w:t>refers to renewable natural gas.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“D3” </w:t>
      </w:r>
      <w:r>
        <w:rPr>
          <w:rFonts w:ascii="Arial" w:cs="Arial" w:eastAsia="Arial" w:hAnsi="Arial"/>
          <w:sz w:val="22"/>
          <w:szCs w:val="22"/>
          <w:color w:val="auto"/>
        </w:rPr>
        <w:t>refers to cellulosic biofuel with a 60% GHG reduction requirement.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“RIN” </w:t>
      </w:r>
      <w:r>
        <w:rPr>
          <w:rFonts w:ascii="Arial" w:cs="Arial" w:eastAsia="Arial" w:hAnsi="Arial"/>
          <w:sz w:val="22"/>
          <w:szCs w:val="22"/>
          <w:color w:val="auto"/>
        </w:rPr>
        <w:t>refers to Renewal Identification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i w:val="1"/>
          <w:iCs w:val="1"/>
          <w:color w:val="auto"/>
        </w:rPr>
        <w:t xml:space="preserve">“EPA” </w:t>
      </w:r>
      <w:r>
        <w:rPr>
          <w:rFonts w:ascii="Arial" w:cs="Arial" w:eastAsia="Arial" w:hAnsi="Arial"/>
          <w:sz w:val="22"/>
          <w:szCs w:val="22"/>
          <w:color w:val="auto"/>
        </w:rPr>
        <w:t>refers to Environmental Protection Agency.</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OPAL Fuels Inc.</w:t>
      </w:r>
    </w:p>
    <w:p>
      <w:pPr>
        <w:spacing w:after="0" w:line="1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0563C1"/>
        </w:rPr>
        <w:t xml:space="preserve">OPAL Fuels Inc. (Nasdaq: OPAL) </w:t>
      </w:r>
      <w:r>
        <w:rPr>
          <w:rFonts w:ascii="Arial" w:cs="Arial" w:eastAsia="Arial" w:hAnsi="Arial"/>
          <w:sz w:val="21"/>
          <w:szCs w:val="21"/>
          <w:color w:val="212121"/>
        </w:rPr>
        <w:t>is a leading vertically integrated producer and distributor of renewable electricity and</w:t>
      </w:r>
      <w:r>
        <w:rPr>
          <w:rFonts w:ascii="Arial" w:cs="Arial" w:eastAsia="Arial" w:hAnsi="Arial"/>
          <w:sz w:val="21"/>
          <w:szCs w:val="21"/>
          <w:color w:val="0563C1"/>
        </w:rPr>
        <w:t xml:space="preserve"> </w:t>
      </w:r>
      <w:r>
        <w:rPr>
          <w:rFonts w:ascii="Arial" w:cs="Arial" w:eastAsia="Arial" w:hAnsi="Arial"/>
          <w:sz w:val="21"/>
          <w:szCs w:val="21"/>
          <w:color w:val="212121"/>
        </w:rPr>
        <w:t xml:space="preserve">renewable natural gas (RNG), a proven low-carbon energy source that is rapidly decarbonizing multiple sectors including the transportation and utility industries. OPAL Fuels delivers complete renewable solutions to customers and production partners. With a portfolio of 26 operating renewable fuel and renewable power projects, OPAL Fuels is positioned to advance the clean energy transition in support of renewable fuel for transportation, for utilities, for powering EV charging infrastructure, and by offering hydrogen fuel solutions. To learn more about OPAL Fuels and how it is leading the effort to capture North America’s harmful methane emissions and decarbonize the economy, please visit </w:t>
      </w:r>
      <w:r>
        <w:rPr>
          <w:rFonts w:ascii="Arial" w:cs="Arial" w:eastAsia="Arial" w:hAnsi="Arial"/>
          <w:sz w:val="21"/>
          <w:szCs w:val="21"/>
          <w:color w:val="0078D4"/>
        </w:rPr>
        <w:t>www.opalfuels.com</w:t>
      </w:r>
      <w:r>
        <w:rPr>
          <w:rFonts w:ascii="Arial" w:cs="Arial" w:eastAsia="Arial" w:hAnsi="Arial"/>
          <w:sz w:val="21"/>
          <w:szCs w:val="21"/>
          <w:color w:val="212121"/>
        </w:rPr>
        <w:t>.</w:t>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filed on March 30, 2023,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28" w:right="339" w:bottom="1440" w:gutter="0" w:footer="0" w:header="0"/>
        </w:sectPr>
      </w:pPr>
    </w:p>
    <w:bookmarkStart w:id="12" w:name="page13"/>
    <w:bookmarkEnd w:id="12"/>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Disclaimer</w:t>
      </w:r>
    </w:p>
    <w:p>
      <w:pPr>
        <w:spacing w:after="0" w:line="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Jason Stewart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Senior Director Public Relations &amp; Marketing</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914-421-5336</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jstewart@opalfuels.com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OPALFuelsPR@icrinc.com</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Todd Firestone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&amp; Corporate Development</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914-705-4001</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investors@opalfuels.com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OPAL FUELS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March 31, 2023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6"/>
              </w:rPr>
              <w:t>December 31, 2022</w:t>
            </w: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33,264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40,394</w:t>
            </w: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 current</w:t>
            </w:r>
          </w:p>
        </w:tc>
        <w:tc>
          <w:tcPr>
            <w:tcW w:w="3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32,402</w:t>
            </w:r>
          </w:p>
        </w:tc>
        <w:tc>
          <w:tcPr>
            <w:tcW w:w="0" w:type="dxa"/>
            <w:vAlign w:val="bottom"/>
          </w:tcPr>
          <w:p>
            <w:pPr>
              <w:spacing w:after="0"/>
              <w:rPr>
                <w:sz w:val="1"/>
                <w:szCs w:val="1"/>
                <w:color w:val="auto"/>
              </w:rPr>
            </w:pPr>
          </w:p>
        </w:tc>
      </w:tr>
      <w:tr>
        <w:trPr>
          <w:trHeight w:val="243"/>
        </w:trPr>
        <w:tc>
          <w:tcPr>
            <w:tcW w:w="6100" w:type="dxa"/>
            <w:vAlign w:val="bottom"/>
          </w:tcPr>
          <w:p>
            <w:pPr>
              <w:ind w:left="140"/>
              <w:spacing w:after="0"/>
              <w:rPr>
                <w:sz w:val="20"/>
                <w:szCs w:val="20"/>
                <w:color w:val="auto"/>
              </w:rPr>
            </w:pPr>
            <w:r>
              <w:rPr>
                <w:rFonts w:ascii="Arial" w:cs="Arial" w:eastAsia="Arial" w:hAnsi="Arial"/>
                <w:sz w:val="16"/>
                <w:szCs w:val="16"/>
                <w:color w:val="auto"/>
              </w:rPr>
              <w:t>Short term investments</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36,989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64,976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74,211</w:t>
            </w:r>
          </w:p>
        </w:tc>
        <w:tc>
          <w:tcPr>
            <w:tcW w:w="0" w:type="dxa"/>
            <w:vAlign w:val="bottom"/>
          </w:tcPr>
          <w:p>
            <w:pPr>
              <w:spacing w:after="0"/>
              <w:rPr>
                <w:sz w:val="1"/>
                <w:szCs w:val="1"/>
                <w:color w:val="auto"/>
              </w:rPr>
            </w:pPr>
          </w:p>
        </w:tc>
      </w:tr>
      <w:tr>
        <w:trPr>
          <w:trHeight w:val="230"/>
        </w:trPr>
        <w:tc>
          <w:tcPr>
            <w:tcW w:w="6100" w:type="dxa"/>
            <w:vAlign w:val="bottom"/>
            <w:tcBorders>
              <w:top w:val="single" w:sz="8" w:color="CCEEFF"/>
              <w:bottom w:val="single" w:sz="8" w:color="CCEEFF"/>
            </w:tcBorders>
          </w:tcPr>
          <w:p>
            <w:pPr>
              <w:ind w:left="32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bottom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134,807</w:t>
            </w:r>
          </w:p>
        </w:tc>
        <w:tc>
          <w:tcPr>
            <w:tcW w:w="8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211,983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297,323</w:t>
            </w:r>
          </w:p>
        </w:tc>
        <w:tc>
          <w:tcPr>
            <w:tcW w:w="0" w:type="dxa"/>
            <w:vAlign w:val="bottom"/>
          </w:tcPr>
          <w:p>
            <w:pPr>
              <w:spacing w:after="0"/>
              <w:rPr>
                <w:sz w:val="1"/>
                <w:szCs w:val="1"/>
                <w:color w:val="auto"/>
              </w:rPr>
            </w:pPr>
          </w:p>
        </w:tc>
      </w:tr>
      <w:tr>
        <w:trPr>
          <w:trHeight w:val="237"/>
        </w:trPr>
        <w:tc>
          <w:tcPr>
            <w:tcW w:w="6100" w:type="dxa"/>
            <w:vAlign w:val="bottom"/>
          </w:tcPr>
          <w:p>
            <w:pPr>
              <w:ind w:left="140"/>
              <w:spacing w:after="0"/>
              <w:rPr>
                <w:sz w:val="20"/>
                <w:szCs w:val="20"/>
                <w:color w:val="auto"/>
              </w:rPr>
            </w:pPr>
            <w:r>
              <w:rPr>
                <w:rFonts w:ascii="Arial" w:cs="Arial" w:eastAsia="Arial" w:hAnsi="Arial"/>
                <w:sz w:val="16"/>
                <w:szCs w:val="16"/>
                <w:color w:val="auto"/>
              </w:rPr>
              <w:t>Restricted cash - non-current</w:t>
            </w:r>
          </w:p>
        </w:tc>
        <w:tc>
          <w:tcPr>
            <w:tcW w:w="3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5,870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129,726</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131,125</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606,702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644,856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tcBorders>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 and Equity</w:t>
            </w:r>
          </w:p>
        </w:tc>
        <w:tc>
          <w:tcPr>
            <w:tcW w:w="3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 current portion</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79,466</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73,092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73,439</w:t>
            </w: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130,714</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152,905</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Long-term debt - non-current portion</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91,252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88,312</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243,348</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267,037</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6"/>
                <w:szCs w:val="16"/>
                <w:color w:val="auto"/>
              </w:rPr>
              <w:t>Redeemable preferred non-controlling interests</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140,905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138,142</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1,013,835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1,013,833</w:t>
            </w:r>
          </w:p>
        </w:tc>
        <w:tc>
          <w:tcPr>
            <w:tcW w:w="0" w:type="dxa"/>
            <w:vAlign w:val="bottom"/>
          </w:tcPr>
          <w:p>
            <w:pPr>
              <w:spacing w:after="0"/>
              <w:rPr>
                <w:sz w:val="1"/>
                <w:szCs w:val="1"/>
                <w:color w:val="auto"/>
              </w:rPr>
            </w:pPr>
          </w:p>
        </w:tc>
      </w:tr>
      <w:tr>
        <w:trPr>
          <w:trHeight w:val="419"/>
        </w:trPr>
        <w:tc>
          <w:tcPr>
            <w:tcW w:w="6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Stockholders' deficit attributable to the Company</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(800,601)</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Non-redeemable non-controlling interests</w:t>
            </w: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27,969</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26,445</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Stockholders' deficit</w:t>
            </w: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(791,386)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(774,156)</w:t>
            </w:r>
          </w:p>
        </w:tc>
        <w:tc>
          <w:tcPr>
            <w:tcW w:w="0" w:type="dxa"/>
            <w:vAlign w:val="bottom"/>
          </w:tcPr>
          <w:p>
            <w:pPr>
              <w:spacing w:after="0"/>
              <w:rPr>
                <w:sz w:val="1"/>
                <w:szCs w:val="1"/>
                <w:color w:val="auto"/>
              </w:rPr>
            </w:pPr>
          </w:p>
        </w:tc>
      </w:tr>
      <w:tr>
        <w:trPr>
          <w:trHeight w:val="173"/>
        </w:trPr>
        <w:tc>
          <w:tcPr>
            <w:tcW w:w="6100" w:type="dxa"/>
            <w:vAlign w:val="bottom"/>
          </w:tcPr>
          <w:p>
            <w:pPr>
              <w:ind w:left="320"/>
              <w:spacing w:after="0" w:line="173" w:lineRule="exact"/>
              <w:rPr>
                <w:sz w:val="20"/>
                <w:szCs w:val="20"/>
                <w:color w:val="auto"/>
              </w:rPr>
            </w:pPr>
            <w:r>
              <w:rPr>
                <w:rFonts w:ascii="Arial" w:cs="Arial" w:eastAsia="Arial" w:hAnsi="Arial"/>
                <w:sz w:val="16"/>
                <w:szCs w:val="16"/>
                <w:color w:val="auto"/>
              </w:rPr>
              <w:t>Total liabilities, Redeemable preferred, Redeemable non-controlling interests and</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606,702</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644,856</w:t>
            </w:r>
          </w:p>
        </w:tc>
        <w:tc>
          <w:tcPr>
            <w:tcW w:w="0" w:type="dxa"/>
            <w:vAlign w:val="bottom"/>
          </w:tcPr>
          <w:p>
            <w:pPr>
              <w:spacing w:after="0"/>
              <w:rPr>
                <w:sz w:val="1"/>
                <w:szCs w:val="1"/>
                <w:color w:val="auto"/>
              </w:rPr>
            </w:pPr>
          </w:p>
        </w:tc>
      </w:tr>
      <w:tr>
        <w:trPr>
          <w:trHeight w:val="212"/>
        </w:trPr>
        <w:tc>
          <w:tcPr>
            <w:tcW w:w="6100" w:type="dxa"/>
            <w:vAlign w:val="bottom"/>
          </w:tcPr>
          <w:p>
            <w:pPr>
              <w:ind w:left="500"/>
              <w:spacing w:after="0"/>
              <w:rPr>
                <w:sz w:val="20"/>
                <w:szCs w:val="20"/>
                <w:color w:val="auto"/>
              </w:rPr>
            </w:pPr>
            <w:r>
              <w:rPr>
                <w:rFonts w:ascii="Arial" w:cs="Arial" w:eastAsia="Arial" w:hAnsi="Arial"/>
                <w:sz w:val="16"/>
                <w:szCs w:val="16"/>
                <w:color w:val="auto"/>
              </w:rPr>
              <w:t>Stockholders' deficit</w:t>
            </w:r>
          </w:p>
        </w:tc>
        <w:tc>
          <w:tcPr>
            <w:tcW w:w="32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66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580"/>
          </w:cols>
          <w:pgMar w:left="660" w:top="1440" w:right="659" w:bottom="1440" w:gutter="0" w:footer="0" w:header="0"/>
          <w:type w:val="continuous"/>
        </w:sectPr>
      </w:pPr>
    </w:p>
    <w:bookmarkStart w:id="14" w:name="page15"/>
    <w:bookmarkEnd w:id="14"/>
    <w:p>
      <w:pPr>
        <w:spacing w:after="0" w:line="200" w:lineRule="exact"/>
        <w:rPr>
          <w:sz w:val="20"/>
          <w:szCs w:val="20"/>
          <w:color w:val="auto"/>
        </w:rPr>
      </w:pPr>
    </w:p>
    <w:p>
      <w:pPr>
        <w:spacing w:after="0" w:line="390"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OPAL FUELS INC.</w:t>
      </w:r>
    </w:p>
    <w:p>
      <w:pPr>
        <w:spacing w:after="0" w:line="179"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 thousands of U.S. dollars, except per unit data)</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w w:val="93"/>
              </w:rPr>
              <w:t>Three Months Ended</w:t>
            </w:r>
          </w:p>
        </w:tc>
      </w:tr>
      <w:tr>
        <w:trPr>
          <w:trHeight w:val="210"/>
        </w:trPr>
        <w:tc>
          <w:tcPr>
            <w:tcW w:w="7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4"/>
              </w:rPr>
              <w:t>March 31,</w:t>
            </w:r>
          </w:p>
        </w:tc>
        <w:tc>
          <w:tcPr>
            <w:tcW w:w="106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33"/>
        </w:trPr>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79"/>
        </w:trPr>
        <w:tc>
          <w:tcPr>
            <w:tcW w:w="7820" w:type="dxa"/>
            <w:vAlign w:val="bottom"/>
          </w:tcPr>
          <w:p>
            <w:pPr>
              <w:ind w:left="160"/>
              <w:spacing w:after="0" w:line="179" w:lineRule="exact"/>
              <w:rPr>
                <w:sz w:val="20"/>
                <w:szCs w:val="20"/>
                <w:color w:val="auto"/>
              </w:rPr>
            </w:pPr>
            <w:r>
              <w:rPr>
                <w:rFonts w:ascii="Arial" w:cs="Arial" w:eastAsia="Arial" w:hAnsi="Arial"/>
                <w:sz w:val="16"/>
                <w:szCs w:val="16"/>
                <w:color w:val="auto"/>
                <w:w w:val="95"/>
              </w:rPr>
              <w:t>RNG fuel (includes revenues from related party of $4,715 and $8,648 for the three months ended March 31, 2023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79" w:lineRule="exact"/>
              <w:rPr>
                <w:sz w:val="20"/>
                <w:szCs w:val="20"/>
                <w:color w:val="auto"/>
              </w:rPr>
            </w:pPr>
            <w:r>
              <w:rPr>
                <w:rFonts w:ascii="Arial" w:cs="Arial" w:eastAsia="Arial" w:hAnsi="Arial"/>
                <w:sz w:val="16"/>
                <w:szCs w:val="16"/>
                <w:color w:val="auto"/>
              </w:rPr>
              <w:t>12,194</w:t>
            </w:r>
          </w:p>
        </w:tc>
        <w:tc>
          <w:tcPr>
            <w:tcW w:w="620" w:type="dxa"/>
            <w:vAlign w:val="bottom"/>
            <w:gridSpan w:val="2"/>
          </w:tcPr>
          <w:p>
            <w:pPr>
              <w:jc w:val="center"/>
              <w:ind w:right="260"/>
              <w:spacing w:after="0" w:line="179"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79" w:lineRule="exact"/>
              <w:rPr>
                <w:sz w:val="20"/>
                <w:szCs w:val="20"/>
                <w:color w:val="auto"/>
              </w:rPr>
            </w:pPr>
            <w:r>
              <w:rPr>
                <w:rFonts w:ascii="Arial" w:cs="Arial" w:eastAsia="Arial" w:hAnsi="Arial"/>
                <w:sz w:val="16"/>
                <w:szCs w:val="16"/>
                <w:color w:val="auto"/>
              </w:rPr>
              <w:t>15,049</w:t>
            </w:r>
          </w:p>
        </w:tc>
      </w:tr>
      <w:tr>
        <w:trPr>
          <w:trHeight w:val="206"/>
        </w:trPr>
        <w:tc>
          <w:tcPr>
            <w:tcW w:w="7820" w:type="dxa"/>
            <w:vAlign w:val="bottom"/>
          </w:tcPr>
          <w:p>
            <w:pPr>
              <w:ind w:left="340"/>
              <w:spacing w:after="0"/>
              <w:rPr>
                <w:sz w:val="20"/>
                <w:szCs w:val="20"/>
                <w:color w:val="auto"/>
              </w:rPr>
            </w:pPr>
            <w:r>
              <w:rPr>
                <w:rFonts w:ascii="Arial" w:cs="Arial" w:eastAsia="Arial" w:hAnsi="Arial"/>
                <w:sz w:val="16"/>
                <w:szCs w:val="16"/>
                <w:color w:val="auto"/>
              </w:rPr>
              <w:t>and 2022, respectively)</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3"/>
        </w:trPr>
        <w:tc>
          <w:tcPr>
            <w:tcW w:w="78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Fuel station services (includes revenues from related party of $1,493 and $4,248 for the three months ended</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24,874</w:t>
            </w:r>
          </w:p>
        </w:tc>
      </w:tr>
      <w:tr>
        <w:trPr>
          <w:trHeight w:val="226"/>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March 31, 2023 and 2022, respectively)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93"/>
        </w:trPr>
        <w:tc>
          <w:tcPr>
            <w:tcW w:w="7820" w:type="dxa"/>
            <w:vAlign w:val="bottom"/>
          </w:tcPr>
          <w:p>
            <w:pPr>
              <w:ind w:left="160"/>
              <w:spacing w:after="0"/>
              <w:rPr>
                <w:sz w:val="20"/>
                <w:szCs w:val="20"/>
                <w:color w:val="auto"/>
              </w:rPr>
            </w:pPr>
            <w:r>
              <w:rPr>
                <w:rFonts w:ascii="Arial" w:cs="Arial" w:eastAsia="Arial" w:hAnsi="Arial"/>
                <w:sz w:val="16"/>
                <w:szCs w:val="16"/>
                <w:color w:val="auto"/>
                <w:w w:val="93"/>
              </w:rPr>
              <w:t>Renewable Power (includes revenues from related party of $1,527 and $5,804or the three months ended March 31,</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9,935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9,124</w:t>
            </w:r>
          </w:p>
        </w:tc>
      </w:tr>
      <w:tr>
        <w:trPr>
          <w:trHeight w:val="219"/>
        </w:trPr>
        <w:tc>
          <w:tcPr>
            <w:tcW w:w="7820" w:type="dxa"/>
            <w:vAlign w:val="bottom"/>
          </w:tcPr>
          <w:p>
            <w:pPr>
              <w:ind w:left="340"/>
              <w:spacing w:after="0"/>
              <w:rPr>
                <w:sz w:val="20"/>
                <w:szCs w:val="20"/>
                <w:color w:val="auto"/>
              </w:rPr>
            </w:pPr>
            <w:r>
              <w:rPr>
                <w:rFonts w:ascii="Arial" w:cs="Arial" w:eastAsia="Arial" w:hAnsi="Arial"/>
                <w:sz w:val="16"/>
                <w:szCs w:val="16"/>
                <w:color w:val="auto"/>
              </w:rPr>
              <w:t>2023 and 2022, respectively)</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43"/>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42,957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49,047</w:t>
            </w:r>
          </w:p>
        </w:tc>
      </w:tr>
      <w:tr>
        <w:trPr>
          <w:trHeight w:val="190"/>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33"/>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Cost of sales - RNG fuel</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8,554</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7,714</w:t>
            </w:r>
          </w:p>
        </w:tc>
      </w:tr>
      <w:tr>
        <w:trPr>
          <w:trHeight w:val="220"/>
        </w:trPr>
        <w:tc>
          <w:tcPr>
            <w:tcW w:w="7820" w:type="dxa"/>
            <w:vAlign w:val="bottom"/>
          </w:tcPr>
          <w:p>
            <w:pPr>
              <w:ind w:left="160"/>
              <w:spacing w:after="0"/>
              <w:rPr>
                <w:sz w:val="20"/>
                <w:szCs w:val="20"/>
                <w:color w:val="auto"/>
              </w:rPr>
            </w:pPr>
            <w:r>
              <w:rPr>
                <w:rFonts w:ascii="Arial" w:cs="Arial" w:eastAsia="Arial" w:hAnsi="Arial"/>
                <w:sz w:val="16"/>
                <w:szCs w:val="16"/>
                <w:color w:val="auto"/>
              </w:rPr>
              <w:t>Cost of sales - Fuel station services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19,663</w:t>
            </w:r>
          </w:p>
        </w:tc>
      </w:tr>
      <w:tr>
        <w:trPr>
          <w:trHeight w:val="233"/>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Cost of sales - Renewable Power</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8,408</w:t>
            </w:r>
          </w:p>
        </w:tc>
      </w:tr>
      <w:tr>
        <w:trPr>
          <w:trHeight w:val="210"/>
        </w:trPr>
        <w:tc>
          <w:tcPr>
            <w:tcW w:w="7820" w:type="dxa"/>
            <w:vAlign w:val="bottom"/>
          </w:tcPr>
          <w:p>
            <w:pPr>
              <w:ind w:left="16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13,441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10,855</w:t>
            </w:r>
          </w:p>
        </w:tc>
      </w:tr>
      <w:tr>
        <w:trPr>
          <w:trHeight w:val="33"/>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3,396</w:t>
            </w: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Total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54,232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50,036</w:t>
            </w:r>
          </w:p>
        </w:tc>
      </w:tr>
      <w:tr>
        <w:trPr>
          <w:trHeight w:val="33"/>
        </w:trPr>
        <w:tc>
          <w:tcPr>
            <w:tcW w:w="7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Operating loss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190"/>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Other (expense) income:</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33"/>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and financing expense, net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(3,057)</w:t>
            </w:r>
          </w:p>
        </w:tc>
      </w:tr>
      <w:tr>
        <w:trPr>
          <w:trHeight w:val="220"/>
        </w:trPr>
        <w:tc>
          <w:tcPr>
            <w:tcW w:w="7820" w:type="dxa"/>
            <w:vAlign w:val="bottom"/>
          </w:tcPr>
          <w:p>
            <w:pPr>
              <w:ind w:left="160"/>
              <w:spacing w:after="0"/>
              <w:rPr>
                <w:sz w:val="20"/>
                <w:szCs w:val="20"/>
                <w:color w:val="auto"/>
              </w:rPr>
            </w:pPr>
            <w:r>
              <w:rPr>
                <w:rFonts w:ascii="Arial" w:cs="Arial" w:eastAsia="Arial" w:hAnsi="Arial"/>
                <w:sz w:val="16"/>
                <w:szCs w:val="16"/>
                <w:color w:val="auto"/>
              </w:rPr>
              <w:t>Change in fair value of derivative instruments,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33"/>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Loss on warrant exchange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20" w:type="dxa"/>
            <w:vAlign w:val="bottom"/>
          </w:tcPr>
          <w:p>
            <w:pPr>
              <w:ind w:left="200"/>
              <w:spacing w:after="0"/>
              <w:rPr>
                <w:sz w:val="20"/>
                <w:szCs w:val="20"/>
                <w:color w:val="auto"/>
              </w:rPr>
            </w:pPr>
            <w:r>
              <w:rPr>
                <w:rFonts w:ascii="Arial" w:cs="Arial" w:eastAsia="Arial" w:hAnsi="Arial"/>
                <w:sz w:val="16"/>
                <w:szCs w:val="16"/>
                <w:color w:val="auto"/>
              </w:rPr>
              <w:t>Income (loss) from equity method investments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w:t>
            </w:r>
          </w:p>
        </w:tc>
      </w:tr>
      <w:tr>
        <w:trPr>
          <w:trHeight w:val="33"/>
        </w:trPr>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Loss before 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(4,467)</w:t>
            </w:r>
          </w:p>
        </w:tc>
      </w:tr>
      <w:tr>
        <w:trPr>
          <w:trHeight w:val="210"/>
        </w:trPr>
        <w:tc>
          <w:tcPr>
            <w:tcW w:w="7820" w:type="dxa"/>
            <w:vAlign w:val="bottom"/>
          </w:tcPr>
          <w:p>
            <w:pPr>
              <w:ind w:left="16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(4,467)</w:t>
            </w:r>
          </w:p>
        </w:tc>
      </w:tr>
      <w:tr>
        <w:trPr>
          <w:trHeight w:val="213"/>
        </w:trPr>
        <w:tc>
          <w:tcPr>
            <w:tcW w:w="7820" w:type="dxa"/>
            <w:vAlign w:val="bottom"/>
          </w:tcPr>
          <w:p>
            <w:pPr>
              <w:ind w:left="160"/>
              <w:spacing w:after="0"/>
              <w:rPr>
                <w:sz w:val="20"/>
                <w:szCs w:val="20"/>
                <w:color w:val="auto"/>
              </w:rPr>
            </w:pPr>
            <w:r>
              <w:rPr>
                <w:rFonts w:ascii="Arial" w:cs="Arial" w:eastAsia="Arial" w:hAnsi="Arial"/>
                <w:sz w:val="16"/>
                <w:szCs w:val="16"/>
                <w:color w:val="auto"/>
              </w:rPr>
              <w:t>Net loss attributable to redeemable non-controlling interests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(8,233)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(4,942)</w:t>
            </w:r>
          </w:p>
        </w:tc>
      </w:tr>
      <w:tr>
        <w:trPr>
          <w:trHeight w:val="260"/>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loss attributable to non-redeemable non-controlling interests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7820" w:type="dxa"/>
            <w:vAlign w:val="bottom"/>
          </w:tcPr>
          <w:p>
            <w:pPr>
              <w:ind w:left="160"/>
              <w:spacing w:after="0" w:line="230" w:lineRule="exact"/>
              <w:rPr>
                <w:sz w:val="20"/>
                <w:szCs w:val="20"/>
                <w:color w:val="auto"/>
              </w:rPr>
            </w:pPr>
            <w:r>
              <w:rPr>
                <w:rFonts w:ascii="Arial" w:cs="Arial" w:eastAsia="Arial" w:hAnsi="Arial"/>
                <w:sz w:val="16"/>
                <w:szCs w:val="16"/>
                <w:color w:val="auto"/>
              </w:rPr>
              <w:t xml:space="preserve">Paid-in-kind preferred dividends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r>
      <w:tr>
        <w:trPr>
          <w:trHeight w:val="261"/>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loss attributable to Class A common stockholders</w:t>
            </w: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6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3"/>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shares outstanding of Class A common stock :</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20"/>
        </w:trPr>
        <w:tc>
          <w:tcPr>
            <w:tcW w:w="7820" w:type="dxa"/>
            <w:vAlign w:val="bottom"/>
          </w:tcPr>
          <w:p>
            <w:pPr>
              <w:ind w:left="34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27,383,562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27,383,562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Per share amounts: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7820" w:type="dxa"/>
            <w:vAlign w:val="bottom"/>
            <w:shd w:val="clear" w:color="auto" w:fill="CCEEFF"/>
          </w:tcPr>
          <w:p>
            <w:pPr>
              <w:ind w:left="340"/>
              <w:spacing w:after="0" w:line="230" w:lineRule="exact"/>
              <w:rPr>
                <w:sz w:val="20"/>
                <w:szCs w:val="20"/>
                <w:color w:val="auto"/>
              </w:rPr>
            </w:pPr>
            <w:r>
              <w:rPr>
                <w:rFonts w:ascii="Arial" w:cs="Arial" w:eastAsia="Arial" w:hAnsi="Arial"/>
                <w:sz w:val="16"/>
                <w:szCs w:val="16"/>
                <w:color w:val="auto"/>
              </w:rPr>
              <w:t xml:space="preserve">Basic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62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9"/>
        </w:trPr>
        <w:tc>
          <w:tcPr>
            <w:tcW w:w="7820" w:type="dxa"/>
            <w:vAlign w:val="bottom"/>
          </w:tcPr>
          <w:p>
            <w:pPr>
              <w:ind w:left="34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(2)</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(0.06)</w:t>
            </w:r>
          </w:p>
        </w:tc>
        <w:tc>
          <w:tcPr>
            <w:tcW w:w="6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24" w:lineRule="exact"/>
        <w:rPr>
          <w:sz w:val="20"/>
          <w:szCs w:val="20"/>
          <w:color w:val="auto"/>
        </w:rPr>
      </w:pPr>
    </w:p>
    <w:p>
      <w:pPr>
        <w:ind w:right="40" w:firstLine="8"/>
        <w:spacing w:after="0" w:line="223" w:lineRule="auto"/>
        <w:tabs>
          <w:tab w:leader="none" w:pos="199"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Paid-in-kind preferred dividend is allocated between redeemable non-controlling interests and Class A common stockholders based on their weighted average percentage of ownership.</w:t>
      </w:r>
    </w:p>
    <w:p>
      <w:pPr>
        <w:spacing w:after="0" w:line="171" w:lineRule="exact"/>
        <w:rPr>
          <w:rFonts w:ascii="Arial" w:cs="Arial" w:eastAsia="Arial" w:hAnsi="Arial"/>
          <w:sz w:val="23"/>
          <w:szCs w:val="23"/>
          <w:color w:val="auto"/>
          <w:vertAlign w:val="superscript"/>
        </w:rPr>
      </w:pPr>
    </w:p>
    <w:p>
      <w:pPr>
        <w:ind w:firstLine="8"/>
        <w:spacing w:after="0" w:line="246" w:lineRule="auto"/>
        <w:tabs>
          <w:tab w:leader="none" w:pos="163"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Income per share information has not been presented for the three months ended March 31, 2022 as it would not be meaningful to the users of these consolidated financial statements,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320" w:top="1440" w:right="359" w:bottom="1440" w:gutter="0" w:footer="0" w:header="0"/>
          <w:type w:val="continuous"/>
        </w:sectPr>
      </w:pPr>
    </w:p>
    <w:bookmarkStart w:id="15" w:name="page16"/>
    <w:bookmarkEnd w:id="15"/>
    <w:p>
      <w:pPr>
        <w:spacing w:after="0" w:line="200" w:lineRule="exact"/>
        <w:rPr>
          <w:sz w:val="20"/>
          <w:szCs w:val="20"/>
          <w:color w:val="auto"/>
        </w:rPr>
      </w:pPr>
    </w:p>
    <w:p>
      <w:pPr>
        <w:spacing w:after="0" w:line="390"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OPAL FUELS INC.</w:t>
      </w:r>
    </w:p>
    <w:p>
      <w:pPr>
        <w:spacing w:after="0" w:line="179"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of U.S. dollars)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from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r>
      <w:tr>
        <w:trPr>
          <w:trHeight w:val="25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Net cash used in from investing activities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(22,509)</w:t>
            </w:r>
          </w:p>
        </w:tc>
      </w:tr>
      <w:tr>
        <w:trPr>
          <w:trHeight w:val="257"/>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from financing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42,406</w:t>
            </w:r>
          </w:p>
        </w:tc>
      </w:tr>
      <w:tr>
        <w:trPr>
          <w:trHeight w:val="257"/>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 restricted 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(37,399)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10,912</w:t>
            </w: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 Financial Measures (Unaudited)</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To supplement the Company’s unaudited condensed consolidated financial statements presented in accordance with accounting principles generally accepted in the United States of America (“GAAP”), the Company uses a non-GAAP financial measure that it calls adjusted EBITDA (“Adjusted EBITDA”). This non-GAAP Measure adjusts net income for realized and unrealized gain on interest rate swaps, net loss attributable to non-redeemable non-controlling interests, transaction costs and one-time non-recurring charges, non-cash charges, major maintenance for renewable power, unrealized loss (gain) for derivative instruments, environmental credits associated with renewable biogas that has been produced and is in storage pending completion of certification of the relevant environmental attribute pathway(s) and Environmental Credits at quarter end market prices attributable to renewable biogas produced in the period but not yet sold or delivered.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the reconciliation of our Net loss to Adjusted EBITDA: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w w:val="92"/>
              </w:rPr>
              <w:t>Reconciliation of GAAP Net income to Adjusted EBITDA</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83"/>
        </w:trPr>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w w:val="91"/>
              </w:rPr>
              <w:t>For the Three Months Ended March 31, 2023 and 2022</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8240" w:type="dxa"/>
            <w:vAlign w:val="bottom"/>
          </w:tcPr>
          <w:p>
            <w:pPr>
              <w:jc w:val="center"/>
              <w:ind w:left="2910"/>
              <w:spacing w:after="0"/>
              <w:rPr>
                <w:sz w:val="20"/>
                <w:szCs w:val="20"/>
                <w:color w:val="auto"/>
              </w:rPr>
            </w:pPr>
            <w:r>
              <w:rPr>
                <w:rFonts w:ascii="Arial" w:cs="Arial" w:eastAsia="Arial" w:hAnsi="Arial"/>
                <w:sz w:val="18"/>
                <w:szCs w:val="18"/>
                <w:b w:val="1"/>
                <w:bCs w:val="1"/>
                <w:color w:val="auto"/>
                <w:w w:val="89"/>
              </w:rPr>
              <w:t>(In thousands of dollars)</w:t>
            </w: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68"/>
        </w:trPr>
        <w:tc>
          <w:tcPr>
            <w:tcW w:w="8240" w:type="dxa"/>
            <w:vAlign w:val="bottom"/>
          </w:tcPr>
          <w:p>
            <w:pPr>
              <w:spacing w:after="0"/>
              <w:rPr>
                <w:sz w:val="5"/>
                <w:szCs w:val="5"/>
                <w:color w:val="auto"/>
              </w:rPr>
            </w:pPr>
          </w:p>
        </w:tc>
        <w:tc>
          <w:tcPr>
            <w:tcW w:w="1600" w:type="dxa"/>
            <w:vAlign w:val="bottom"/>
            <w:gridSpan w:val="3"/>
          </w:tcPr>
          <w:p>
            <w:pPr>
              <w:spacing w:after="0"/>
              <w:rPr>
                <w:sz w:val="5"/>
                <w:szCs w:val="5"/>
                <w:color w:val="auto"/>
              </w:rPr>
            </w:pPr>
          </w:p>
        </w:tc>
        <w:tc>
          <w:tcPr>
            <w:tcW w:w="1400" w:type="dxa"/>
            <w:vAlign w:val="bottom"/>
            <w:gridSpan w:val="2"/>
          </w:tcPr>
          <w:p>
            <w:pPr>
              <w:spacing w:after="0"/>
              <w:rPr>
                <w:sz w:val="5"/>
                <w:szCs w:val="5"/>
                <w:color w:val="auto"/>
              </w:rPr>
            </w:pPr>
          </w:p>
        </w:tc>
      </w:tr>
      <w:tr>
        <w:trPr>
          <w:trHeight w:val="229"/>
        </w:trPr>
        <w:tc>
          <w:tcPr>
            <w:tcW w:w="8240" w:type="dxa"/>
            <w:vAlign w:val="bottom"/>
            <w:shd w:val="clear" w:color="auto" w:fill="CCEEFF"/>
          </w:tcPr>
          <w:p>
            <w:pPr>
              <w:spacing w:after="0"/>
              <w:rPr>
                <w:sz w:val="19"/>
                <w:szCs w:val="19"/>
                <w:color w:val="auto"/>
              </w:rPr>
            </w:pPr>
          </w:p>
        </w:tc>
        <w:tc>
          <w:tcPr>
            <w:tcW w:w="3000" w:type="dxa"/>
            <w:vAlign w:val="bottom"/>
            <w:tcBorders>
              <w:bottom w:val="single" w:sz="8" w:color="auto"/>
            </w:tcBorders>
            <w:gridSpan w:val="5"/>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2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(7,346)</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Adjustments to reconcile net loss to Adjusted EBITDA</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financing expense, net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loss attributable to non-redeemable non-controlling interests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6"/>
        </w:trPr>
        <w:tc>
          <w:tcPr>
            <w:tcW w:w="824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Depreciation, amortization and accretion </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Loss on warrant exchange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Unrealized (gain) loss on derivative instruments </w:t>
            </w:r>
            <w:r>
              <w:rPr>
                <w:rFonts w:ascii="Arial" w:cs="Arial" w:eastAsia="Arial" w:hAnsi="Arial"/>
                <w:sz w:val="23"/>
                <w:szCs w:val="23"/>
                <w:color w:val="auto"/>
                <w:vertAlign w:val="superscript"/>
              </w:rPr>
              <w:t>(2)</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(4,855)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8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Non-cash charges </w:t>
            </w:r>
            <w:r>
              <w:rPr>
                <w:rFonts w:ascii="Arial" w:cs="Arial" w:eastAsia="Arial" w:hAnsi="Arial"/>
                <w:sz w:val="23"/>
                <w:szCs w:val="23"/>
                <w:color w:val="auto"/>
                <w:vertAlign w:val="superscript"/>
              </w:rPr>
              <w:t>(3)</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One time non-recurring charges </w:t>
            </w:r>
            <w:r>
              <w:rPr>
                <w:rFonts w:ascii="Arial" w:cs="Arial" w:eastAsia="Arial" w:hAnsi="Arial"/>
                <w:sz w:val="23"/>
                <w:szCs w:val="23"/>
                <w:color w:val="auto"/>
                <w:vertAlign w:val="superscript"/>
              </w:rPr>
              <w:t>(4)</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Major maintenance for Renewable Power</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1,556</w:t>
            </w:r>
          </w:p>
        </w:tc>
      </w:tr>
      <w:tr>
        <w:trPr>
          <w:trHeight w:val="236"/>
        </w:trPr>
        <w:tc>
          <w:tcPr>
            <w:tcW w:w="824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RNG Pending Certification and Unsold Environmental Credits </w:t>
            </w:r>
            <w:r>
              <w:rPr>
                <w:rFonts w:ascii="Arial" w:cs="Arial" w:eastAsia="Arial" w:hAnsi="Arial"/>
                <w:sz w:val="23"/>
                <w:szCs w:val="23"/>
                <w:color w:val="auto"/>
                <w:vertAlign w:val="superscript"/>
              </w:rPr>
              <w:t>(5)</w:t>
            </w:r>
          </w:p>
        </w:tc>
        <w:tc>
          <w:tcPr>
            <w:tcW w:w="9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10,263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r>
      <w:tr>
        <w:trPr>
          <w:trHeight w:val="21"/>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Includes depreciation, amortization and accretion on equity method investments.</w:t>
      </w:r>
    </w:p>
    <w:p>
      <w:pPr>
        <w:spacing w:after="0" w:line="188" w:lineRule="exact"/>
        <w:rPr>
          <w:rFonts w:ascii="Arial" w:cs="Arial" w:eastAsia="Arial" w:hAnsi="Arial"/>
          <w:sz w:val="21"/>
          <w:szCs w:val="21"/>
          <w:color w:val="auto"/>
          <w:vertAlign w:val="superscript"/>
        </w:rPr>
      </w:pPr>
    </w:p>
    <w:p>
      <w:pPr>
        <w:ind w:right="200" w:firstLine="8"/>
        <w:spacing w:after="0" w:line="236" w:lineRule="auto"/>
        <w:tabs>
          <w:tab w:leader="none" w:pos="181"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Unrealized loss on derivative instruments includes change in fair value of interest rate swaps, commodity swaps, earnout liabilities and put option on a forward purchase agreement.</w:t>
      </w:r>
    </w:p>
    <w:p>
      <w:pPr>
        <w:spacing w:after="0" w:line="189" w:lineRule="exact"/>
        <w:rPr>
          <w:rFonts w:ascii="Arial" w:cs="Arial" w:eastAsia="Arial" w:hAnsi="Arial"/>
          <w:sz w:val="21"/>
          <w:szCs w:val="21"/>
          <w:color w:val="auto"/>
          <w:vertAlign w:val="superscript"/>
        </w:rPr>
      </w:pPr>
    </w:p>
    <w:p>
      <w:pPr>
        <w:ind w:right="500" w:firstLine="8"/>
        <w:spacing w:after="0" w:line="222" w:lineRule="auto"/>
        <w:tabs>
          <w:tab w:leader="none" w:pos="199"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Non-cash charges include stock based compensation expense, certain expenses included in selling, general and administrative expenses relating to employee benefit accruals, inventory write down charges included in cost of sales - RNG fuel and loss on disposal of assets.</w:t>
      </w:r>
    </w:p>
    <w:p>
      <w:pPr>
        <w:spacing w:after="0" w:line="203" w:lineRule="exact"/>
        <w:rPr>
          <w:rFonts w:ascii="Arial" w:cs="Arial" w:eastAsia="Arial" w:hAnsi="Arial"/>
          <w:sz w:val="23"/>
          <w:szCs w:val="23"/>
          <w:color w:val="auto"/>
          <w:vertAlign w:val="superscript"/>
        </w:rPr>
      </w:pPr>
    </w:p>
    <w:p>
      <w:pPr>
        <w:ind w:firstLine="8"/>
        <w:spacing w:after="0" w:line="230" w:lineRule="auto"/>
        <w:tabs>
          <w:tab w:leader="none" w:pos="203"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One-time non-recurring charges include certain expenses related to development expenses on our RNG facilities such as lease expenses and virtual pipe line costs, incurred during construction phase that could not be capitalized per GAAP and fees paid in connection with warrant exchange.</w:t>
      </w:r>
    </w:p>
    <w:p>
      <w:pPr>
        <w:spacing w:after="0" w:line="147" w:lineRule="exact"/>
        <w:rPr>
          <w:rFonts w:ascii="Arial" w:cs="Arial" w:eastAsia="Arial" w:hAnsi="Arial"/>
          <w:sz w:val="23"/>
          <w:szCs w:val="23"/>
          <w:color w:val="auto"/>
          <w:vertAlign w:val="superscript"/>
        </w:rPr>
      </w:pPr>
    </w:p>
    <w:p>
      <w:pPr>
        <w:ind w:left="220" w:hanging="212"/>
        <w:spacing w:after="0"/>
        <w:tabs>
          <w:tab w:leader="none" w:pos="220" w:val="left"/>
        </w:tabs>
        <w:numPr>
          <w:ilvl w:val="0"/>
          <w:numId w:val="13"/>
        </w:numPr>
        <w:rPr>
          <w:rFonts w:ascii="Arial" w:cs="Arial" w:eastAsia="Arial" w:hAnsi="Arial"/>
          <w:sz w:val="26"/>
          <w:szCs w:val="26"/>
          <w:color w:val="auto"/>
          <w:vertAlign w:val="superscript"/>
        </w:rPr>
      </w:pPr>
      <w:r>
        <w:rPr>
          <w:rFonts w:ascii="Arial" w:cs="Arial" w:eastAsia="Arial" w:hAnsi="Arial"/>
          <w:sz w:val="17"/>
          <w:szCs w:val="17"/>
          <w:color w:val="auto"/>
        </w:rPr>
        <w:t>Represents RNG pending certification and unsold environmental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4"/>
      <w:numFmt w:val="bullet"/>
      <w:start w:val="1"/>
    </w:lvl>
  </w:abstractNum>
  <w:abstractNum w:abstractNumId="9">
    <w:nsid w:val="1190CDE7"/>
    <w:multiLevelType w:val="hybridMultilevel"/>
    <w:lvl w:ilvl="0">
      <w:lvlJc w:val="left"/>
      <w:lvlText w:val="5"/>
      <w:numFmt w:val="bullet"/>
      <w:start w:val="1"/>
    </w:lvl>
  </w:abstractNum>
  <w:abstractNum w:abstractNumId="10">
    <w:nsid w:val="66EF438D"/>
    <w:multiLevelType w:val="hybridMultilevel"/>
    <w:lvl w:ilvl="0">
      <w:lvlJc w:val="left"/>
      <w:lvlText w:val="7"/>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2023-05-11T05:29:26Z</dcterms:created>
  <dcterms:modified xsi:type="dcterms:W3CDTF">2023-05-11T05:29:26Z</dcterms:modified>
</cp:coreProperties>
</file>