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left="340" w:right="140"/>
        <w:spacing w:after="0" w:line="263" w:lineRule="auto"/>
        <w:rPr>
          <w:sz w:val="20"/>
          <w:szCs w:val="20"/>
          <w:color w:val="auto"/>
        </w:rPr>
      </w:pPr>
      <w:r>
        <w:rPr>
          <w:rFonts w:ascii="Times New Roman" w:cs="Times New Roman" w:eastAsia="Times New Roman" w:hAnsi="Times New Roman"/>
          <w:sz w:val="18"/>
          <w:szCs w:val="18"/>
          <w:b w:val="1"/>
          <w:bCs w:val="1"/>
          <w:color w:val="auto"/>
        </w:rPr>
        <w:t>Class A Common Stock, par value $0.0001 per share, and 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Rule 13d-1(b)</w:t>
      </w:r>
    </w:p>
    <w:p>
      <w:pPr>
        <w:spacing w:after="0" w:line="40" w:lineRule="exact"/>
        <w:rPr>
          <w:sz w:val="24"/>
          <w:szCs w:val="24"/>
          <w:color w:val="auto"/>
        </w:rPr>
      </w:pPr>
    </w:p>
    <w:p>
      <w:pPr>
        <w:jc w:val="both"/>
        <w:ind w:left="660" w:right="9340" w:hanging="4"/>
        <w:spacing w:after="0" w:line="259" w:lineRule="auto"/>
        <w:tabs>
          <w:tab w:leader="none" w:pos="89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13d-1(c) </w:t>
      </w:r>
      <w:r>
        <w:rPr>
          <w:rFonts w:ascii="Times New Roman" w:cs="Times New Roman" w:eastAsia="Times New Roman" w:hAnsi="Times New Roman"/>
          <w:sz w:val="21"/>
          <w:szCs w:val="21"/>
          <w:color w:val="auto"/>
        </w:rPr>
        <w:t xml:space="preserve">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Advisors LLC</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2,620,398</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2,620,398</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2,620,398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-5734050</wp:posOffset>
            </wp:positionV>
            <wp:extent cx="7132320" cy="5777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20"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color w:val="auto"/>
        </w:rPr>
        <w:t>*Includes 1,297,284 warrants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361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Partners LLC</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2,067,452</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2,067,452</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2,067,452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7.81%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-5734050</wp:posOffset>
            </wp:positionV>
            <wp:extent cx="7132320" cy="5777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20"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color w:val="auto"/>
        </w:rPr>
        <w:t>*Includes 1,024,422 warrants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361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2,620,398</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2,620,398</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2,620,398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7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*Includes 1,297,284 warrants beneficially owned by the reporting person</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Opal Fuels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 N Lexington Ave.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White Plains, NY 1601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being filed by Encompass Capital Advisors LLC, Encompass Capital Partners LLC, and Todd J. Kantor.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address of the principal business office of Encompass Capital Advisors LLC and Encompass Capital Partners LLC is 200 Park Avenue, 11th Floor, New York, NY 10166. The address of the principal business office of Todd J. Kantor is c/o Encompass Capital Advisors LLC, 200 Park Avenue, 11th Floor, New York, NY 10166.</w:t>
      </w:r>
    </w:p>
    <w:p>
      <w:pPr>
        <w:spacing w:after="0" w:line="64" w:lineRule="exact"/>
        <w:rPr>
          <w:sz w:val="20"/>
          <w:szCs w:val="20"/>
          <w:color w:val="auto"/>
        </w:rPr>
      </w:pPr>
    </w:p>
    <w:p>
      <w:pPr>
        <w:ind w:left="920" w:hanging="237"/>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1020" w:hanging="220"/>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Advisors LLC is a Delaware Limited Liability Company.</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Partners LLC is a Delaware Limited Liability Company.</w:t>
      </w:r>
    </w:p>
    <w:p>
      <w:pPr>
        <w:spacing w:after="0" w:line="11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J. Kantor is a US citizen.</w:t>
      </w:r>
    </w:p>
    <w:p>
      <w:pPr>
        <w:spacing w:after="0" w:line="11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400" w:firstLine="396"/>
        <w:spacing w:after="0" w:line="282" w:lineRule="auto"/>
        <w:rPr>
          <w:sz w:val="20"/>
          <w:szCs w:val="20"/>
          <w:color w:val="auto"/>
        </w:rPr>
      </w:pPr>
      <w:r>
        <w:rPr>
          <w:rFonts w:ascii="Times New Roman" w:cs="Times New Roman" w:eastAsia="Times New Roman" w:hAnsi="Times New Roman"/>
          <w:sz w:val="18"/>
          <w:szCs w:val="18"/>
          <w:color w:val="auto"/>
        </w:rPr>
        <w:t>Class A Common Stock, par value $0.0001 per share, and Warrants, each whole warrant exercisable for one share of Class A common Stock at an exercise price of $11.50 per share</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68347P103</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3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Encompass Capital Advisors LLC</w:t>
      </w:r>
    </w:p>
    <w:p>
      <w:pPr>
        <w:spacing w:after="0" w:line="121"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2,620,398</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9.9%</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2,620,398</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2,620,398</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Encompass Capital Partners LLC</w:t>
      </w:r>
    </w:p>
    <w:p>
      <w:pPr>
        <w:spacing w:after="0" w:line="121" w:lineRule="exact"/>
        <w:rPr>
          <w:sz w:val="20"/>
          <w:szCs w:val="20"/>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2,067,452</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7.81%</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2,067,452</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2,067,452</w:t>
      </w:r>
    </w:p>
    <w:p>
      <w:pPr>
        <w:spacing w:after="0" w:line="200" w:lineRule="exact"/>
        <w:rPr>
          <w:sz w:val="20"/>
          <w:szCs w:val="20"/>
          <w:color w:val="auto"/>
        </w:rPr>
      </w:pPr>
    </w:p>
    <w:p>
      <w:pPr>
        <w:spacing w:after="0" w:line="3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2,620,398</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9.9%</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2,620,398</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2,620,398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ectPr>
          <w:pgSz w:w="11900" w:h="16838" w:orient="portrait"/>
          <w:cols w:equalWidth="0" w:num="1">
            <w:col w:w="11240"/>
          </w:cols>
          <w:pgMar w:left="320" w:top="474"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shares of Common Stock of Opal Fuels Inc., dated as of July 20, 2022 is, and any amendments thereto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lvl w:ilvl="1">
      <w:lvlJc w:val="left"/>
      <w:lvlText w:val="(%2)"/>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2022-07-28T09:04:02Z</dcterms:created>
  <dcterms:modified xsi:type="dcterms:W3CDTF">2022-07-28T09:04:02Z</dcterms:modified>
</cp:coreProperties>
</file>