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54"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1)</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May 10, 2023 </w:t>
      </w:r>
    </w:p>
    <w:p>
      <w:pPr>
        <w:pStyle w:val="TextBody"/>
        <w:bidi w:val="0"/>
        <w:spacing w:before="0" w:after="0"/>
        <w:jc w:val="center"/>
        <w:rPr/>
      </w:pPr>
      <w:r>
        <w:rPr/>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OPAL Fuels Inc.</w:t>
      </w:r>
    </w:p>
    <w:p>
      <w:pPr>
        <w:pStyle w:val="TextBody"/>
        <w:bidi w:val="0"/>
        <w:spacing w:lineRule="auto" w:line="288" w:before="5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001-40272</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98-1578357</w:t>
            </w:r>
          </w:p>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One North Lexington Avenue</w:t>
            </w:r>
            <w:r>
              <w:rPr>
                <w:rFonts w:ascii="Helvetica;sans-serif" w:hAnsi="Helvetica;sans-serif"/>
                <w:b/>
                <w:color w:val="3051F2"/>
                <w:sz w:val="20"/>
              </w:rPr>
              <w:t xml:space="preserve">, </w:t>
            </w:r>
            <w:r>
              <w:rPr>
                <w:rFonts w:ascii="Times New Roman;sans-serif" w:hAnsi="Times New Roman;sans-serif"/>
                <w:b/>
                <w:color w:val="000000"/>
                <w:sz w:val="20"/>
              </w:rPr>
              <w:t>Suite 1450</w:t>
            </w:r>
          </w:p>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88" w:before="54" w:after="12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2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8-K/A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9658" w:type="dxa"/>
        <w:jc w:val="left"/>
        <w:tblInd w:w="0" w:type="dxa"/>
        <w:tblLayout w:type="fixed"/>
        <w:tblCellMar>
          <w:top w:w="28" w:type="dxa"/>
          <w:left w:w="28" w:type="dxa"/>
          <w:bottom w:w="28" w:type="dxa"/>
          <w:right w:w="28" w:type="dxa"/>
        </w:tblCellMar>
      </w:tblPr>
      <w:tblGrid>
        <w:gridCol w:w="1555"/>
        <w:gridCol w:w="1367"/>
        <w:gridCol w:w="1367"/>
        <w:gridCol w:w="515"/>
        <w:gridCol w:w="515"/>
        <w:gridCol w:w="515"/>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65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Calibri;sans-serif" w:hAnsi="Calibri;sans-serif"/>
                <w:b/>
                <w:color w:val="000000"/>
                <w:sz w:val="20"/>
              </w:rPr>
            </w:pPr>
            <w:r>
              <w:rPr>
                <w:rFonts w:ascii="Calibri;sans-serif" w:hAnsi="Calibri;sans-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ans-serif" w:hAnsi="Times New Roman;sans-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8-K/A amends the Current Report on Form 8-K of OPAL Fuels Inc. (the “Company”), originally furnished by the Company to the Securities and Exchange Commission on May 10, 2023 (the “Initial 8-K”). The sole purpose for filing this amended report is to correct certain clerical errors contained in the press release attached as Exhibit 99.1 to the Initial 8-K as described further below. A corrected Exhibit 99.1 is attached to this Current Report on Form 8-K/A as Exhibit 99.1.</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660"/>
        <w:jc w:val="both"/>
        <w:rPr>
          <w:rFonts w:ascii="Times New Roman;sans-serif" w:hAnsi="Times New Roman;sans-serif"/>
          <w:b w:val="false"/>
          <w:color w:val="000000"/>
          <w:sz w:val="20"/>
        </w:rPr>
      </w:pPr>
      <w:r>
        <w:rPr>
          <w:rFonts w:ascii="Times New Roman;sans-serif" w:hAnsi="Times New Roman;sans-serif"/>
          <w:b w:val="false"/>
          <w:color w:val="000000"/>
          <w:sz w:val="20"/>
        </w:rPr>
        <w:t>On May 10, 2023, the Company issued a press release regarding its financial results for the three months ended March 31, 2023. Due to a clerical error, the anticipated number of renewable identification numbers (“RINs”) to be generated upon the certification of renewable natural gas (“RNG”) produced was incorrectly stated as 5.9 million RINs, when in fact, upon certification, such RNG produced is anticipated to generate approximately 4.2 million RINs. This has been subsequently corrected in Exhibit 99.1 attached hereto.</w:t>
      </w:r>
    </w:p>
    <w:p>
      <w:pPr>
        <w:pStyle w:val="TextBody"/>
        <w:bidi w:val="0"/>
        <w:spacing w:before="0" w:after="0"/>
        <w:jc w:val="left"/>
        <w:rPr/>
      </w:pPr>
      <w:r>
        <w:rPr/>
      </w:r>
    </w:p>
    <w:p>
      <w:pPr>
        <w:pStyle w:val="TextBody"/>
        <w:bidi w:val="0"/>
        <w:spacing w:lineRule="auto" w:line="30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disclosed under this Item 2.02 of this Current Report on Form 8-K/A,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8-K/A and furnishing this information, the Company makes no statement or admission as to the materiality of any information in this Item 2.02 or the exhibit attached hereto.</w:t>
      </w:r>
    </w:p>
    <w:p>
      <w:pPr>
        <w:pStyle w:val="TextBody"/>
        <w:bidi w:val="0"/>
        <w:spacing w:before="0" w:after="0"/>
        <w:jc w:val="left"/>
        <w:rPr/>
      </w:pPr>
      <w:r>
        <w:rPr/>
      </w:r>
    </w:p>
    <w:p>
      <w:pPr>
        <w:pStyle w:val="TextBody"/>
        <w:bidi w:val="0"/>
        <w:spacing w:lineRule="auto" w:line="30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8-K/A,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pStyle w:val="TextBody"/>
        <w:bidi w:val="0"/>
        <w:spacing w:before="0" w:after="0"/>
        <w:jc w:val="left"/>
        <w:rPr/>
      </w:pPr>
      <w:r>
        <w:rPr/>
      </w:r>
    </w:p>
    <w:p>
      <w:pPr>
        <w:pStyle w:val="TextBody"/>
        <w:bidi w:val="0"/>
        <w:spacing w:lineRule="auto" w:line="30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to supplement the Company’s unaudited condensed consolidated financial statements presented in accordance with accounting principles generally accepted in the United States of America (“GAAP”) in Exhibit 99.1, the Company uses a non-GAAP financial measure that it calls adjusted EBITDA (“Adjusted EBITDA”). This non-GAAP Measure adjusts net income for realized and unrealized gain on interest rate swaps, net loss attributable to non-redeemable non-controlling interests, stock-based compensation expense, transaction costs and other one time non recurring charges, other non-cash charges, major maintenance for renewable power, unrealized loss (gain) for derivative instruments, non cash gain on reversal of a liability to non redeemable non-controlling interests, loss on disposal of assets, gain on redemption of Note receivable, gas in storage with forward purchase agreement and gain on equity method investments.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pStyle w:val="TextBody"/>
        <w:bidi w:val="0"/>
        <w:spacing w:before="0" w:after="0"/>
        <w:jc w:val="left"/>
        <w:rPr/>
      </w:pPr>
      <w:r>
        <w:rPr/>
      </w:r>
    </w:p>
    <w:p>
      <w:pPr>
        <w:pStyle w:val="TextBody"/>
        <w:bidi w:val="0"/>
        <w:spacing w:lineRule="auto" w:line="30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comparable to other similarly titled measures used by other companies. Reconciliations of the non-GAAP financial measure to its most directly comparable GAAP financial measure can be found in the exhibit.</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68" w:before="0" w:after="12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120"/>
        <w:jc w:val="left"/>
        <w:rPr/>
      </w:pPr>
      <w:r>
        <w:rPr/>
      </w:r>
    </w:p>
    <w:tbl>
      <w:tblPr>
        <w:tblW w:w="6895"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1493"/>
        <w:gridCol w:w="1493"/>
        <w:gridCol w:w="2113"/>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Number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opalfuelsq12023earningsrel.htm">
              <w:r>
                <w:rPr>
                  <w:rStyle w:val="InternetLink"/>
                  <w:rFonts w:ascii="Times New Roman;sans-serif" w:hAnsi="Times New Roman;sans-serif"/>
                  <w:b w:val="false"/>
                  <w:color w:val="0000FF"/>
                  <w:sz w:val="20"/>
                  <w:u w:val="single"/>
                </w:rPr>
                <w:t>Press release, issued by OPAL Fuels Inc., dated May 10,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Date: May 11, 2023</w:t>
      </w:r>
    </w:p>
    <w:tbl>
      <w:tblPr>
        <w:tblW w:w="2867" w:type="dxa"/>
        <w:jc w:val="right"/>
        <w:tblInd w:w="0" w:type="dxa"/>
        <w:tblLayout w:type="fixed"/>
        <w:tblCellMar>
          <w:top w:w="28" w:type="dxa"/>
          <w:left w:w="28" w:type="dxa"/>
          <w:bottom w:w="28" w:type="dxa"/>
          <w:right w:w="28" w:type="dxa"/>
        </w:tblCellMar>
      </w:tblPr>
      <w:tblGrid>
        <w:gridCol w:w="312"/>
        <w:gridCol w:w="273"/>
        <w:gridCol w:w="273"/>
        <w:gridCol w:w="584"/>
        <w:gridCol w:w="584"/>
        <w:gridCol w:w="841"/>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867"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OPAL Fuels Inc.</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752600" cy="4667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752600" cy="466725"/>
                    </a:xfrm>
                    <a:prstGeom prst="rect">
                      <a:avLst/>
                    </a:prstGeom>
                  </pic:spPr>
                </pic:pic>
              </a:graphicData>
            </a:graphic>
          </wp:inline>
        </w:drawing>
      </w:r>
    </w:p>
    <w:p>
      <w:pPr>
        <w:pStyle w:val="TextBody"/>
        <w:bidi w:val="0"/>
        <w:spacing w:before="0" w:after="0"/>
        <w:jc w:val="left"/>
        <w:rPr/>
      </w:pPr>
      <w:r>
        <w:rPr/>
      </w:r>
    </w:p>
    <w:p>
      <w:pPr>
        <w:pStyle w:val="TextBody"/>
        <w:bidi w:val="0"/>
        <w:spacing w:lineRule="auto" w:line="369" w:before="0" w:after="0"/>
        <w:jc w:val="left"/>
        <w:rPr>
          <w:rFonts w:ascii="Times New Roman;sans-serif" w:hAnsi="Times New Roman;sans-serif"/>
          <w:b/>
          <w:color w:val="000000"/>
          <w:sz w:val="22"/>
        </w:rPr>
      </w:pPr>
      <w:r>
        <w:rPr>
          <w:rFonts w:ascii="Times New Roman;sans-serif" w:hAnsi="Times New Roman;sans-serif"/>
          <w:b/>
          <w:color w:val="000000"/>
          <w:sz w:val="22"/>
        </w:rPr>
        <w:t>FOR IMMEDIATE RELEASE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OPAL Fuels Reports First Quarter 2023 Results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WHITE PLAINS, N.Y. – (May 10, 2023) – </w:t>
      </w:r>
      <w:r>
        <w:rPr>
          <w:rFonts w:ascii="Times New Roman;sans-serif" w:hAnsi="Times New Roman;sans-serif"/>
          <w:b w:val="false"/>
          <w:color w:val="0000FF"/>
          <w:sz w:val="24"/>
          <w:u w:val="single"/>
        </w:rPr>
        <w:t xml:space="preserve">OPAL Fuels Inc. </w:t>
      </w:r>
      <w:r>
        <w:rPr>
          <w:rFonts w:ascii="Times New Roman;sans-serif" w:hAnsi="Times New Roman;sans-serif"/>
          <w:b w:val="false"/>
          <w:color w:val="000000"/>
          <w:sz w:val="24"/>
        </w:rPr>
        <w:t>(“OPAL Fuels” or the “Company”) (Nasdaq: OPAL), ), a leading vertically integrated producer and distributor of renewable natural gas (RNG) and renewable electricity, today announced financial and operating results for the three months ended March 31, 2023.</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4"/>
        </w:rPr>
        <w:t xml:space="preserve">First quarter results reflect the continued progress we’ve been making on our strategic priorities,” said OPAL Fuels Co-CEO Adam Comora. “Performance at our RNG facilities met our expectations and is in-line with our full-year 2023 outlook. Having recently signed additional gas rights agreements, and with development projects moving forward, our Advanced Development Pipeline (“ADP”) continues to grow and mature. We are encouraged by this progress as we continue to win new business, setting the stage for strong growth in 2024 and beyond.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4"/>
        </w:rPr>
        <w:t xml:space="preserve">First quarter results reflect the impact of lower environmental credit pricing compared to last year, and our related decision to defer monetizing the majority of our RIN inventory. We are encouraged by the recent improvements in environmental credit pricing and look forward to the EPA finalizing its renewable fuel standards rules, which is due in June.” </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4"/>
        </w:rPr>
        <w:t>We continue to execute on our growth plans,” said OPAL Fuels Co-CEO Jonathan Maurer. “During the first quarter, our ADP increased to 9.3 million MMBtu of feedstock biogas from 8.3 million MMBtu at year end, including progress associated with recently executed gas rights at landfill sites in Illinois and Florida. This progress gives us confidence that we are on track to meet our target of placing at least 2 million MMBtu of RNG projects into construction in 2023.</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In addition to the projects in our ADP, we continue to see an increase in prospective opportunities for new RNG and renewable electric projects, as well as for our existing renewable power portfolio, with the potential of the proposed eRIN pathway.</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4"/>
        </w:rPr>
        <w:t>Overall, while environmental credit market prices are lower relative to last year, the industry continues to benefit from increasing demand for RNG across end markets. We believe the tailwinds for RNG will be increasingly recognized by the market. We remain focused on creating long-term intrinsic value for our stakeholders by delivering on our growth plans.”</w:t>
      </w:r>
    </w:p>
    <w:p>
      <w:pPr>
        <w:pStyle w:val="TextBody"/>
        <w:bidi w:val="0"/>
        <w:spacing w:before="0" w:after="0"/>
        <w:jc w:val="both"/>
        <w:rPr/>
      </w:pPr>
      <w:r>
        <w:rPr/>
      </w:r>
    </w:p>
    <w:p>
      <w:pPr>
        <w:pStyle w:val="TextBody"/>
        <w:bidi w:val="0"/>
        <w:spacing w:lineRule="auto" w:line="369"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extBody"/>
        <w:bidi w:val="0"/>
        <w:spacing w:lineRule="auto" w:line="26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Reflects OPAL Fuels proportional ownership with respect to RNG projects owned with joint venture partners.</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Financial Highlights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4"/>
        </w:rPr>
        <w:t>Revenues for the three months ended March 31, 2023, were $43.0 million, down 12%, compared to to the same period last year.</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Net loss for the three months ended March 31, 2023, was $7.3 million compared to $4.5 million in the same period last year.</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Basic and diluted loss per share attributable to Class A common shareholders for the three months ended March 31, 2023 was $0.06.</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4"/>
        </w:rPr>
        <w:t>Adjusted EBITDA</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for the three months ended March 31, 2023, was $8.7 million, up 112% compared to the same period last year.</w:t>
      </w:r>
    </w:p>
    <w:p>
      <w:pPr>
        <w:pStyle w:val="TextBody"/>
        <w:bidi w:val="0"/>
        <w:spacing w:before="0" w:after="0"/>
        <w:ind w:left="0" w:right="0" w:hanging="36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Consistent with previous disclosures, to better align current period costs of RNG production with the associated value of RNG pending certification, we include in Adjusted EBITDA our RNG pending certification marked at quarter-end index prices. Given our decision to defer monetizing the majority of our environmental credit inventory, we are also including unsold credit inventory for the current period in Adjusted EBITDA marking the inventory at quarter-end index prices.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Operational Highlights</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RNG produced was 0.6 million MMBtu, for the three months ended March 31, 2023, up 50%, compared to the prior-year period.</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 xml:space="preserve">RNG sold as transportation fuel was 8.3 million GGEs for the three months ended March 31, 2023, up 36% compared to the prior-year period.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The Fuel Station Services segment sold, dispensed, and serviced an aggregate of 32.4 million GGEs of transportation fuel for the three months ended March 31, 2023, a 27% increase compared to the prior-year period.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Construction Update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Emerald RNG project remains on track to commence commercial operations in the next few months.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 xml:space="preserve">The Prince William RNG project is expected to commence commercial operations in the fourth quarter of 2023. </w:t>
      </w:r>
    </w:p>
    <w:p>
      <w:pPr>
        <w:pStyle w:val="TextBody"/>
        <w:bidi w:val="0"/>
        <w:spacing w:before="0" w:after="0"/>
        <w:jc w:val="both"/>
        <w:rPr/>
      </w:pPr>
      <w:r>
        <w:rPr/>
      </w:r>
    </w:p>
    <w:p>
      <w:pPr>
        <w:pStyle w:val="TextBody"/>
        <w:bidi w:val="0"/>
        <w:spacing w:lineRule="auto" w:line="240" w:before="0" w:after="0"/>
        <w:jc w:val="left"/>
        <w:rPr/>
      </w:pPr>
      <w:r>
        <w:rPr>
          <w:rFonts w:ascii="Times New Roman;sans-serif" w:hAnsi="Times New Roman;sans-serif"/>
          <w:b w:val="false"/>
          <w:color w:val="FFFFFF"/>
          <w:sz w:val="16"/>
          <w:shd w:fill="FFFFFF" w:val="clear"/>
        </w:rPr>
        <w:t>1</w:t>
      </w: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20"/>
        </w:rPr>
        <w:t>Adjusted EBITDA is a non-GAAP measure. A reconciliation of GAAP Net (Loss) Income to Adjusted EBITDA has been provided in the financial tables included in this press release. An explanation of this measure and how it is calculated is also included below under the heading “Non-GAAP Financial Measures."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 xml:space="preserve">The Sapphire RNG project is now expected to commence commercial operations in the first half of 2024 due to permitting delays.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two dairy projects in California and our Northeast landfill project are anticipated to be commissioned in the second half of 2024.</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OPAL Fuels’ share of annual nameplate capacity</w:t>
      </w:r>
      <w:r>
        <w:rPr>
          <w:rFonts w:ascii="Times New Roman;sans-serif" w:hAnsi="Times New Roman;sans-serif"/>
          <w:b w:val="false"/>
          <w:color w:val="000000"/>
          <w:sz w:val="16"/>
        </w:rPr>
        <w:t>3</w:t>
      </w:r>
      <w:r>
        <w:rPr>
          <w:color w:val="000000"/>
        </w:rPr>
        <w:t xml:space="preserve"> </w:t>
      </w:r>
      <w:r>
        <w:rPr>
          <w:rFonts w:ascii="Times New Roman;sans-serif" w:hAnsi="Times New Roman;sans-serif"/>
          <w:b w:val="false"/>
          <w:color w:val="000000"/>
          <w:sz w:val="24"/>
        </w:rPr>
        <w:t>for the six projects in construction is approximately 4.7 million MMBtu, including 4.2 million MMBtu of landfill projects and 0.5 MMBtu of dairy projects.</w:t>
      </w:r>
      <w:r>
        <w:rPr>
          <w:rFonts w:ascii="Times New Roman;sans-serif" w:hAnsi="Times New Roman;sans-serif"/>
          <w:b w:val="false"/>
          <w:color w:val="000000"/>
          <w:sz w:val="16"/>
        </w:rPr>
        <w:t>4</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Development Update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We are on track to place at least 2 million MMBtu</w:t>
      </w:r>
      <w:r>
        <w:rPr>
          <w:rFonts w:ascii="Times New Roman;sans-serif" w:hAnsi="Times New Roman;sans-serif"/>
          <w:b w:val="false"/>
          <w:color w:val="000000"/>
          <w:sz w:val="16"/>
        </w:rPr>
        <w:t>3</w:t>
      </w:r>
      <w:r>
        <w:rPr>
          <w:color w:val="000000"/>
        </w:rPr>
        <w:t xml:space="preserve"> </w:t>
      </w:r>
      <w:r>
        <w:rPr>
          <w:rFonts w:ascii="Times New Roman;sans-serif" w:hAnsi="Times New Roman;sans-serif"/>
          <w:b w:val="false"/>
          <w:color w:val="000000"/>
          <w:sz w:val="24"/>
        </w:rPr>
        <w:t>of RNG projects (representing OPAL Fuels' proportional ownership) into construction in 2023.</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Advanced Development Pipeline comprises 9.4 million MMBtu of feedstock biogas per year, compared to 8.3 million MMBtu at year-end.</w:t>
      </w:r>
      <w:r>
        <w:rPr>
          <w:rFonts w:ascii="Times New Roman;sans-serif" w:hAnsi="Times New Roman;sans-serif"/>
          <w:b w:val="false"/>
          <w:color w:val="000000"/>
          <w:sz w:val="16"/>
        </w:rPr>
        <w:t>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OPAL Fuels recently entered into gas rights agreements for two landfill RNG projects, one with a municipality in Polk County, Florida and the other with WM in Illinois. These projects are 100% owned by OPAL Fuels.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Polk County project is anticipated to have nameplate capacity</w:t>
      </w:r>
      <w:r>
        <w:rPr>
          <w:rFonts w:ascii="Times New Roman;sans-serif" w:hAnsi="Times New Roman;sans-serif"/>
          <w:b w:val="false"/>
          <w:color w:val="000000"/>
          <w:sz w:val="16"/>
        </w:rPr>
        <w:t>3</w:t>
      </w:r>
      <w:r>
        <w:rPr>
          <w:color w:val="000000"/>
        </w:rPr>
        <w:t xml:space="preserve"> </w:t>
      </w:r>
      <w:r>
        <w:rPr>
          <w:rFonts w:ascii="Times New Roman;sans-serif" w:hAnsi="Times New Roman;sans-serif"/>
          <w:b w:val="false"/>
          <w:color w:val="000000"/>
          <w:sz w:val="24"/>
        </w:rPr>
        <w:t xml:space="preserve">of approximately 1.1 million annual MMBtu, with start of construction expected next month and commencement of operations anticipated in the second half of 2024.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WM project is anticipated to have nameplate capacity</w:t>
      </w:r>
      <w:r>
        <w:rPr>
          <w:rFonts w:ascii="Times New Roman;sans-serif" w:hAnsi="Times New Roman;sans-serif"/>
          <w:b w:val="false"/>
          <w:color w:val="000000"/>
          <w:sz w:val="16"/>
        </w:rPr>
        <w:t>3</w:t>
      </w:r>
      <w:r>
        <w:rPr>
          <w:color w:val="000000"/>
        </w:rPr>
        <w:t xml:space="preserve"> </w:t>
      </w:r>
      <w:r>
        <w:rPr>
          <w:rFonts w:ascii="Times New Roman;sans-serif" w:hAnsi="Times New Roman;sans-serif"/>
          <w:b w:val="false"/>
          <w:color w:val="000000"/>
          <w:sz w:val="24"/>
        </w:rPr>
        <w:t>of 600,000 to 700,000 annual MMBtu, with start of construction expected in the second half of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_____________________________</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Nameplate capacity is the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Represents OPAL Fuels proportional share with respect to RNG projects owned with joint venture partners.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6"/>
        </w:rPr>
        <w:t>5</w:t>
      </w:r>
      <w:r>
        <w:rPr>
          <w:color w:val="000000"/>
        </w:rPr>
        <w:t xml:space="preserve"> </w:t>
      </w:r>
      <w:r>
        <w:rPr>
          <w:rFonts w:ascii="Times New Roman;sans-serif" w:hAnsi="Times New Roman;sans-serif"/>
          <w:b w:val="false"/>
          <w:color w:val="000000"/>
          <w:sz w:val="20"/>
        </w:rPr>
        <w:t>The Company's Advanced Development Pipeline comprises projects that have been qualified and are reasonably expected to be in construction within the next twelve to eighteen months. The MMBtu associated with these projects is presented as available biogas resource and assumes a conversion ratio of 90% for output gas. The Advanced Development Pipeline excludes the five dairy projects referenced above.</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FFFFFF"/>
          <w:sz w:val="24"/>
        </w:rPr>
      </w:pPr>
      <w:r>
        <w:rPr>
          <w:rFonts w:ascii="Times New Roman;sans-serif" w:hAnsi="Times New Roman;sans-serif"/>
          <w:b w:val="false"/>
          <w:color w:val="FFFFFF"/>
          <w:sz w:val="24"/>
        </w:rPr>
        <w:t>_______________________</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Results of Operations</w:t>
      </w:r>
    </w:p>
    <w:p>
      <w:pPr>
        <w:pStyle w:val="TextBody"/>
        <w:bidi w:val="0"/>
        <w:spacing w:before="0" w:after="0"/>
        <w:jc w:val="both"/>
        <w:rPr/>
      </w:pPr>
      <w:r>
        <w:rPr/>
      </w:r>
    </w:p>
    <w:tbl>
      <w:tblPr>
        <w:tblW w:w="8616" w:type="dxa"/>
        <w:jc w:val="left"/>
        <w:tblInd w:w="0" w:type="dxa"/>
        <w:tblLayout w:type="fixed"/>
        <w:tblCellMar>
          <w:top w:w="28" w:type="dxa"/>
          <w:left w:w="28" w:type="dxa"/>
          <w:bottom w:w="28" w:type="dxa"/>
          <w:right w:w="28" w:type="dxa"/>
        </w:tblCellMar>
      </w:tblPr>
      <w:tblGrid>
        <w:gridCol w:w="1442"/>
        <w:gridCol w:w="1263"/>
        <w:gridCol w:w="1269"/>
        <w:gridCol w:w="109"/>
        <w:gridCol w:w="109"/>
        <w:gridCol w:w="109"/>
        <w:gridCol w:w="109"/>
        <w:gridCol w:w="109"/>
        <w:gridCol w:w="232"/>
        <w:gridCol w:w="232"/>
        <w:gridCol w:w="450"/>
        <w:gridCol w:w="1538"/>
        <w:gridCol w:w="232"/>
        <w:gridCol w:w="109"/>
        <w:gridCol w:w="109"/>
        <w:gridCol w:w="109"/>
        <w:gridCol w:w="211"/>
        <w:gridCol w:w="721"/>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thousands of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RNG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delivered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Revenues for the three months ended March 31, 2023, were $43.0 million, a decrease of 12%, or $6.1 million, compared to $49.0 million in the prior-year period. The primary driver for the decrease in revenues was the Company's decision to defer RIN sales at current market prices.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Net loss for the three months ended March 31, 2023, was $7.3 million compared to $4.5 million in the prior-year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Adjusted EBITDA for the three months ended March 31, 2023, was $8.7 million compared to $4.1 million in the prior-year period. The primary driver for the increase in Adjusted EBITDA is the Company's higher production of RNG.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RNG Pending Certification and Unsold Environmental Credits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 March 31, 2023, the Company had produced RNG that was pending certification for generation of environmental credits. Upon completion of certification, this RNG is anticipated to generate approximately 4.2 million RINs and 0.1 million LCFS credits.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 March 31, 2023, the Company had unsold environmental credits including approximately 5.1 million RINs, reflecting its decision to defer monetizing these environmental credits given market conditions. </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Under generally accepted accounting principles (“GAAP”), the timing of revenue recognition for stand-alone RIN and LCFS sales contracts is tied to the delivery of the RIN and LCFS credits to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our counterparties and not the production of the RIN and LCFS. To better align timing of revenues to when costs are recognized for the production of RNG in a current period, we also illustrate the value of that RNG and environmental credits held in inventory as an adjustment to EBITDA in that period. For the first quarter of 2023, based on market prices as of March 31, 2023</w:t>
      </w:r>
      <w:r>
        <w:rPr>
          <w:rFonts w:ascii="Times New Roman;sans-serif" w:hAnsi="Times New Roman;sans-serif"/>
          <w:b w:val="false"/>
          <w:color w:val="000000"/>
          <w:sz w:val="16"/>
        </w:rPr>
        <w:t>7</w:t>
      </w:r>
      <w:r>
        <w:rPr>
          <w:rFonts w:ascii="Times New Roman;sans-serif" w:hAnsi="Times New Roman;sans-serif"/>
          <w:b w:val="false"/>
          <w:color w:val="000000"/>
          <w:sz w:val="24"/>
        </w:rPr>
        <w:t xml:space="preserve">, Adjusted EBITDA includes an aggregate of $10.3 million that is anticipated to be generated from sales of RNG pending certification and unsold environmental credits.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Segment Revenues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RNG Fuel</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Revenue from RNG Fuel was $12.2 million, a decrease of $2.9 million, or 19%, for the three months ended March 31, 2023, compared to the three months ended March 31, 2022. The decrease is primarily due to a decrease in sales volume and lower pricing attained for environmental credits as the Company elected to defer sales of credits in the quarter. Additionally, there was a decrease in brown gas revenues due to lower market pricing.</w:t>
      </w:r>
    </w:p>
    <w:p>
      <w:pPr>
        <w:pStyle w:val="TextBody"/>
        <w:bidi w:val="0"/>
        <w:spacing w:lineRule="auto" w:line="28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Fuel Station Services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Revenue from Fuel Station Services was $20.8 million a decrease of $4.0 million, or 16%, for the first quarter of 2023 compared to the three months ended March 31, 2022. This was primarily attributable to the timing of work completed on fuel station construction projects and the associated RNG pending certification and unsold environmental credits. At March 31, 2023, the Company had a backlog of third-party construction contracts with related revenue of $59.5 million, which is anticipated to be recognized in the next 12 months as construction is completed.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It should be noted that with our reclassification of the Fuel Station Services business segment such that it now includes both fuel sales contracts at OPAL Fuels-owned stations and RNG marketing revenues associated with dispensing RNG, Fuel Station Services revenues and EBITDA were also impacted by the decision to defer monetization of environmental credits in the first quarter.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Renewable Power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Revenue from Renewable Power was $9.9 million, $0.8 million higher for the three months ended March 31, 2023, compared to the first quarter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Liquidity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of March 31, 2023, liquidity was $181.8 million, consisting of cash and cash equivalents of $39.8 million including restricted cash of $6.6 million, $37.0 million in short-term investments maturing within 90 days, and availability of $105 million senior secured credit facilities.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6"/>
        </w:rPr>
        <w:t>7</w:t>
      </w:r>
      <w:r>
        <w:rPr>
          <w:color w:val="000000"/>
        </w:rPr>
        <w:t xml:space="preserve"> </w:t>
      </w:r>
      <w:r>
        <w:rPr>
          <w:rFonts w:ascii="Times New Roman;sans-serif" w:hAnsi="Times New Roman;sans-serif"/>
          <w:b w:val="false"/>
          <w:color w:val="000000"/>
          <w:sz w:val="20"/>
        </w:rPr>
        <w:t>Using quarter end pricing of $1.95/gallon for D3 RINs and $70.0 per LCFS credits.</w:t>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believe that our liquidity, anticipated cash flows from operations, and access to expected sources of capital will be sufficient to meet our existing funding needs. </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Capital Expenditures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During the first quarter of 2023, OPAL Fuels invested $38.8 million across five RNG projects and 22 OPAL Fuels owned fueling stations in construction as compared to $22.5 million as of the comparable period in 2022.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Earnings Call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webcast to review OPAL Fuels’ First Quarter 2023 results is being held tomorrow, May 11, 2023 at 11:00AM Eastern Time.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Materials to be discussed in the webcast will be available before the call on the Company's website.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Participants may access the call at </w:t>
      </w:r>
      <w:r>
        <w:rPr>
          <w:rFonts w:ascii="Times New Roman;sans-serif" w:hAnsi="Times New Roman;sans-serif"/>
          <w:b w:val="false"/>
          <w:color w:val="0E32E1"/>
          <w:sz w:val="24"/>
        </w:rPr>
        <w:t>https://edge.media-server.com/mmc/p/qbsqnkux</w:t>
      </w:r>
      <w:r>
        <w:rPr>
          <w:rFonts w:ascii="Times New Roman;sans-serif" w:hAnsi="Times New Roman;sans-serif"/>
          <w:b w:val="false"/>
          <w:color w:val="000000"/>
          <w:sz w:val="24"/>
        </w:rPr>
        <w:t xml:space="preserve">. Investors can also listen to a webcast of the presentation on the company’s Investor Relations website at </w:t>
      </w:r>
      <w:r>
        <w:rPr>
          <w:rFonts w:ascii="Times New Roman;sans-serif" w:hAnsi="Times New Roman;sans-serif"/>
          <w:b w:val="false"/>
          <w:color w:val="0E32E1"/>
          <w:sz w:val="24"/>
        </w:rPr>
        <w:t>https://investors.opalfuels.com/news-events/events-presentations.</w:t>
      </w:r>
    </w:p>
    <w:p>
      <w:pPr>
        <w:pStyle w:val="TextBody"/>
        <w:bidi w:val="0"/>
        <w:spacing w:before="0" w:after="0"/>
        <w:jc w:val="both"/>
        <w:rPr/>
      </w:pPr>
      <w:r>
        <w:rPr/>
      </w:r>
    </w:p>
    <w:p>
      <w:pPr>
        <w:pStyle w:val="TextBody"/>
        <w:bidi w:val="0"/>
        <w:spacing w:lineRule="auto" w:line="369" w:before="0" w:after="0"/>
        <w:jc w:val="both"/>
        <w:rPr>
          <w:rFonts w:ascii="Times New Roman;sans-serif" w:hAnsi="Times New Roman;sans-serif"/>
          <w:b/>
          <w:color w:val="000000"/>
          <w:sz w:val="24"/>
        </w:rPr>
      </w:pPr>
      <w:r>
        <w:rPr>
          <w:rFonts w:ascii="Times New Roman;sans-serif" w:hAnsi="Times New Roman;sans-serif"/>
          <w:b/>
          <w:color w:val="000000"/>
          <w:sz w:val="24"/>
        </w:rPr>
        <w:t>Glossary of terms</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i/>
          <w:color w:val="000000"/>
          <w:sz w:val="24"/>
        </w:rPr>
        <w:t xml:space="preserve">Environmental Attributes” </w:t>
      </w:r>
      <w:r>
        <w:rPr>
          <w:rFonts w:ascii="Times New Roman;sans-serif" w:hAnsi="Times New Roman;sans-serif"/>
          <w:b w:val="false"/>
          <w:color w:val="000000"/>
          <w:sz w:val="24"/>
        </w:rPr>
        <w:t>refer to federal, state, and local government incentives in the United States, provided in the form of Renewable Identification Numbers, Renewable Energy Credits, Low Carbon Fuel Standard credits, rebates, tax credits and other incentives to end users, distributors, system integrators and manufacturers of renewable energy projects that promote the use of renewable energy.</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i/>
          <w:color w:val="000000"/>
          <w:sz w:val="24"/>
        </w:rPr>
        <w:t xml:space="preserve">GGE” </w:t>
      </w:r>
      <w:r>
        <w:rPr>
          <w:rFonts w:ascii="Times New Roman;sans-serif" w:hAnsi="Times New Roman;sans-serif"/>
          <w:b w:val="false"/>
          <w:color w:val="000000"/>
          <w:sz w:val="24"/>
        </w:rPr>
        <w:t xml:space="preserve">refers to Gasoline gallon equivalent. It is used to measure the total volume of RNG production that OPAL Fuels expects to dispense each year. The conversion ratio is 1MMBtu equal to 7.74 GGE. </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LFG” </w:t>
      </w:r>
      <w:r>
        <w:rPr>
          <w:rFonts w:ascii="Times New Roman;sans-serif" w:hAnsi="Times New Roman;sans-serif"/>
          <w:b w:val="false"/>
          <w:color w:val="000000"/>
          <w:sz w:val="24"/>
        </w:rPr>
        <w:t>refers to landfill gas.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MMBtu” </w:t>
      </w:r>
      <w:r>
        <w:rPr>
          <w:rFonts w:ascii="Times New Roman;sans-serif" w:hAnsi="Times New Roman;sans-serif"/>
          <w:b w:val="false"/>
          <w:color w:val="000000"/>
          <w:sz w:val="24"/>
        </w:rPr>
        <w:t xml:space="preserve">refers to British thermal units. </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Renewable Power” </w:t>
      </w:r>
      <w:r>
        <w:rPr>
          <w:rFonts w:ascii="Times New Roman;sans-serif" w:hAnsi="Times New Roman;sans-serif"/>
          <w:b w:val="false"/>
          <w:color w:val="000000"/>
          <w:sz w:val="24"/>
        </w:rPr>
        <w:t>refers to electricity generated from renewable sources.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RNG” </w:t>
      </w:r>
      <w:r>
        <w:rPr>
          <w:rFonts w:ascii="Times New Roman;sans-serif" w:hAnsi="Times New Roman;sans-serif"/>
          <w:b w:val="false"/>
          <w:color w:val="000000"/>
          <w:sz w:val="24"/>
        </w:rPr>
        <w:t>refers to renewable natural gas.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D3” </w:t>
      </w:r>
      <w:r>
        <w:rPr>
          <w:rFonts w:ascii="Times New Roman;sans-serif" w:hAnsi="Times New Roman;sans-serif"/>
          <w:b w:val="false"/>
          <w:color w:val="000000"/>
          <w:sz w:val="24"/>
        </w:rPr>
        <w:t>refers to cellulosic biofuel with a 60% GHG reduction requirement.</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RIN” </w:t>
      </w:r>
      <w:r>
        <w:rPr>
          <w:rFonts w:ascii="Times New Roman;sans-serif" w:hAnsi="Times New Roman;sans-serif"/>
          <w:b w:val="false"/>
          <w:color w:val="000000"/>
          <w:sz w:val="24"/>
        </w:rPr>
        <w:t>refers to Renewal Identification Numbers.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EPA” </w:t>
      </w:r>
      <w:r>
        <w:rPr>
          <w:rFonts w:ascii="Times New Roman;sans-serif" w:hAnsi="Times New Roman;sans-serif"/>
          <w:b w:val="false"/>
          <w:color w:val="000000"/>
          <w:sz w:val="24"/>
        </w:rPr>
        <w:t>refers to Environmental Protection Agency.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About OPAL Fuels Inc.</w:t>
      </w:r>
    </w:p>
    <w:p>
      <w:pPr>
        <w:pStyle w:val="TextBody"/>
        <w:bidi w:val="0"/>
        <w:spacing w:lineRule="auto" w:line="288" w:before="0" w:after="0"/>
        <w:jc w:val="both"/>
        <w:rPr/>
      </w:pPr>
      <w:r>
        <w:rPr>
          <w:rFonts w:ascii="Times New Roman;sans-serif" w:hAnsi="Times New Roman;sans-serif"/>
          <w:b w:val="false"/>
          <w:color w:val="0563C1"/>
          <w:sz w:val="24"/>
        </w:rPr>
        <w:t>OPAL Fuels</w:t>
      </w:r>
      <w:r>
        <w:rPr>
          <w:color w:val="000000"/>
        </w:rPr>
        <w:t xml:space="preserve"> </w:t>
      </w:r>
      <w:r>
        <w:rPr>
          <w:rFonts w:ascii="Times New Roman;sans-serif" w:hAnsi="Times New Roman;sans-serif"/>
          <w:b w:val="false"/>
          <w:color w:val="0563C1"/>
          <w:sz w:val="24"/>
        </w:rPr>
        <w:t>Inc. (Nasdaq: OPAL)</w:t>
      </w:r>
      <w:r>
        <w:rPr>
          <w:color w:val="000000"/>
        </w:rPr>
        <w:t xml:space="preserve"> </w:t>
      </w:r>
      <w:r>
        <w:rPr>
          <w:rFonts w:ascii="Times New Roman;sans-serif" w:hAnsi="Times New Roman;sans-serif"/>
          <w:b w:val="false"/>
          <w:color w:val="212121"/>
          <w:sz w:val="24"/>
        </w:rPr>
        <w:t xml:space="preserve">is a leading vertically integrated producer and distributor of renewable electricity and renewable natural gas (RNG), a proven low-carbon energy source that is rapidly decarbonizing multiple sectors including the transportation and utility industries. OPAL Fuels delivers complete renewable solutions to customers and production partners. With a portfolio of 26 operating renewable fuel and renewable power projects, OPAL Fuels is positioned to advance the clean energy transition in support of renewable fuel for transportation, for utilities, for powering EV charging infrastructure, and by offering hydrogen fuel solutions. To learn more about OPAL Fuels and how it is leading the effort to capture North America’s harmful methane emissions and decarbonize the economy, please visit </w:t>
      </w:r>
      <w:r>
        <w:rPr>
          <w:rFonts w:ascii="Times New Roman;sans-serif" w:hAnsi="Times New Roman;sans-serif"/>
          <w:b w:val="false"/>
          <w:color w:val="0078D4"/>
          <w:sz w:val="24"/>
        </w:rPr>
        <w:t>www.opalfuels.com</w:t>
      </w:r>
      <w:r>
        <w:rPr>
          <w:rFonts w:ascii="Times New Roman;sans-serif" w:hAnsi="Times New Roman;sans-serif"/>
          <w:b w:val="false"/>
          <w:color w:val="212121"/>
          <w:sz w:val="24"/>
        </w:rPr>
        <w:t>.</w:t>
      </w:r>
    </w:p>
    <w:p>
      <w:pPr>
        <w:pStyle w:val="TextBody"/>
        <w:bidi w:val="0"/>
        <w:spacing w:before="0" w:after="0"/>
        <w:jc w:val="both"/>
        <w:rPr/>
      </w:pPr>
      <w:r>
        <w:rPr/>
      </w:r>
    </w:p>
    <w:p>
      <w:pPr>
        <w:pStyle w:val="TextBody"/>
        <w:bidi w:val="0"/>
        <w:spacing w:lineRule="auto" w:line="240" w:before="0" w:after="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filed on March 30, 2023,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Disclaimer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Contact information</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Media </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Jason Stewart </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Senior Director Public Relations &amp; Marketing</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914-421-5336 </w:t>
      </w:r>
    </w:p>
    <w:p>
      <w:pPr>
        <w:pStyle w:val="TextBody"/>
        <w:bidi w:val="0"/>
        <w:spacing w:lineRule="auto" w:line="312" w:before="0" w:after="0"/>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jstewart@opalfuels.com</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ICR, Inc. </w:t>
      </w:r>
    </w:p>
    <w:p>
      <w:pPr>
        <w:pStyle w:val="TextBody"/>
        <w:bidi w:val="0"/>
        <w:spacing w:lineRule="auto" w:line="312" w:before="0" w:after="0"/>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OPALFuelsPR@icrinc.com</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color w:val="000000"/>
          <w:sz w:val="24"/>
        </w:rPr>
      </w:pPr>
      <w:r>
        <w:rPr>
          <w:rFonts w:ascii="Times New Roman;sans-serif" w:hAnsi="Times New Roman;sans-serif"/>
          <w:b/>
          <w:color w:val="000000"/>
          <w:sz w:val="24"/>
        </w:rPr>
        <w:t>Investors</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Todd Firestone</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 Investor Relations &amp; Corporate Development</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914-705-4001</w:t>
      </w:r>
    </w:p>
    <w:p>
      <w:pPr>
        <w:pStyle w:val="TextBody"/>
        <w:bidi w:val="0"/>
        <w:spacing w:lineRule="auto" w:line="369" w:before="0" w:after="0"/>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investors@opalfuels.com</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75"/>
        <w:gridCol w:w="2030"/>
        <w:gridCol w:w="2056"/>
        <w:gridCol w:w="109"/>
        <w:gridCol w:w="109"/>
        <w:gridCol w:w="109"/>
        <w:gridCol w:w="257"/>
        <w:gridCol w:w="1008"/>
        <w:gridCol w:w="133"/>
        <w:gridCol w:w="109"/>
        <w:gridCol w:w="109"/>
        <w:gridCol w:w="109"/>
        <w:gridCol w:w="298"/>
        <w:gridCol w:w="1172"/>
        <w:gridCol w:w="222"/>
      </w:tblGrid>
      <w:tr>
        <w:trPr/>
        <w:tc>
          <w:tcPr>
            <w:tcW w:w="2375"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6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and cash equivalents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40,394 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cash -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32,402 </w:t>
            </w:r>
          </w:p>
        </w:tc>
        <w:tc>
          <w:tcPr>
            <w:tcW w:w="22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74,211 </w:t>
            </w:r>
          </w:p>
        </w:tc>
        <w:tc>
          <w:tcPr>
            <w:tcW w:w="22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134,807 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211,983 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plant, and equipment,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336,299 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297,323 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cash - non-current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129,726 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131,125 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606,702 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644,856 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73,092 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73,439 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130,714 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 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88,312 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25,820 </w:t>
            </w:r>
          </w:p>
        </w:tc>
        <w:tc>
          <w:tcPr>
            <w:tcW w:w="22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243,348 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267,037 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138,142 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1,013,833 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attributable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(800,601)</w:t>
            </w:r>
          </w:p>
        </w:tc>
        <w:tc>
          <w:tcPr>
            <w:tcW w:w="22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26,445 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(791,386)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(774,156)</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Redeemable preferred, Redeemable non-controlling interests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606,702 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644,856 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left"/>
        <w:rPr/>
      </w:pPr>
      <w:r>
        <w:rPr/>
      </w:r>
    </w:p>
    <w:p>
      <w:pPr>
        <w:pStyle w:val="TextBody"/>
        <w:bidi w:val="0"/>
        <w:spacing w:before="200" w:after="200"/>
        <w:jc w:val="left"/>
        <w:rPr/>
      </w:pPr>
      <w:r>
        <w:rPr/>
      </w:r>
    </w:p>
    <w:p>
      <w:pPr>
        <w:pStyle w:val="TextBody"/>
        <w:bidi w:val="0"/>
        <w:spacing w:before="200" w:after="2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200" w:after="200"/>
        <w:jc w:val="left"/>
        <w:rPr/>
      </w:pPr>
      <w:r>
        <w:rPr/>
      </w:r>
    </w:p>
    <w:p>
      <w:pPr>
        <w:pStyle w:val="TextBody"/>
        <w:bidi w:val="0"/>
        <w:spacing w:lineRule="auto" w:line="288" w:before="200" w:after="200"/>
        <w:jc w:val="center"/>
        <w:rPr>
          <w:rFonts w:ascii="Times New Roman;sans-serif" w:hAnsi="Times New Roman;sans-serif"/>
          <w:b/>
          <w:color w:val="000000"/>
          <w:sz w:val="24"/>
        </w:rPr>
      </w:pPr>
      <w:r>
        <w:rPr>
          <w:rFonts w:ascii="Times New Roman;sans-serif" w:hAnsi="Times New Roman;sans-serif"/>
          <w:b/>
          <w:color w:val="000000"/>
          <w:sz w:val="24"/>
        </w:rPr>
        <w:t>OPAL FUELS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OPERATIONS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 thousands of U.S. dollars, except per unit data)</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tbl>
      <w:tblPr>
        <w:tblW w:w="10205" w:type="dxa"/>
        <w:jc w:val="left"/>
        <w:tblInd w:w="0" w:type="dxa"/>
        <w:tblLayout w:type="fixed"/>
        <w:tblCellMar>
          <w:top w:w="28" w:type="dxa"/>
          <w:left w:w="28" w:type="dxa"/>
          <w:bottom w:w="28" w:type="dxa"/>
          <w:right w:w="28" w:type="dxa"/>
        </w:tblCellMar>
      </w:tblPr>
      <w:tblGrid>
        <w:gridCol w:w="2269"/>
        <w:gridCol w:w="1823"/>
        <w:gridCol w:w="1835"/>
        <w:gridCol w:w="109"/>
        <w:gridCol w:w="109"/>
        <w:gridCol w:w="109"/>
        <w:gridCol w:w="409"/>
        <w:gridCol w:w="409"/>
        <w:gridCol w:w="410"/>
        <w:gridCol w:w="109"/>
        <w:gridCol w:w="109"/>
        <w:gridCol w:w="109"/>
        <w:gridCol w:w="223"/>
        <w:gridCol w:w="738"/>
        <w:gridCol w:w="109"/>
        <w:gridCol w:w="109"/>
        <w:gridCol w:w="109"/>
        <w:gridCol w:w="109"/>
        <w:gridCol w:w="196"/>
        <w:gridCol w:w="646"/>
        <w:gridCol w:w="157"/>
      </w:tblGrid>
      <w:tr>
        <w:trPr/>
        <w:tc>
          <w:tcPr>
            <w:tcW w:w="2269"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2723" w:type="dxa"/>
            <w:gridSpan w:val="12"/>
            <w:tcBorders/>
          </w:tcPr>
          <w:p>
            <w:pPr>
              <w:pStyle w:val="TableContents"/>
              <w:bidi w:val="0"/>
              <w:spacing w:before="0" w:after="283"/>
              <w:jc w:val="left"/>
              <w:rPr>
                <w:sz w:val="4"/>
                <w:szCs w:val="4"/>
              </w:rPr>
            </w:pPr>
            <w:r>
              <w:rPr>
                <w:sz w:val="4"/>
                <w:szCs w:val="4"/>
              </w:rPr>
            </w:r>
          </w:p>
        </w:tc>
      </w:tr>
      <w:tr>
        <w:trPr/>
        <w:tc>
          <w:tcPr>
            <w:tcW w:w="59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$4,715 and $8,648 for the three months ended March 31, 2023 and 2022,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 (includes revenues from related party of $1,493 and $4,248 for the three months ended March 31, 2023 and 2022,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$1,527 and $1,026or the three months ended March 31, 2023 and 2022,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warrant exchange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18"/>
              </w:rPr>
              <w:t>Income (loss) from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Paid-in-kind preferred dividends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Class A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Basic </w:t>
            </w:r>
            <w:r>
              <w:rPr>
                <w:rFonts w:ascii="Times New Roman;sans-serif" w:hAnsi="Times New Roman;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Diluted </w:t>
            </w:r>
            <w:r>
              <w:rPr>
                <w:rFonts w:ascii="Times New Roman;sans-serif" w:hAnsi="Times New Roman;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18"/>
        </w:rPr>
        <w:t xml:space="preserve">Paid-in-kind preferred dividend is allocated between redeemable non-controlling interests and Class A common stockholders based on their weighted average percentage of ownership. </w:t>
      </w:r>
    </w:p>
    <w:p>
      <w:pPr>
        <w:pStyle w:val="TextBody"/>
        <w:bidi w:val="0"/>
        <w:spacing w:lineRule="auto" w:line="288" w:before="200" w:after="20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Income per share information has not been presented for the three months ended March 31, 2022 as it would not be meaningful to the users of these consolidated financial statements,</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before="200" w:after="200"/>
        <w:jc w:val="left"/>
        <w:rPr/>
      </w:pPr>
      <w:r>
        <w:rPr/>
      </w:r>
    </w:p>
    <w:p>
      <w:pPr>
        <w:pStyle w:val="TextBody"/>
        <w:bidi w:val="0"/>
        <w:spacing w:lineRule="auto" w:line="288" w:before="200" w:after="200"/>
        <w:jc w:val="center"/>
        <w:rPr>
          <w:rFonts w:ascii="Times New Roman;sans-serif" w:hAnsi="Times New Roman;sans-serif"/>
          <w:b/>
          <w:color w:val="000000"/>
          <w:sz w:val="24"/>
        </w:rPr>
      </w:pPr>
      <w:r>
        <w:rPr>
          <w:rFonts w:ascii="Times New Roman;sans-serif" w:hAnsi="Times New Roman;sans-serif"/>
          <w:b/>
          <w:color w:val="000000"/>
          <w:sz w:val="24"/>
        </w:rPr>
        <w:t>OPAL FUELS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 thousands of U.S. dollars)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tbl>
      <w:tblPr>
        <w:tblW w:w="8769" w:type="dxa"/>
        <w:jc w:val="center"/>
        <w:tblInd w:w="0" w:type="dxa"/>
        <w:tblLayout w:type="fixed"/>
        <w:tblCellMar>
          <w:top w:w="28" w:type="dxa"/>
          <w:left w:w="28" w:type="dxa"/>
          <w:bottom w:w="28" w:type="dxa"/>
          <w:right w:w="28" w:type="dxa"/>
        </w:tblCellMar>
      </w:tblPr>
      <w:tblGrid>
        <w:gridCol w:w="2031"/>
        <w:gridCol w:w="1788"/>
        <w:gridCol w:w="1791"/>
        <w:gridCol w:w="109"/>
        <w:gridCol w:w="109"/>
        <w:gridCol w:w="109"/>
        <w:gridCol w:w="236"/>
        <w:gridCol w:w="892"/>
        <w:gridCol w:w="122"/>
        <w:gridCol w:w="122"/>
        <w:gridCol w:w="122"/>
        <w:gridCol w:w="122"/>
        <w:gridCol w:w="236"/>
        <w:gridCol w:w="808"/>
        <w:gridCol w:w="172"/>
      </w:tblGrid>
      <w:tr>
        <w:trPr/>
        <w:tc>
          <w:tcPr>
            <w:tcW w:w="2031"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6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(22,509)</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42,406 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color w:val="000000"/>
          <w:sz w:val="24"/>
        </w:rPr>
      </w:pPr>
      <w:r>
        <w:rPr>
          <w:rFonts w:ascii="Times New Roman;sans-serif" w:hAnsi="Times New Roman;sans-serif"/>
          <w:b/>
          <w:color w:val="000000"/>
          <w:sz w:val="24"/>
        </w:rPr>
        <w:t>Non-GAAP Financial Measures (Unaudited)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supplement the Company’s unaudited condensed consolidated financial statements presented in accordance with accounting principles generally accepted in the United States of America (“GAAP”), the Company uses a non-GAAP financial measure that it calls adjusted EBITDA (“Adjusted EBITDA”). This non-GAAP Measure adjusts net income for realized and unrealized gain on interest rate swaps, net loss attributable to non-redeemable non-controlling interests, transaction costs and one-time non-recurring charges, non-cash charges, major maintenance for renewable power, unrealized loss (gain) for derivative instruments, environmental credits associated with renewable biogas that has been produced and is in storage pending completion of certification of the relevant environmental attribute pathway(s) and Environmental Credits at quarter end market prices attributable to renewable biogas produced in the period but not yet sold or delivered.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table presents the reconciliation of our Net loss to Adjusted EBITDA:</w:t>
      </w:r>
    </w:p>
    <w:p>
      <w:pPr>
        <w:pStyle w:val="TextBody"/>
        <w:bidi w:val="0"/>
        <w:spacing w:before="0" w:after="0"/>
        <w:jc w:val="left"/>
        <w:rPr/>
      </w:pPr>
      <w:r>
        <w:rPr/>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GAAP Net income to Adjusted EBITDA </w:t>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2023 and 2022</w:t>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tbl>
      <w:tblPr>
        <w:tblW w:w="10117" w:type="dxa"/>
        <w:jc w:val="left"/>
        <w:tblInd w:w="0" w:type="dxa"/>
        <w:tblLayout w:type="fixed"/>
        <w:tblCellMar>
          <w:top w:w="28" w:type="dxa"/>
          <w:left w:w="28" w:type="dxa"/>
          <w:bottom w:w="28" w:type="dxa"/>
          <w:right w:w="28" w:type="dxa"/>
        </w:tblCellMar>
      </w:tblPr>
      <w:tblGrid>
        <w:gridCol w:w="1954"/>
        <w:gridCol w:w="1709"/>
        <w:gridCol w:w="1737"/>
        <w:gridCol w:w="109"/>
        <w:gridCol w:w="109"/>
        <w:gridCol w:w="109"/>
        <w:gridCol w:w="109"/>
        <w:gridCol w:w="109"/>
        <w:gridCol w:w="247"/>
        <w:gridCol w:w="247"/>
        <w:gridCol w:w="479"/>
        <w:gridCol w:w="1569"/>
        <w:gridCol w:w="247"/>
        <w:gridCol w:w="109"/>
        <w:gridCol w:w="109"/>
        <w:gridCol w:w="109"/>
        <w:gridCol w:w="211"/>
        <w:gridCol w:w="691"/>
        <w:gridCol w:w="154"/>
      </w:tblGrid>
      <w:tr>
        <w:trPr/>
        <w:tc>
          <w:tcPr>
            <w:tcW w:w="1954"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amortization and accretion</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warrant exchange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Unrealized (gain) loss on derivative instruments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charges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One time non-recurring charges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 maintenance for 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RNG Pending Certification and Unsold Environmental Credits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depreciation, amortization and accretion on equity method investments.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Unrealized loss on derivative instruments includes change in fair value of interest rate swaps, commodity swaps, earnout liabilities and put option on a forward purchase agreement.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16"/>
        </w:rPr>
        <w:t xml:space="preserve">(3) </w:t>
      </w:r>
      <w:r>
        <w:rPr>
          <w:rFonts w:ascii="Times New Roman;sans-serif" w:hAnsi="Times New Roman;sans-serif"/>
          <w:b w:val="false"/>
          <w:color w:val="000000"/>
          <w:sz w:val="20"/>
        </w:rPr>
        <w:t xml:space="preserve">Non-cash charges include stock based compensation expense, certain expenses included in selling, general and administrative expenses relating to employee benefit accruals, inventory write down charges included in cost of sales - RNG fuel and loss on disposal of assets.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6"/>
        </w:rPr>
        <w:t xml:space="preserve">(4) </w:t>
      </w:r>
      <w:r>
        <w:rPr>
          <w:rFonts w:ascii="Times New Roman;sans-serif" w:hAnsi="Times New Roman;sans-serif"/>
          <w:b w:val="false"/>
          <w:color w:val="000000"/>
          <w:sz w:val="20"/>
        </w:rPr>
        <w:t xml:space="preserve">One-time non-recurring charges include certain expenses related to development expenses on our RNG facilities such as lease expenses and virtual pipe line costs, incurred during construction phase that could not be capitalized per GAAP and fees paid in connection with warrant exchange.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6"/>
        </w:rPr>
        <w:t>(5)</w:t>
      </w:r>
      <w:r>
        <w:rPr>
          <w:color w:val="000000"/>
        </w:rPr>
        <w:t xml:space="preserve"> </w:t>
      </w:r>
      <w:r>
        <w:rPr>
          <w:rFonts w:ascii="Times New Roman;sans-serif" w:hAnsi="Times New Roman;sans-serif"/>
          <w:b w:val="false"/>
          <w:color w:val="000000"/>
          <w:sz w:val="20"/>
        </w:rPr>
        <w:t>Represents RNG pending certification and unsold environmental credits.</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Helvetica">
    <w:altName w:val="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5028</Words>
  <Characters>28651</Characters>
  <CharactersWithSpaces>33390</CharactersWithSpaces>
  <Paragraphs>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