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5167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1676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Dols Scott V.</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327"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10601</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line="157"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03/31/2024</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03/31/2024</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19,369</w:t>
            </w:r>
          </w:p>
        </w:tc>
        <w:tc>
          <w:tcPr>
            <w:tcW w:w="6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29,494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w w:val="98"/>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and 4)</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27,218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03/31/2024</w:t>
            </w:r>
          </w:p>
        </w:tc>
        <w:tc>
          <w:tcPr>
            <w:tcW w:w="1080" w:type="dxa"/>
            <w:vAlign w:val="bottom"/>
          </w:tcPr>
          <w:p>
            <w:pPr>
              <w:spacing w:after="0"/>
              <w:rPr>
                <w:sz w:val="12"/>
                <w:szCs w:val="12"/>
                <w:color w:val="auto"/>
              </w:rPr>
            </w:pPr>
          </w:p>
        </w:tc>
        <w:tc>
          <w:tcPr>
            <w:tcW w:w="76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5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40" w:lineRule="exact"/>
              <w:rPr>
                <w:sz w:val="20"/>
                <w:szCs w:val="20"/>
                <w:color w:val="auto"/>
              </w:rPr>
            </w:pPr>
            <w:r>
              <w:rPr>
                <w:rFonts w:ascii="Times New Roman" w:cs="Times New Roman" w:eastAsia="Times New Roman" w:hAnsi="Times New Roman"/>
                <w:sz w:val="13"/>
                <w:szCs w:val="13"/>
                <w:color w:val="0000FF"/>
              </w:rPr>
              <w:t>46,587</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19,369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03/31/2024</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19,369</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-2171065</wp:posOffset>
            </wp:positionV>
            <wp:extent cx="28575" cy="2176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1761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9"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27,218 restricted stock units ("RSUs"), on March 31, 2024, which represent a contingent right to receive one share of common stock for each RSU. These RSUs are scheduled to vest on March 31, 2025, provided that the Reporting Person remains in continuous service on the vesting date. Additionally, 19,369 RSUs which were previously granted to the Reporting Person vested on March 31, 2024.</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39919"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2024-04-02T06:37:10Z</dcterms:created>
  <dcterms:modified xsi:type="dcterms:W3CDTF">2024-04-02T06:37:10Z</dcterms:modified>
</cp:coreProperties>
</file>