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w:t>
      </w:r>
    </w:p>
    <w:p>
      <w:pPr>
        <w:jc w:val="center"/>
        <w:spacing w:after="0"/>
        <w:rPr>
          <w:sz w:val="20"/>
          <w:szCs w:val="20"/>
          <w:color w:val="auto"/>
        </w:rPr>
      </w:pPr>
      <w:r>
        <w:rPr>
          <w:rFonts w:ascii="Arial" w:cs="Arial" w:eastAsia="Arial" w:hAnsi="Arial"/>
          <w:sz w:val="20"/>
          <w:szCs w:val="20"/>
          <w:b w:val="1"/>
          <w:bCs w:val="1"/>
          <w:color w:val="auto"/>
        </w:rPr>
        <w:t>(Amendment No. )*</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41275</wp:posOffset>
            </wp:positionV>
            <wp:extent cx="57092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74295</wp:posOffset>
            </wp:positionV>
            <wp:extent cx="5709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74295</wp:posOffset>
            </wp:positionV>
            <wp:extent cx="57092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Charles E. Sieving,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Executive Vice President &amp; General Counsel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NextEra Energy,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700 Universe Boulevard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Juno Beach, Florida 33408</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(561) 694-4000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66040</wp:posOffset>
            </wp:positionV>
            <wp:extent cx="5709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July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74295</wp:posOffset>
            </wp:positionV>
            <wp:extent cx="57092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50" w:lineRule="exact"/>
        <w:rPr>
          <w:sz w:val="24"/>
          <w:szCs w:val="24"/>
          <w:color w:val="auto"/>
        </w:rPr>
      </w:pPr>
    </w:p>
    <w:p>
      <w:pPr>
        <w:jc w:val="both"/>
        <w:spacing w:after="0" w:line="274"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204" w:lineRule="exact"/>
        <w:rPr>
          <w:sz w:val="24"/>
          <w:szCs w:val="24"/>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w:t>
      </w:r>
      <w:r>
        <w:rPr>
          <w:rFonts w:ascii="Arial" w:cs="Arial" w:eastAsia="Arial" w:hAnsi="Arial"/>
          <w:sz w:val="20"/>
          <w:szCs w:val="20"/>
          <w:i w:val="1"/>
          <w:iCs w:val="1"/>
          <w:color w:val="auto"/>
        </w:rPr>
        <w:t xml:space="preserve"> See </w:t>
      </w:r>
      <w:r>
        <w:rPr>
          <w:rFonts w:ascii="Arial" w:cs="Arial" w:eastAsia="Arial" w:hAnsi="Arial"/>
          <w:sz w:val="20"/>
          <w:szCs w:val="20"/>
          <w:color w:val="auto"/>
        </w:rPr>
        <w:t>Rule 240.13d-7 for other parties to whom copies are to be sent.</w:t>
      </w:r>
    </w:p>
    <w:p>
      <w:pPr>
        <w:spacing w:after="0" w:line="204" w:lineRule="exact"/>
        <w:rPr>
          <w:sz w:val="24"/>
          <w:szCs w:val="24"/>
          <w:color w:val="auto"/>
        </w:rPr>
      </w:pPr>
    </w:p>
    <w:p>
      <w:pPr>
        <w:jc w:val="both"/>
        <w:spacing w:after="0" w:line="301"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6"/>
        </w:trPr>
        <w:tc>
          <w:tcPr>
            <w:tcW w:w="2320" w:type="dxa"/>
            <w:vAlign w:val="bottom"/>
            <w:gridSpan w:val="6"/>
          </w:tcPr>
          <w:p>
            <w:pPr>
              <w:jc w:val="center"/>
              <w:ind w:right="260"/>
              <w:spacing w:after="0"/>
              <w:rPr>
                <w:sz w:val="20"/>
                <w:szCs w:val="20"/>
                <w:color w:val="auto"/>
              </w:rPr>
            </w:pPr>
            <w:r>
              <w:rPr>
                <w:rFonts w:ascii="Arial" w:cs="Arial" w:eastAsia="Arial" w:hAnsi="Arial"/>
                <w:sz w:val="20"/>
                <w:szCs w:val="20"/>
                <w:b w:val="1"/>
                <w:bCs w:val="1"/>
                <w:color w:val="auto"/>
                <w:w w:val="93"/>
              </w:rPr>
              <w:t>CUSIP No. 68347P103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0" w:type="dxa"/>
            <w:vAlign w:val="bottom"/>
          </w:tcPr>
          <w:p>
            <w:pPr>
              <w:ind w:left="4320"/>
              <w:spacing w:after="0"/>
              <w:rPr>
                <w:sz w:val="20"/>
                <w:szCs w:val="20"/>
                <w:color w:val="auto"/>
              </w:rPr>
            </w:pPr>
            <w:r>
              <w:rPr>
                <w:rFonts w:ascii="Arial" w:cs="Arial" w:eastAsia="Arial" w:hAnsi="Arial"/>
                <w:sz w:val="20"/>
                <w:szCs w:val="20"/>
                <w:b w:val="1"/>
                <w:bCs w:val="1"/>
                <w:color w:val="auto"/>
                <w:w w:val="95"/>
              </w:rPr>
              <w:t>SCHEDULE 13D</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1</w:t>
            </w:r>
          </w:p>
        </w:tc>
        <w:tc>
          <w:tcPr>
            <w:tcW w:w="240" w:type="dxa"/>
            <w:vAlign w:val="bottom"/>
            <w:tcBorders>
              <w:right w:val="single" w:sz="8" w:color="auto"/>
            </w:tcBorders>
          </w:tcPr>
          <w:p>
            <w:pPr>
              <w:spacing w:after="0"/>
              <w:rPr>
                <w:sz w:val="22"/>
                <w:szCs w:val="22"/>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NAMES OF REPORTING PERSONS</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380" w:type="dxa"/>
            <w:vAlign w:val="bottom"/>
            <w:gridSpan w:val="10"/>
          </w:tcPr>
          <w:p>
            <w:pPr>
              <w:ind w:left="760"/>
              <w:spacing w:after="0"/>
              <w:rPr>
                <w:sz w:val="20"/>
                <w:szCs w:val="20"/>
                <w:color w:val="auto"/>
              </w:rPr>
            </w:pPr>
            <w:r>
              <w:rPr>
                <w:rFonts w:ascii="Arial" w:cs="Arial" w:eastAsia="Arial" w:hAnsi="Arial"/>
                <w:sz w:val="20"/>
                <w:szCs w:val="20"/>
                <w:b w:val="1"/>
                <w:bCs w:val="1"/>
                <w:color w:val="auto"/>
              </w:rPr>
              <w:t>NextEra Energy, Inc.</w:t>
            </w: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jc w:val="center"/>
              <w:ind w:left="201"/>
              <w:spacing w:after="0" w:line="203" w:lineRule="exact"/>
              <w:rPr>
                <w:sz w:val="20"/>
                <w:szCs w:val="20"/>
                <w:color w:val="auto"/>
              </w:rPr>
            </w:pPr>
            <w:r>
              <w:rPr>
                <w:rFonts w:ascii="Arial" w:cs="Arial" w:eastAsia="Arial" w:hAnsi="Arial"/>
                <w:sz w:val="20"/>
                <w:szCs w:val="20"/>
                <w:b w:val="1"/>
                <w:bCs w:val="1"/>
                <w:color w:val="auto"/>
                <w:w w:val="89"/>
              </w:rPr>
              <w:t>2</w:t>
            </w:r>
          </w:p>
        </w:tc>
        <w:tc>
          <w:tcPr>
            <w:tcW w:w="240" w:type="dxa"/>
            <w:vAlign w:val="bottom"/>
            <w:tcBorders>
              <w:right w:val="single" w:sz="8" w:color="auto"/>
            </w:tcBorders>
          </w:tcPr>
          <w:p>
            <w:pPr>
              <w:spacing w:after="0"/>
              <w:rPr>
                <w:sz w:val="17"/>
                <w:szCs w:val="17"/>
                <w:color w:val="auto"/>
              </w:rPr>
            </w:pPr>
          </w:p>
        </w:tc>
        <w:tc>
          <w:tcPr>
            <w:tcW w:w="9380" w:type="dxa"/>
            <w:vAlign w:val="bottom"/>
            <w:gridSpan w:val="10"/>
          </w:tcPr>
          <w:p>
            <w:pPr>
              <w:ind w:left="100"/>
              <w:spacing w:after="0" w:line="203" w:lineRule="exact"/>
              <w:rPr>
                <w:sz w:val="20"/>
                <w:szCs w:val="20"/>
                <w:color w:val="auto"/>
              </w:rPr>
            </w:pPr>
            <w:r>
              <w:rPr>
                <w:rFonts w:ascii="Arial" w:cs="Arial" w:eastAsia="Arial" w:hAnsi="Arial"/>
                <w:sz w:val="20"/>
                <w:szCs w:val="20"/>
                <w:color w:val="auto"/>
              </w:rPr>
              <w:t>CHECK THE APPROPRIATE BOX IF A MEMBER OF A GROUP</w:t>
            </w:r>
          </w:p>
        </w:tc>
        <w:tc>
          <w:tcPr>
            <w:tcW w:w="102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3</w:t>
            </w:r>
          </w:p>
        </w:tc>
        <w:tc>
          <w:tcPr>
            <w:tcW w:w="240" w:type="dxa"/>
            <w:vAlign w:val="bottom"/>
            <w:tcBorders>
              <w:right w:val="single" w:sz="8" w:color="auto"/>
            </w:tcBorders>
          </w:tcPr>
          <w:p>
            <w:pPr>
              <w:spacing w:after="0"/>
              <w:rPr>
                <w:sz w:val="22"/>
                <w:szCs w:val="22"/>
                <w:color w:val="auto"/>
              </w:rPr>
            </w:pPr>
          </w:p>
        </w:tc>
        <w:tc>
          <w:tcPr>
            <w:tcW w:w="1480" w:type="dxa"/>
            <w:vAlign w:val="bottom"/>
            <w:gridSpan w:val="4"/>
            <w:shd w:val="clear" w:color="auto" w:fill="DCDCDC"/>
          </w:tcPr>
          <w:p>
            <w:pPr>
              <w:ind w:left="100"/>
              <w:spacing w:after="0"/>
              <w:rPr>
                <w:sz w:val="20"/>
                <w:szCs w:val="20"/>
                <w:color w:val="auto"/>
              </w:rPr>
            </w:pPr>
            <w:r>
              <w:rPr>
                <w:rFonts w:ascii="Arial" w:cs="Arial" w:eastAsia="Arial" w:hAnsi="Arial"/>
                <w:sz w:val="20"/>
                <w:szCs w:val="20"/>
                <w:color w:val="auto"/>
                <w:w w:val="91"/>
              </w:rPr>
              <w:t>SEC USE ONLY</w:t>
            </w:r>
          </w:p>
        </w:tc>
        <w:tc>
          <w:tcPr>
            <w:tcW w:w="100" w:type="dxa"/>
            <w:vAlign w:val="bottom"/>
            <w:shd w:val="clear" w:color="auto" w:fill="DCDCDC"/>
          </w:tcPr>
          <w:p>
            <w:pPr>
              <w:spacing w:after="0"/>
              <w:rPr>
                <w:sz w:val="22"/>
                <w:szCs w:val="22"/>
                <w:color w:val="auto"/>
              </w:rPr>
            </w:pPr>
          </w:p>
        </w:tc>
        <w:tc>
          <w:tcPr>
            <w:tcW w:w="260" w:type="dxa"/>
            <w:vAlign w:val="bottom"/>
            <w:shd w:val="clear" w:color="auto" w:fill="DCDCDC"/>
          </w:tcPr>
          <w:p>
            <w:pPr>
              <w:spacing w:after="0"/>
              <w:rPr>
                <w:sz w:val="22"/>
                <w:szCs w:val="22"/>
                <w:color w:val="auto"/>
              </w:rPr>
            </w:pPr>
          </w:p>
        </w:tc>
        <w:tc>
          <w:tcPr>
            <w:tcW w:w="100" w:type="dxa"/>
            <w:vAlign w:val="bottom"/>
            <w:tcBorders>
              <w:right w:val="single" w:sz="8" w:color="DCDCDC"/>
            </w:tcBorders>
            <w:shd w:val="clear" w:color="auto" w:fill="DCDCDC"/>
          </w:tcPr>
          <w:p>
            <w:pPr>
              <w:spacing w:after="0"/>
              <w:rPr>
                <w:sz w:val="22"/>
                <w:szCs w:val="22"/>
                <w:color w:val="auto"/>
              </w:rPr>
            </w:pPr>
          </w:p>
        </w:tc>
        <w:tc>
          <w:tcPr>
            <w:tcW w:w="1380" w:type="dxa"/>
            <w:vAlign w:val="bottom"/>
            <w:shd w:val="clear" w:color="auto" w:fill="DCDCDC"/>
          </w:tcPr>
          <w:p>
            <w:pPr>
              <w:spacing w:after="0"/>
              <w:rPr>
                <w:sz w:val="22"/>
                <w:szCs w:val="22"/>
                <w:color w:val="auto"/>
              </w:rPr>
            </w:pPr>
          </w:p>
        </w:tc>
        <w:tc>
          <w:tcPr>
            <w:tcW w:w="260" w:type="dxa"/>
            <w:vAlign w:val="bottom"/>
            <w:shd w:val="clear" w:color="auto" w:fill="DCDCDC"/>
          </w:tcPr>
          <w:p>
            <w:pPr>
              <w:spacing w:after="0"/>
              <w:rPr>
                <w:sz w:val="22"/>
                <w:szCs w:val="22"/>
                <w:color w:val="auto"/>
              </w:rPr>
            </w:pPr>
          </w:p>
        </w:tc>
        <w:tc>
          <w:tcPr>
            <w:tcW w:w="5800" w:type="dxa"/>
            <w:vAlign w:val="bottom"/>
            <w:shd w:val="clear" w:color="auto" w:fill="DCDCDC"/>
          </w:tcPr>
          <w:p>
            <w:pPr>
              <w:spacing w:after="0"/>
              <w:rPr>
                <w:sz w:val="22"/>
                <w:szCs w:val="22"/>
                <w:color w:val="auto"/>
              </w:rPr>
            </w:pPr>
          </w:p>
        </w:tc>
        <w:tc>
          <w:tcPr>
            <w:tcW w:w="1020" w:type="dxa"/>
            <w:vAlign w:val="bottom"/>
            <w:tcBorders>
              <w:right w:val="single" w:sz="8" w:color="auto"/>
            </w:tcBorders>
            <w:shd w:val="clear" w:color="auto" w:fill="DCDCD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shd w:val="clear" w:color="auto" w:fill="DCDCDC"/>
          </w:tcPr>
          <w:p>
            <w:pPr>
              <w:spacing w:after="0"/>
              <w:rPr>
                <w:sz w:val="18"/>
                <w:szCs w:val="18"/>
                <w:color w:val="auto"/>
              </w:rPr>
            </w:pPr>
          </w:p>
        </w:tc>
        <w:tc>
          <w:tcPr>
            <w:tcW w:w="80" w:type="dxa"/>
            <w:vAlign w:val="bottom"/>
            <w:tcBorders>
              <w:bottom w:val="single" w:sz="8" w:color="auto"/>
              <w:right w:val="single" w:sz="8" w:color="DCDCDC"/>
            </w:tcBorders>
            <w:shd w:val="clear" w:color="auto" w:fill="DCDCDC"/>
          </w:tcPr>
          <w:p>
            <w:pPr>
              <w:spacing w:after="0"/>
              <w:rPr>
                <w:sz w:val="18"/>
                <w:szCs w:val="18"/>
                <w:color w:val="auto"/>
              </w:rPr>
            </w:pPr>
          </w:p>
        </w:tc>
        <w:tc>
          <w:tcPr>
            <w:tcW w:w="160" w:type="dxa"/>
            <w:vAlign w:val="bottom"/>
            <w:tcBorders>
              <w:bottom w:val="single" w:sz="8" w:color="auto"/>
            </w:tcBorders>
            <w:shd w:val="clear" w:color="auto" w:fill="DCDCDC"/>
          </w:tcPr>
          <w:p>
            <w:pPr>
              <w:spacing w:after="0"/>
              <w:rPr>
                <w:sz w:val="18"/>
                <w:szCs w:val="18"/>
                <w:color w:val="auto"/>
              </w:rPr>
            </w:pPr>
          </w:p>
        </w:tc>
        <w:tc>
          <w:tcPr>
            <w:tcW w:w="180" w:type="dxa"/>
            <w:vAlign w:val="bottom"/>
            <w:tcBorders>
              <w:bottom w:val="single" w:sz="8" w:color="auto"/>
            </w:tcBorders>
            <w:gridSpan w:val="2"/>
            <w:shd w:val="clear" w:color="auto" w:fill="DCDCDC"/>
          </w:tcPr>
          <w:p>
            <w:pPr>
              <w:spacing w:after="0"/>
              <w:rPr>
                <w:sz w:val="18"/>
                <w:szCs w:val="18"/>
                <w:color w:val="auto"/>
              </w:rPr>
            </w:pPr>
          </w:p>
        </w:tc>
        <w:tc>
          <w:tcPr>
            <w:tcW w:w="260" w:type="dxa"/>
            <w:vAlign w:val="bottom"/>
            <w:tcBorders>
              <w:bottom w:val="single" w:sz="8" w:color="auto"/>
            </w:tcBorders>
            <w:shd w:val="clear" w:color="auto" w:fill="DCDCDC"/>
          </w:tcPr>
          <w:p>
            <w:pPr>
              <w:spacing w:after="0"/>
              <w:rPr>
                <w:sz w:val="18"/>
                <w:szCs w:val="18"/>
                <w:color w:val="auto"/>
              </w:rPr>
            </w:pPr>
          </w:p>
        </w:tc>
        <w:tc>
          <w:tcPr>
            <w:tcW w:w="100" w:type="dxa"/>
            <w:vAlign w:val="bottom"/>
            <w:tcBorders>
              <w:bottom w:val="single" w:sz="8" w:color="auto"/>
              <w:right w:val="single" w:sz="8" w:color="DCDCDC"/>
            </w:tcBorders>
            <w:shd w:val="clear" w:color="auto" w:fill="DCDCDC"/>
          </w:tcPr>
          <w:p>
            <w:pPr>
              <w:spacing w:after="0"/>
              <w:rPr>
                <w:sz w:val="18"/>
                <w:szCs w:val="18"/>
                <w:color w:val="auto"/>
              </w:rPr>
            </w:pPr>
          </w:p>
        </w:tc>
        <w:tc>
          <w:tcPr>
            <w:tcW w:w="1380" w:type="dxa"/>
            <w:vAlign w:val="bottom"/>
            <w:tcBorders>
              <w:bottom w:val="single" w:sz="8" w:color="auto"/>
            </w:tcBorders>
            <w:shd w:val="clear" w:color="auto" w:fill="DCDCDC"/>
          </w:tcPr>
          <w:p>
            <w:pPr>
              <w:spacing w:after="0"/>
              <w:rPr>
                <w:sz w:val="18"/>
                <w:szCs w:val="18"/>
                <w:color w:val="auto"/>
              </w:rPr>
            </w:pPr>
          </w:p>
        </w:tc>
        <w:tc>
          <w:tcPr>
            <w:tcW w:w="260" w:type="dxa"/>
            <w:vAlign w:val="bottom"/>
            <w:tcBorders>
              <w:bottom w:val="single" w:sz="8" w:color="auto"/>
            </w:tcBorders>
            <w:shd w:val="clear" w:color="auto" w:fill="DCDCDC"/>
          </w:tcPr>
          <w:p>
            <w:pPr>
              <w:spacing w:after="0"/>
              <w:rPr>
                <w:sz w:val="18"/>
                <w:szCs w:val="18"/>
                <w:color w:val="auto"/>
              </w:rPr>
            </w:pPr>
          </w:p>
        </w:tc>
        <w:tc>
          <w:tcPr>
            <w:tcW w:w="5800" w:type="dxa"/>
            <w:vAlign w:val="bottom"/>
            <w:tcBorders>
              <w:bottom w:val="single" w:sz="8" w:color="auto"/>
            </w:tcBorders>
            <w:shd w:val="clear" w:color="auto" w:fill="DCDCDC"/>
          </w:tcPr>
          <w:p>
            <w:pPr>
              <w:spacing w:after="0"/>
              <w:rPr>
                <w:sz w:val="18"/>
                <w:szCs w:val="18"/>
                <w:color w:val="auto"/>
              </w:rPr>
            </w:pPr>
          </w:p>
        </w:tc>
        <w:tc>
          <w:tcPr>
            <w:tcW w:w="1020" w:type="dxa"/>
            <w:vAlign w:val="bottom"/>
            <w:tcBorders>
              <w:bottom w:val="single" w:sz="8" w:color="auto"/>
              <w:right w:val="single" w:sz="8" w:color="auto"/>
            </w:tcBorders>
            <w:shd w:val="clear" w:color="auto" w:fill="DCDCD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4</w:t>
            </w:r>
          </w:p>
        </w:tc>
        <w:tc>
          <w:tcPr>
            <w:tcW w:w="240" w:type="dxa"/>
            <w:vAlign w:val="bottom"/>
            <w:tcBorders>
              <w:right w:val="single" w:sz="8" w:color="auto"/>
            </w:tcBorders>
          </w:tcPr>
          <w:p>
            <w:pPr>
              <w:spacing w:after="0"/>
              <w:rPr>
                <w:sz w:val="22"/>
                <w:szCs w:val="22"/>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SOURCE OF FUNDS (See Instructions)</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sz w:val="20"/>
                <w:szCs w:val="20"/>
                <w:color w:val="auto"/>
              </w:rPr>
            </w:pPr>
            <w:r>
              <w:rPr>
                <w:rFonts w:ascii="Arial" w:cs="Arial" w:eastAsia="Arial" w:hAnsi="Arial"/>
                <w:sz w:val="20"/>
                <w:szCs w:val="20"/>
                <w:b w:val="1"/>
                <w:bCs w:val="1"/>
                <w:color w:val="auto"/>
              </w:rPr>
              <w:t>WC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5</w:t>
            </w:r>
          </w:p>
        </w:tc>
        <w:tc>
          <w:tcPr>
            <w:tcW w:w="240" w:type="dxa"/>
            <w:vAlign w:val="bottom"/>
            <w:tcBorders>
              <w:right w:val="single" w:sz="8" w:color="auto"/>
            </w:tcBorders>
          </w:tcPr>
          <w:p>
            <w:pPr>
              <w:spacing w:after="0"/>
              <w:rPr>
                <w:sz w:val="24"/>
                <w:szCs w:val="24"/>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w w:val="96"/>
              </w:rPr>
              <w:t>CHECK IF DISCLOSURE OF LEGAL PROCEEDINGS IS REQUIRED PURSUANT TO ITEMS 2(d) OR 2(e)</w:t>
            </w:r>
          </w:p>
        </w:tc>
        <w:tc>
          <w:tcPr>
            <w:tcW w:w="1020" w:type="dxa"/>
            <w:vAlign w:val="bottom"/>
            <w:tcBorders>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99"/>
        </w:trPr>
        <w:tc>
          <w:tcPr>
            <w:tcW w:w="60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6</w:t>
            </w:r>
          </w:p>
        </w:tc>
        <w:tc>
          <w:tcPr>
            <w:tcW w:w="240" w:type="dxa"/>
            <w:vAlign w:val="bottom"/>
            <w:tcBorders>
              <w:right w:val="single" w:sz="8" w:color="auto"/>
            </w:tcBorders>
          </w:tcPr>
          <w:p>
            <w:pPr>
              <w:spacing w:after="0"/>
              <w:rPr>
                <w:sz w:val="22"/>
                <w:szCs w:val="22"/>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CITIZENSHIP OR PLACE OF ORGANIZATION</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sz w:val="20"/>
                <w:szCs w:val="20"/>
                <w:color w:val="auto"/>
              </w:rPr>
            </w:pPr>
            <w:r>
              <w:rPr>
                <w:rFonts w:ascii="Arial" w:cs="Arial" w:eastAsia="Arial" w:hAnsi="Arial"/>
                <w:sz w:val="22"/>
                <w:szCs w:val="22"/>
                <w:b w:val="1"/>
                <w:bCs w:val="1"/>
                <w:color w:val="auto"/>
              </w:rPr>
              <w:t>Florida</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7</w:t>
            </w:r>
          </w:p>
        </w:tc>
        <w:tc>
          <w:tcPr>
            <w:tcW w:w="100" w:type="dxa"/>
            <w:vAlign w:val="bottom"/>
            <w:tcBorders>
              <w:right w:val="single" w:sz="8" w:color="auto"/>
            </w:tcBorders>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20"/>
                <w:szCs w:val="20"/>
                <w:color w:val="auto"/>
              </w:rPr>
              <w:t>SOLE VOTING POWER</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80" w:type="dxa"/>
            <w:vAlign w:val="bottom"/>
          </w:tcPr>
          <w:p>
            <w:pPr>
              <w:ind w:left="520"/>
              <w:spacing w:after="0"/>
              <w:rPr>
                <w:sz w:val="20"/>
                <w:szCs w:val="20"/>
                <w:color w:val="auto"/>
              </w:rPr>
            </w:pPr>
            <w:r>
              <w:rPr>
                <w:rFonts w:ascii="Arial" w:cs="Arial" w:eastAsia="Arial" w:hAnsi="Arial"/>
                <w:sz w:val="22"/>
                <w:szCs w:val="22"/>
                <w:b w:val="1"/>
                <w:bCs w:val="1"/>
                <w:color w:val="auto"/>
              </w:rPr>
              <w:t>-0-</w:t>
            </w: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8</w:t>
            </w:r>
          </w:p>
        </w:tc>
        <w:tc>
          <w:tcPr>
            <w:tcW w:w="100" w:type="dxa"/>
            <w:vAlign w:val="bottom"/>
            <w:tcBorders>
              <w:right w:val="single" w:sz="8" w:color="auto"/>
            </w:tcBorders>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20"/>
                <w:szCs w:val="20"/>
                <w:color w:val="auto"/>
              </w:rPr>
              <w:t>SHARED VOTING POWER</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right w:val="single" w:sz="8" w:color="auto"/>
            </w:tcBorders>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19"/>
                <w:szCs w:val="19"/>
                <w:color w:val="auto"/>
              </w:rPr>
            </w:pPr>
          </w:p>
        </w:tc>
        <w:tc>
          <w:tcPr>
            <w:tcW w:w="1480" w:type="dxa"/>
            <w:vAlign w:val="bottom"/>
            <w:tcBorders>
              <w:right w:val="single" w:sz="8" w:color="auto"/>
            </w:tcBorders>
            <w:gridSpan w:val="3"/>
          </w:tcPr>
          <w:p>
            <w:pPr>
              <w:jc w:val="center"/>
              <w:ind w:right="600"/>
              <w:spacing w:after="0"/>
              <w:rPr>
                <w:sz w:val="20"/>
                <w:szCs w:val="20"/>
                <w:color w:val="auto"/>
              </w:rPr>
            </w:pPr>
            <w:r>
              <w:rPr>
                <w:rFonts w:ascii="Arial" w:cs="Arial" w:eastAsia="Arial" w:hAnsi="Arial"/>
                <w:sz w:val="20"/>
                <w:szCs w:val="20"/>
                <w:color w:val="auto"/>
                <w:w w:val="92"/>
              </w:rPr>
              <w:t>SHARES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640" w:type="dxa"/>
            <w:vAlign w:val="bottom"/>
            <w:gridSpan w:val="2"/>
            <w:vMerge w:val="restart"/>
          </w:tcPr>
          <w:p>
            <w:pPr>
              <w:ind w:left="520"/>
              <w:spacing w:after="0"/>
              <w:rPr>
                <w:rFonts w:ascii="Arial" w:cs="Arial" w:eastAsia="Arial" w:hAnsi="Arial"/>
                <w:sz w:val="22"/>
                <w:szCs w:val="22"/>
                <w:b w:val="1"/>
                <w:bCs w:val="1"/>
                <w:color w:val="auto"/>
                <w:w w:val="88"/>
              </w:rPr>
            </w:pPr>
            <w:r>
              <w:rPr>
                <w:rFonts w:ascii="Arial" w:cs="Arial" w:eastAsia="Arial" w:hAnsi="Arial"/>
                <w:sz w:val="22"/>
                <w:szCs w:val="22"/>
                <w:b w:val="1"/>
                <w:bCs w:val="1"/>
                <w:color w:val="auto"/>
                <w:w w:val="88"/>
              </w:rPr>
              <w:t>2,500,000</w:t>
            </w:r>
            <w:hyperlink w:anchor="page2">
              <w:r>
                <w:rPr>
                  <w:rFonts w:ascii="Arial" w:cs="Arial" w:eastAsia="Arial" w:hAnsi="Arial"/>
                  <w:sz w:val="22"/>
                  <w:szCs w:val="22"/>
                  <w:b w:val="1"/>
                  <w:bCs w:val="1"/>
                  <w:color w:val="0000EE"/>
                  <w:w w:val="88"/>
                </w:rPr>
                <w:t>(1)</w:t>
              </w:r>
            </w:hyperlink>
          </w:p>
        </w:tc>
        <w:tc>
          <w:tcPr>
            <w:tcW w:w="58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9"/>
              </w:rPr>
              <w:t>BENEFICIALLY</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8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58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80" w:type="dxa"/>
            <w:vAlign w:val="bottom"/>
            <w:tcBorders>
              <w:left w:val="single" w:sz="8" w:color="auto"/>
              <w:right w:val="single" w:sz="8" w:color="auto"/>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20"/>
                <w:szCs w:val="20"/>
                <w:b w:val="1"/>
                <w:bCs w:val="1"/>
                <w:color w:val="auto"/>
              </w:rPr>
              <w:t>9</w:t>
            </w:r>
          </w:p>
        </w:tc>
        <w:tc>
          <w:tcPr>
            <w:tcW w:w="100" w:type="dxa"/>
            <w:vAlign w:val="bottom"/>
            <w:tcBorders>
              <w:right w:val="single" w:sz="8" w:color="auto"/>
            </w:tcBorders>
          </w:tcPr>
          <w:p>
            <w:pPr>
              <w:spacing w:after="0"/>
              <w:rPr>
                <w:sz w:val="6"/>
                <w:szCs w:val="6"/>
                <w:color w:val="auto"/>
              </w:rPr>
            </w:pPr>
          </w:p>
        </w:tc>
        <w:tc>
          <w:tcPr>
            <w:tcW w:w="7440" w:type="dxa"/>
            <w:vAlign w:val="bottom"/>
            <w:gridSpan w:val="3"/>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3"/>
              </w:rPr>
              <w:t>EACH REPORTING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440" w:type="dxa"/>
            <w:vAlign w:val="bottom"/>
            <w:gridSpan w:val="3"/>
            <w:vMerge w:val="continue"/>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80" w:type="dxa"/>
            <w:vAlign w:val="bottom"/>
            <w:tcBorders>
              <w:left w:val="single" w:sz="8" w:color="auto"/>
              <w:right w:val="single" w:sz="8" w:color="auto"/>
            </w:tcBorders>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20"/>
                <w:szCs w:val="20"/>
                <w:color w:val="auto"/>
                <w:w w:val="93"/>
              </w:rPr>
              <w:t>PERSON WITH</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380" w:type="dxa"/>
            <w:vAlign w:val="bottom"/>
            <w:vMerge w:val="restart"/>
          </w:tcPr>
          <w:p>
            <w:pPr>
              <w:ind w:left="520"/>
              <w:spacing w:after="0"/>
              <w:rPr>
                <w:sz w:val="20"/>
                <w:szCs w:val="20"/>
                <w:color w:val="auto"/>
              </w:rPr>
            </w:pPr>
            <w:r>
              <w:rPr>
                <w:rFonts w:ascii="Arial" w:cs="Arial" w:eastAsia="Arial" w:hAnsi="Arial"/>
                <w:sz w:val="22"/>
                <w:szCs w:val="22"/>
                <w:b w:val="1"/>
                <w:bCs w:val="1"/>
                <w:color w:val="auto"/>
              </w:rPr>
              <w:t>-0-</w:t>
            </w:r>
          </w:p>
        </w:tc>
        <w:tc>
          <w:tcPr>
            <w:tcW w:w="26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0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3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w w:val="89"/>
              </w:rPr>
              <w:t>10</w:t>
            </w:r>
          </w:p>
        </w:tc>
        <w:tc>
          <w:tcPr>
            <w:tcW w:w="100" w:type="dxa"/>
            <w:vAlign w:val="bottom"/>
            <w:tcBorders>
              <w:right w:val="single" w:sz="8" w:color="auto"/>
            </w:tcBorders>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20"/>
                <w:szCs w:val="20"/>
                <w:color w:val="auto"/>
              </w:rPr>
              <w:t>SHARED DISPOSITIVE POWER</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40" w:type="dxa"/>
            <w:vAlign w:val="bottom"/>
            <w:gridSpan w:val="2"/>
          </w:tcPr>
          <w:p>
            <w:pPr>
              <w:ind w:left="520"/>
              <w:spacing w:after="0"/>
              <w:rPr>
                <w:rFonts w:ascii="Arial" w:cs="Arial" w:eastAsia="Arial" w:hAnsi="Arial"/>
                <w:sz w:val="22"/>
                <w:szCs w:val="22"/>
                <w:b w:val="1"/>
                <w:bCs w:val="1"/>
                <w:color w:val="auto"/>
                <w:w w:val="88"/>
              </w:rPr>
            </w:pPr>
            <w:r>
              <w:rPr>
                <w:rFonts w:ascii="Arial" w:cs="Arial" w:eastAsia="Arial" w:hAnsi="Arial"/>
                <w:sz w:val="22"/>
                <w:szCs w:val="22"/>
                <w:b w:val="1"/>
                <w:bCs w:val="1"/>
                <w:color w:val="auto"/>
                <w:w w:val="88"/>
              </w:rPr>
              <w:t>2,500,000</w:t>
            </w:r>
            <w:hyperlink w:anchor="page2">
              <w:r>
                <w:rPr>
                  <w:rFonts w:ascii="Arial" w:cs="Arial" w:eastAsia="Arial" w:hAnsi="Arial"/>
                  <w:sz w:val="22"/>
                  <w:szCs w:val="22"/>
                  <w:b w:val="1"/>
                  <w:bCs w:val="1"/>
                  <w:color w:val="0000EE"/>
                  <w:w w:val="88"/>
                </w:rPr>
                <w:t>(1)</w:t>
              </w:r>
            </w:hyperlink>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0"/>
              </w:rPr>
              <w:t>11</w:t>
            </w:r>
          </w:p>
        </w:tc>
        <w:tc>
          <w:tcPr>
            <w:tcW w:w="1240" w:type="dxa"/>
            <w:vAlign w:val="bottom"/>
            <w:gridSpan w:val="2"/>
          </w:tcPr>
          <w:p>
            <w:pPr>
              <w:ind w:left="100"/>
              <w:spacing w:after="0"/>
              <w:rPr>
                <w:sz w:val="20"/>
                <w:szCs w:val="20"/>
                <w:color w:val="auto"/>
              </w:rPr>
            </w:pPr>
            <w:r>
              <w:rPr>
                <w:rFonts w:ascii="Arial" w:cs="Arial" w:eastAsia="Arial" w:hAnsi="Arial"/>
                <w:sz w:val="20"/>
                <w:szCs w:val="20"/>
                <w:color w:val="auto"/>
                <w:w w:val="86"/>
              </w:rPr>
              <w:t>AGGREGATE</w:t>
            </w:r>
          </w:p>
        </w:tc>
        <w:tc>
          <w:tcPr>
            <w:tcW w:w="8140" w:type="dxa"/>
            <w:vAlign w:val="bottom"/>
            <w:gridSpan w:val="8"/>
          </w:tcPr>
          <w:p>
            <w:pPr>
              <w:ind w:left="100"/>
              <w:spacing w:after="0"/>
              <w:rPr>
                <w:sz w:val="20"/>
                <w:szCs w:val="20"/>
                <w:color w:val="auto"/>
              </w:rPr>
            </w:pPr>
            <w:r>
              <w:rPr>
                <w:rFonts w:ascii="Arial" w:cs="Arial" w:eastAsia="Arial" w:hAnsi="Arial"/>
                <w:sz w:val="20"/>
                <w:szCs w:val="20"/>
                <w:color w:val="auto"/>
              </w:rPr>
              <w:t>AMOUNT BENEFICIALLY OWNED BY EACH REPORTING PERSON</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40" w:type="dxa"/>
            <w:vAlign w:val="bottom"/>
            <w:gridSpan w:val="7"/>
          </w:tcPr>
          <w:p>
            <w:pPr>
              <w:ind w:left="720"/>
              <w:spacing w:after="0"/>
              <w:rPr>
                <w:rFonts w:ascii="Arial" w:cs="Arial" w:eastAsia="Arial" w:hAnsi="Arial"/>
                <w:sz w:val="22"/>
                <w:szCs w:val="22"/>
                <w:b w:val="1"/>
                <w:bCs w:val="1"/>
                <w:color w:val="auto"/>
                <w:w w:val="94"/>
              </w:rPr>
            </w:pPr>
            <w:r>
              <w:rPr>
                <w:rFonts w:ascii="Arial" w:cs="Arial" w:eastAsia="Arial" w:hAnsi="Arial"/>
                <w:sz w:val="22"/>
                <w:szCs w:val="22"/>
                <w:b w:val="1"/>
                <w:bCs w:val="1"/>
                <w:color w:val="auto"/>
                <w:w w:val="94"/>
              </w:rPr>
              <w:t>2,500,000</w:t>
            </w:r>
            <w:hyperlink w:anchor="page2">
              <w:r>
                <w:rPr>
                  <w:rFonts w:ascii="Arial" w:cs="Arial" w:eastAsia="Arial" w:hAnsi="Arial"/>
                  <w:sz w:val="22"/>
                  <w:szCs w:val="22"/>
                  <w:b w:val="1"/>
                  <w:bCs w:val="1"/>
                  <w:color w:val="0000EE"/>
                  <w:w w:val="94"/>
                </w:rPr>
                <w:t>(1)</w:t>
              </w:r>
            </w:hyperlink>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jc w:val="center"/>
              <w:ind w:left="221"/>
              <w:spacing w:after="0"/>
              <w:rPr>
                <w:sz w:val="20"/>
                <w:szCs w:val="20"/>
                <w:color w:val="auto"/>
              </w:rPr>
            </w:pPr>
            <w:r>
              <w:rPr>
                <w:rFonts w:ascii="Arial" w:cs="Arial" w:eastAsia="Arial" w:hAnsi="Arial"/>
                <w:sz w:val="20"/>
                <w:szCs w:val="20"/>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w w:val="98"/>
              </w:rPr>
              <w:t>CHECK IF THE AGGREGATE AMOUNT IN ROW (11) EXCLUDES CERTAIN SHARES (See Instructions)</w:t>
            </w:r>
          </w:p>
        </w:tc>
        <w:tc>
          <w:tcPr>
            <w:tcW w:w="1020" w:type="dxa"/>
            <w:vAlign w:val="bottom"/>
            <w:tcBorders>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99"/>
        </w:trPr>
        <w:tc>
          <w:tcPr>
            <w:tcW w:w="84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13</w:t>
            </w: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PERCENT OF CLASS REPRESENTED BY AMOUNT IN ROW (11)</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9.9%</w:t>
            </w:r>
            <w:hyperlink w:anchor="page2">
              <w:r>
                <w:rPr>
                  <w:rFonts w:ascii="Arial" w:cs="Arial" w:eastAsia="Arial" w:hAnsi="Arial"/>
                  <w:sz w:val="20"/>
                  <w:szCs w:val="20"/>
                  <w:b w:val="1"/>
                  <w:bCs w:val="1"/>
                  <w:color w:val="0000EE"/>
                </w:rPr>
                <w:t>(2)</w:t>
              </w:r>
            </w:hyperlink>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6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14</w:t>
            </w: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TYPE OF REPORTING PERSON (See Instructions)</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sz w:val="20"/>
                <w:szCs w:val="20"/>
                <w:color w:val="auto"/>
              </w:rPr>
            </w:pPr>
            <w:r>
              <w:rPr>
                <w:rFonts w:ascii="Arial" w:cs="Arial" w:eastAsia="Arial" w:hAnsi="Arial"/>
                <w:sz w:val="20"/>
                <w:szCs w:val="20"/>
                <w:b w:val="1"/>
                <w:bCs w:val="1"/>
                <w:color w:val="auto"/>
              </w:rPr>
              <w:t>HC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20" w:right="20" w:hanging="912"/>
        <w:spacing w:after="0" w:line="277"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2,500,000 shares of Class A Common Stock wned by Mendocino Capital, LLC, a wholly owned subsidiary of NextEra Energy, Inc., a publicly traded company with its common stock listed on the New York Stock Exchange under the symbol "NEE".</w:t>
      </w:r>
    </w:p>
    <w:p>
      <w:pPr>
        <w:spacing w:after="0" w:line="400" w:lineRule="exact"/>
        <w:rPr>
          <w:sz w:val="20"/>
          <w:szCs w:val="20"/>
          <w:color w:val="auto"/>
        </w:rPr>
      </w:pPr>
    </w:p>
    <w:p>
      <w:pPr>
        <w:jc w:val="both"/>
        <w:ind w:left="920" w:hanging="912"/>
        <w:spacing w:after="0" w:line="263"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 used herein and in the rest of this Schedule 13D is calculated based upon 25,171,390 shares of the Issuer’s Class A Common Stock outstanding as of July 21, 2022, as disclosed in the Issuer’s Current Report on Form 8-K filed with the Securities and Exchange Commission on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5"/>
        </w:trPr>
        <w:tc>
          <w:tcPr>
            <w:tcW w:w="2320" w:type="dxa"/>
            <w:vAlign w:val="bottom"/>
            <w:gridSpan w:val="6"/>
          </w:tcPr>
          <w:p>
            <w:pPr>
              <w:jc w:val="center"/>
              <w:ind w:right="260"/>
              <w:spacing w:after="0"/>
              <w:rPr>
                <w:sz w:val="20"/>
                <w:szCs w:val="20"/>
                <w:color w:val="auto"/>
              </w:rPr>
            </w:pPr>
            <w:r>
              <w:rPr>
                <w:rFonts w:ascii="Arial" w:cs="Arial" w:eastAsia="Arial" w:hAnsi="Arial"/>
                <w:sz w:val="20"/>
                <w:szCs w:val="20"/>
                <w:b w:val="1"/>
                <w:bCs w:val="1"/>
                <w:color w:val="auto"/>
                <w:w w:val="93"/>
              </w:rPr>
              <w:t>CUSIP No. 68347P103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0" w:type="dxa"/>
            <w:vAlign w:val="bottom"/>
          </w:tcPr>
          <w:p>
            <w:pPr>
              <w:ind w:left="4320"/>
              <w:spacing w:after="0"/>
              <w:rPr>
                <w:sz w:val="20"/>
                <w:szCs w:val="20"/>
                <w:color w:val="auto"/>
              </w:rPr>
            </w:pPr>
            <w:r>
              <w:rPr>
                <w:rFonts w:ascii="Arial" w:cs="Arial" w:eastAsia="Arial" w:hAnsi="Arial"/>
                <w:sz w:val="20"/>
                <w:szCs w:val="20"/>
                <w:b w:val="1"/>
                <w:bCs w:val="1"/>
                <w:color w:val="auto"/>
                <w:w w:val="95"/>
              </w:rPr>
              <w:t>SCHEDULE 13D</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1</w:t>
            </w:r>
          </w:p>
        </w:tc>
        <w:tc>
          <w:tcPr>
            <w:tcW w:w="240" w:type="dxa"/>
            <w:vAlign w:val="bottom"/>
            <w:tcBorders>
              <w:right w:val="single" w:sz="8" w:color="auto"/>
            </w:tcBorders>
          </w:tcPr>
          <w:p>
            <w:pPr>
              <w:spacing w:after="0"/>
              <w:rPr>
                <w:sz w:val="22"/>
                <w:szCs w:val="22"/>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NAMES OF REPORTING PERSONS</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380" w:type="dxa"/>
            <w:vAlign w:val="bottom"/>
            <w:gridSpan w:val="10"/>
          </w:tcPr>
          <w:p>
            <w:pPr>
              <w:ind w:left="760"/>
              <w:spacing w:after="0"/>
              <w:rPr>
                <w:sz w:val="20"/>
                <w:szCs w:val="20"/>
                <w:color w:val="auto"/>
              </w:rPr>
            </w:pPr>
            <w:r>
              <w:rPr>
                <w:rFonts w:ascii="Arial" w:cs="Arial" w:eastAsia="Arial" w:hAnsi="Arial"/>
                <w:sz w:val="20"/>
                <w:szCs w:val="20"/>
                <w:b w:val="1"/>
                <w:bCs w:val="1"/>
                <w:color w:val="auto"/>
              </w:rPr>
              <w:t>Mendocino Capital, LLC</w:t>
            </w: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jc w:val="center"/>
              <w:ind w:left="201"/>
              <w:spacing w:after="0" w:line="203" w:lineRule="exact"/>
              <w:rPr>
                <w:sz w:val="20"/>
                <w:szCs w:val="20"/>
                <w:color w:val="auto"/>
              </w:rPr>
            </w:pPr>
            <w:r>
              <w:rPr>
                <w:rFonts w:ascii="Arial" w:cs="Arial" w:eastAsia="Arial" w:hAnsi="Arial"/>
                <w:sz w:val="20"/>
                <w:szCs w:val="20"/>
                <w:b w:val="1"/>
                <w:bCs w:val="1"/>
                <w:color w:val="auto"/>
                <w:w w:val="89"/>
              </w:rPr>
              <w:t>2</w:t>
            </w:r>
          </w:p>
        </w:tc>
        <w:tc>
          <w:tcPr>
            <w:tcW w:w="240" w:type="dxa"/>
            <w:vAlign w:val="bottom"/>
            <w:tcBorders>
              <w:right w:val="single" w:sz="8" w:color="auto"/>
            </w:tcBorders>
          </w:tcPr>
          <w:p>
            <w:pPr>
              <w:spacing w:after="0"/>
              <w:rPr>
                <w:sz w:val="17"/>
                <w:szCs w:val="17"/>
                <w:color w:val="auto"/>
              </w:rPr>
            </w:pPr>
          </w:p>
        </w:tc>
        <w:tc>
          <w:tcPr>
            <w:tcW w:w="9380" w:type="dxa"/>
            <w:vAlign w:val="bottom"/>
            <w:gridSpan w:val="10"/>
          </w:tcPr>
          <w:p>
            <w:pPr>
              <w:ind w:left="100"/>
              <w:spacing w:after="0" w:line="203" w:lineRule="exact"/>
              <w:rPr>
                <w:sz w:val="20"/>
                <w:szCs w:val="20"/>
                <w:color w:val="auto"/>
              </w:rPr>
            </w:pPr>
            <w:r>
              <w:rPr>
                <w:rFonts w:ascii="Arial" w:cs="Arial" w:eastAsia="Arial" w:hAnsi="Arial"/>
                <w:sz w:val="20"/>
                <w:szCs w:val="20"/>
                <w:color w:val="auto"/>
              </w:rPr>
              <w:t>CHECK THE APPROPRIATE BOX IF A MEMBER OF A GROUP</w:t>
            </w:r>
          </w:p>
        </w:tc>
        <w:tc>
          <w:tcPr>
            <w:tcW w:w="102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11"/>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3</w:t>
            </w:r>
          </w:p>
        </w:tc>
        <w:tc>
          <w:tcPr>
            <w:tcW w:w="240" w:type="dxa"/>
            <w:vAlign w:val="bottom"/>
            <w:tcBorders>
              <w:right w:val="single" w:sz="8" w:color="auto"/>
            </w:tcBorders>
          </w:tcPr>
          <w:p>
            <w:pPr>
              <w:spacing w:after="0"/>
              <w:rPr>
                <w:sz w:val="22"/>
                <w:szCs w:val="22"/>
                <w:color w:val="auto"/>
              </w:rPr>
            </w:pPr>
          </w:p>
        </w:tc>
        <w:tc>
          <w:tcPr>
            <w:tcW w:w="1480" w:type="dxa"/>
            <w:vAlign w:val="bottom"/>
            <w:gridSpan w:val="4"/>
            <w:shd w:val="clear" w:color="auto" w:fill="DCDCDC"/>
          </w:tcPr>
          <w:p>
            <w:pPr>
              <w:ind w:left="100"/>
              <w:spacing w:after="0"/>
              <w:rPr>
                <w:sz w:val="20"/>
                <w:szCs w:val="20"/>
                <w:color w:val="auto"/>
              </w:rPr>
            </w:pPr>
            <w:r>
              <w:rPr>
                <w:rFonts w:ascii="Arial" w:cs="Arial" w:eastAsia="Arial" w:hAnsi="Arial"/>
                <w:sz w:val="20"/>
                <w:szCs w:val="20"/>
                <w:color w:val="auto"/>
                <w:w w:val="91"/>
              </w:rPr>
              <w:t>SEC USE ONLY</w:t>
            </w:r>
          </w:p>
        </w:tc>
        <w:tc>
          <w:tcPr>
            <w:tcW w:w="100" w:type="dxa"/>
            <w:vAlign w:val="bottom"/>
            <w:shd w:val="clear" w:color="auto" w:fill="DCDCDC"/>
          </w:tcPr>
          <w:p>
            <w:pPr>
              <w:spacing w:after="0"/>
              <w:rPr>
                <w:sz w:val="22"/>
                <w:szCs w:val="22"/>
                <w:color w:val="auto"/>
              </w:rPr>
            </w:pPr>
          </w:p>
        </w:tc>
        <w:tc>
          <w:tcPr>
            <w:tcW w:w="260" w:type="dxa"/>
            <w:vAlign w:val="bottom"/>
            <w:shd w:val="clear" w:color="auto" w:fill="DCDCDC"/>
          </w:tcPr>
          <w:p>
            <w:pPr>
              <w:spacing w:after="0"/>
              <w:rPr>
                <w:sz w:val="22"/>
                <w:szCs w:val="22"/>
                <w:color w:val="auto"/>
              </w:rPr>
            </w:pPr>
          </w:p>
        </w:tc>
        <w:tc>
          <w:tcPr>
            <w:tcW w:w="100" w:type="dxa"/>
            <w:vAlign w:val="bottom"/>
            <w:tcBorders>
              <w:right w:val="single" w:sz="8" w:color="DCDCDC"/>
            </w:tcBorders>
            <w:shd w:val="clear" w:color="auto" w:fill="DCDCDC"/>
          </w:tcPr>
          <w:p>
            <w:pPr>
              <w:spacing w:after="0"/>
              <w:rPr>
                <w:sz w:val="22"/>
                <w:szCs w:val="22"/>
                <w:color w:val="auto"/>
              </w:rPr>
            </w:pPr>
          </w:p>
        </w:tc>
        <w:tc>
          <w:tcPr>
            <w:tcW w:w="1380" w:type="dxa"/>
            <w:vAlign w:val="bottom"/>
            <w:shd w:val="clear" w:color="auto" w:fill="DCDCDC"/>
          </w:tcPr>
          <w:p>
            <w:pPr>
              <w:spacing w:after="0"/>
              <w:rPr>
                <w:sz w:val="22"/>
                <w:szCs w:val="22"/>
                <w:color w:val="auto"/>
              </w:rPr>
            </w:pPr>
          </w:p>
        </w:tc>
        <w:tc>
          <w:tcPr>
            <w:tcW w:w="260" w:type="dxa"/>
            <w:vAlign w:val="bottom"/>
            <w:shd w:val="clear" w:color="auto" w:fill="DCDCDC"/>
          </w:tcPr>
          <w:p>
            <w:pPr>
              <w:spacing w:after="0"/>
              <w:rPr>
                <w:sz w:val="22"/>
                <w:szCs w:val="22"/>
                <w:color w:val="auto"/>
              </w:rPr>
            </w:pPr>
          </w:p>
        </w:tc>
        <w:tc>
          <w:tcPr>
            <w:tcW w:w="5800" w:type="dxa"/>
            <w:vAlign w:val="bottom"/>
            <w:shd w:val="clear" w:color="auto" w:fill="DCDCDC"/>
          </w:tcPr>
          <w:p>
            <w:pPr>
              <w:spacing w:after="0"/>
              <w:rPr>
                <w:sz w:val="22"/>
                <w:szCs w:val="22"/>
                <w:color w:val="auto"/>
              </w:rPr>
            </w:pPr>
          </w:p>
        </w:tc>
        <w:tc>
          <w:tcPr>
            <w:tcW w:w="1020" w:type="dxa"/>
            <w:vAlign w:val="bottom"/>
            <w:tcBorders>
              <w:right w:val="single" w:sz="8" w:color="auto"/>
            </w:tcBorders>
            <w:shd w:val="clear" w:color="auto" w:fill="DCDCD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shd w:val="clear" w:color="auto" w:fill="DCDCDC"/>
          </w:tcPr>
          <w:p>
            <w:pPr>
              <w:spacing w:after="0"/>
              <w:rPr>
                <w:sz w:val="18"/>
                <w:szCs w:val="18"/>
                <w:color w:val="auto"/>
              </w:rPr>
            </w:pPr>
          </w:p>
        </w:tc>
        <w:tc>
          <w:tcPr>
            <w:tcW w:w="80" w:type="dxa"/>
            <w:vAlign w:val="bottom"/>
            <w:tcBorders>
              <w:bottom w:val="single" w:sz="8" w:color="auto"/>
              <w:right w:val="single" w:sz="8" w:color="DCDCDC"/>
            </w:tcBorders>
            <w:shd w:val="clear" w:color="auto" w:fill="DCDCDC"/>
          </w:tcPr>
          <w:p>
            <w:pPr>
              <w:spacing w:after="0"/>
              <w:rPr>
                <w:sz w:val="18"/>
                <w:szCs w:val="18"/>
                <w:color w:val="auto"/>
              </w:rPr>
            </w:pPr>
          </w:p>
        </w:tc>
        <w:tc>
          <w:tcPr>
            <w:tcW w:w="160" w:type="dxa"/>
            <w:vAlign w:val="bottom"/>
            <w:tcBorders>
              <w:bottom w:val="single" w:sz="8" w:color="auto"/>
            </w:tcBorders>
            <w:shd w:val="clear" w:color="auto" w:fill="DCDCDC"/>
          </w:tcPr>
          <w:p>
            <w:pPr>
              <w:spacing w:after="0"/>
              <w:rPr>
                <w:sz w:val="18"/>
                <w:szCs w:val="18"/>
                <w:color w:val="auto"/>
              </w:rPr>
            </w:pPr>
          </w:p>
        </w:tc>
        <w:tc>
          <w:tcPr>
            <w:tcW w:w="180" w:type="dxa"/>
            <w:vAlign w:val="bottom"/>
            <w:tcBorders>
              <w:bottom w:val="single" w:sz="8" w:color="auto"/>
            </w:tcBorders>
            <w:gridSpan w:val="2"/>
            <w:shd w:val="clear" w:color="auto" w:fill="DCDCDC"/>
          </w:tcPr>
          <w:p>
            <w:pPr>
              <w:spacing w:after="0"/>
              <w:rPr>
                <w:sz w:val="18"/>
                <w:szCs w:val="18"/>
                <w:color w:val="auto"/>
              </w:rPr>
            </w:pPr>
          </w:p>
        </w:tc>
        <w:tc>
          <w:tcPr>
            <w:tcW w:w="260" w:type="dxa"/>
            <w:vAlign w:val="bottom"/>
            <w:tcBorders>
              <w:bottom w:val="single" w:sz="8" w:color="auto"/>
            </w:tcBorders>
            <w:shd w:val="clear" w:color="auto" w:fill="DCDCDC"/>
          </w:tcPr>
          <w:p>
            <w:pPr>
              <w:spacing w:after="0"/>
              <w:rPr>
                <w:sz w:val="18"/>
                <w:szCs w:val="18"/>
                <w:color w:val="auto"/>
              </w:rPr>
            </w:pPr>
          </w:p>
        </w:tc>
        <w:tc>
          <w:tcPr>
            <w:tcW w:w="100" w:type="dxa"/>
            <w:vAlign w:val="bottom"/>
            <w:tcBorders>
              <w:bottom w:val="single" w:sz="8" w:color="auto"/>
              <w:right w:val="single" w:sz="8" w:color="DCDCDC"/>
            </w:tcBorders>
            <w:shd w:val="clear" w:color="auto" w:fill="DCDCDC"/>
          </w:tcPr>
          <w:p>
            <w:pPr>
              <w:spacing w:after="0"/>
              <w:rPr>
                <w:sz w:val="18"/>
                <w:szCs w:val="18"/>
                <w:color w:val="auto"/>
              </w:rPr>
            </w:pPr>
          </w:p>
        </w:tc>
        <w:tc>
          <w:tcPr>
            <w:tcW w:w="1380" w:type="dxa"/>
            <w:vAlign w:val="bottom"/>
            <w:tcBorders>
              <w:bottom w:val="single" w:sz="8" w:color="auto"/>
            </w:tcBorders>
            <w:shd w:val="clear" w:color="auto" w:fill="DCDCDC"/>
          </w:tcPr>
          <w:p>
            <w:pPr>
              <w:spacing w:after="0"/>
              <w:rPr>
                <w:sz w:val="18"/>
                <w:szCs w:val="18"/>
                <w:color w:val="auto"/>
              </w:rPr>
            </w:pPr>
          </w:p>
        </w:tc>
        <w:tc>
          <w:tcPr>
            <w:tcW w:w="260" w:type="dxa"/>
            <w:vAlign w:val="bottom"/>
            <w:tcBorders>
              <w:bottom w:val="single" w:sz="8" w:color="auto"/>
            </w:tcBorders>
            <w:shd w:val="clear" w:color="auto" w:fill="DCDCDC"/>
          </w:tcPr>
          <w:p>
            <w:pPr>
              <w:spacing w:after="0"/>
              <w:rPr>
                <w:sz w:val="18"/>
                <w:szCs w:val="18"/>
                <w:color w:val="auto"/>
              </w:rPr>
            </w:pPr>
          </w:p>
        </w:tc>
        <w:tc>
          <w:tcPr>
            <w:tcW w:w="5800" w:type="dxa"/>
            <w:vAlign w:val="bottom"/>
            <w:tcBorders>
              <w:bottom w:val="single" w:sz="8" w:color="auto"/>
            </w:tcBorders>
            <w:shd w:val="clear" w:color="auto" w:fill="DCDCDC"/>
          </w:tcPr>
          <w:p>
            <w:pPr>
              <w:spacing w:after="0"/>
              <w:rPr>
                <w:sz w:val="18"/>
                <w:szCs w:val="18"/>
                <w:color w:val="auto"/>
              </w:rPr>
            </w:pPr>
          </w:p>
        </w:tc>
        <w:tc>
          <w:tcPr>
            <w:tcW w:w="1020" w:type="dxa"/>
            <w:vAlign w:val="bottom"/>
            <w:tcBorders>
              <w:bottom w:val="single" w:sz="8" w:color="auto"/>
              <w:right w:val="single" w:sz="8" w:color="auto"/>
            </w:tcBorders>
            <w:shd w:val="clear" w:color="auto" w:fill="DCDCD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4</w:t>
            </w:r>
          </w:p>
        </w:tc>
        <w:tc>
          <w:tcPr>
            <w:tcW w:w="240" w:type="dxa"/>
            <w:vAlign w:val="bottom"/>
            <w:tcBorders>
              <w:right w:val="single" w:sz="8" w:color="auto"/>
            </w:tcBorders>
          </w:tcPr>
          <w:p>
            <w:pPr>
              <w:spacing w:after="0"/>
              <w:rPr>
                <w:sz w:val="22"/>
                <w:szCs w:val="22"/>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SOURCE OF FUNDS (See Instructions)</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sz w:val="20"/>
                <w:szCs w:val="20"/>
                <w:color w:val="auto"/>
              </w:rPr>
            </w:pPr>
            <w:r>
              <w:rPr>
                <w:rFonts w:ascii="Arial" w:cs="Arial" w:eastAsia="Arial" w:hAnsi="Arial"/>
                <w:sz w:val="20"/>
                <w:szCs w:val="20"/>
                <w:b w:val="1"/>
                <w:bCs w:val="1"/>
                <w:color w:val="auto"/>
              </w:rPr>
              <w:t>WC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5</w:t>
            </w:r>
          </w:p>
        </w:tc>
        <w:tc>
          <w:tcPr>
            <w:tcW w:w="240" w:type="dxa"/>
            <w:vAlign w:val="bottom"/>
            <w:tcBorders>
              <w:right w:val="single" w:sz="8" w:color="auto"/>
            </w:tcBorders>
          </w:tcPr>
          <w:p>
            <w:pPr>
              <w:spacing w:after="0"/>
              <w:rPr>
                <w:sz w:val="24"/>
                <w:szCs w:val="24"/>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w w:val="96"/>
              </w:rPr>
              <w:t>CHECK IF DISCLOSURE OF LEGAL PROCEEDINGS IS REQUIRED PURSUANT TO ITEMS 2(d) OR 2(e)</w:t>
            </w:r>
          </w:p>
        </w:tc>
        <w:tc>
          <w:tcPr>
            <w:tcW w:w="1020" w:type="dxa"/>
            <w:vAlign w:val="bottom"/>
            <w:tcBorders>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99"/>
        </w:trPr>
        <w:tc>
          <w:tcPr>
            <w:tcW w:w="60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jc w:val="center"/>
              <w:ind w:left="201"/>
              <w:spacing w:after="0"/>
              <w:rPr>
                <w:sz w:val="20"/>
                <w:szCs w:val="20"/>
                <w:color w:val="auto"/>
              </w:rPr>
            </w:pPr>
            <w:r>
              <w:rPr>
                <w:rFonts w:ascii="Arial" w:cs="Arial" w:eastAsia="Arial" w:hAnsi="Arial"/>
                <w:sz w:val="20"/>
                <w:szCs w:val="20"/>
                <w:b w:val="1"/>
                <w:bCs w:val="1"/>
                <w:color w:val="auto"/>
                <w:w w:val="89"/>
              </w:rPr>
              <w:t>6</w:t>
            </w:r>
          </w:p>
        </w:tc>
        <w:tc>
          <w:tcPr>
            <w:tcW w:w="240" w:type="dxa"/>
            <w:vAlign w:val="bottom"/>
            <w:tcBorders>
              <w:right w:val="single" w:sz="8" w:color="auto"/>
            </w:tcBorders>
          </w:tcPr>
          <w:p>
            <w:pPr>
              <w:spacing w:after="0"/>
              <w:rPr>
                <w:sz w:val="22"/>
                <w:szCs w:val="22"/>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CITIZENSHIP OR PLACE OF ORGANIZATION</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40" w:type="dxa"/>
            <w:vAlign w:val="bottom"/>
            <w:gridSpan w:val="7"/>
          </w:tcPr>
          <w:p>
            <w:pPr>
              <w:ind w:left="720"/>
              <w:spacing w:after="0"/>
              <w:rPr>
                <w:sz w:val="20"/>
                <w:szCs w:val="20"/>
                <w:color w:val="auto"/>
              </w:rPr>
            </w:pPr>
            <w:r>
              <w:rPr>
                <w:rFonts w:ascii="Arial" w:cs="Arial" w:eastAsia="Arial" w:hAnsi="Arial"/>
                <w:sz w:val="22"/>
                <w:szCs w:val="22"/>
                <w:b w:val="1"/>
                <w:bCs w:val="1"/>
                <w:color w:val="auto"/>
              </w:rPr>
              <w:t>Delaware</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0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7</w:t>
            </w:r>
          </w:p>
        </w:tc>
        <w:tc>
          <w:tcPr>
            <w:tcW w:w="100" w:type="dxa"/>
            <w:vAlign w:val="bottom"/>
            <w:tcBorders>
              <w:right w:val="single" w:sz="8" w:color="auto"/>
            </w:tcBorders>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20"/>
                <w:szCs w:val="20"/>
                <w:color w:val="auto"/>
              </w:rPr>
              <w:t>SOLE VOTING POWER</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80" w:type="dxa"/>
            <w:vAlign w:val="bottom"/>
          </w:tcPr>
          <w:p>
            <w:pPr>
              <w:ind w:left="520"/>
              <w:spacing w:after="0"/>
              <w:rPr>
                <w:sz w:val="20"/>
                <w:szCs w:val="20"/>
                <w:color w:val="auto"/>
              </w:rPr>
            </w:pPr>
            <w:r>
              <w:rPr>
                <w:rFonts w:ascii="Arial" w:cs="Arial" w:eastAsia="Arial" w:hAnsi="Arial"/>
                <w:sz w:val="22"/>
                <w:szCs w:val="22"/>
                <w:b w:val="1"/>
                <w:bCs w:val="1"/>
                <w:color w:val="auto"/>
              </w:rPr>
              <w:t>-0-</w:t>
            </w: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0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8</w:t>
            </w:r>
          </w:p>
        </w:tc>
        <w:tc>
          <w:tcPr>
            <w:tcW w:w="100" w:type="dxa"/>
            <w:vAlign w:val="bottom"/>
            <w:tcBorders>
              <w:right w:val="single" w:sz="8" w:color="auto"/>
            </w:tcBorders>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20"/>
                <w:szCs w:val="20"/>
                <w:color w:val="auto"/>
              </w:rPr>
              <w:t>SHARED VOTING POWER</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right w:val="single" w:sz="8" w:color="auto"/>
            </w:tcBorders>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19"/>
                <w:szCs w:val="19"/>
                <w:color w:val="auto"/>
              </w:rPr>
            </w:pPr>
          </w:p>
        </w:tc>
        <w:tc>
          <w:tcPr>
            <w:tcW w:w="1480" w:type="dxa"/>
            <w:vAlign w:val="bottom"/>
            <w:tcBorders>
              <w:right w:val="single" w:sz="8" w:color="auto"/>
            </w:tcBorders>
            <w:gridSpan w:val="3"/>
          </w:tcPr>
          <w:p>
            <w:pPr>
              <w:jc w:val="center"/>
              <w:ind w:right="600"/>
              <w:spacing w:after="0"/>
              <w:rPr>
                <w:sz w:val="20"/>
                <w:szCs w:val="20"/>
                <w:color w:val="auto"/>
              </w:rPr>
            </w:pPr>
            <w:r>
              <w:rPr>
                <w:rFonts w:ascii="Arial" w:cs="Arial" w:eastAsia="Arial" w:hAnsi="Arial"/>
                <w:sz w:val="20"/>
                <w:szCs w:val="20"/>
                <w:color w:val="auto"/>
                <w:w w:val="92"/>
              </w:rPr>
              <w:t>SHARES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640" w:type="dxa"/>
            <w:vAlign w:val="bottom"/>
            <w:gridSpan w:val="2"/>
            <w:vMerge w:val="restart"/>
          </w:tcPr>
          <w:p>
            <w:pPr>
              <w:ind w:left="520"/>
              <w:spacing w:after="0"/>
              <w:rPr>
                <w:rFonts w:ascii="Arial" w:cs="Arial" w:eastAsia="Arial" w:hAnsi="Arial"/>
                <w:sz w:val="22"/>
                <w:szCs w:val="22"/>
                <w:b w:val="1"/>
                <w:bCs w:val="1"/>
                <w:color w:val="auto"/>
                <w:w w:val="88"/>
              </w:rPr>
            </w:pPr>
            <w:r>
              <w:rPr>
                <w:rFonts w:ascii="Arial" w:cs="Arial" w:eastAsia="Arial" w:hAnsi="Arial"/>
                <w:sz w:val="22"/>
                <w:szCs w:val="22"/>
                <w:b w:val="1"/>
                <w:bCs w:val="1"/>
                <w:color w:val="auto"/>
                <w:w w:val="88"/>
              </w:rPr>
              <w:t>2,500,000</w:t>
            </w:r>
            <w:hyperlink w:anchor="page3">
              <w:r>
                <w:rPr>
                  <w:rFonts w:ascii="Arial" w:cs="Arial" w:eastAsia="Arial" w:hAnsi="Arial"/>
                  <w:sz w:val="22"/>
                  <w:szCs w:val="22"/>
                  <w:b w:val="1"/>
                  <w:bCs w:val="1"/>
                  <w:color w:val="0000EE"/>
                  <w:w w:val="88"/>
                </w:rPr>
                <w:t>(1)</w:t>
              </w:r>
            </w:hyperlink>
          </w:p>
        </w:tc>
        <w:tc>
          <w:tcPr>
            <w:tcW w:w="58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9"/>
              </w:rPr>
              <w:t>BENEFICIALLY</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8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58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80" w:type="dxa"/>
            <w:vAlign w:val="bottom"/>
            <w:tcBorders>
              <w:left w:val="single" w:sz="8" w:color="auto"/>
              <w:right w:val="single" w:sz="8" w:color="auto"/>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20"/>
                <w:szCs w:val="20"/>
                <w:b w:val="1"/>
                <w:bCs w:val="1"/>
                <w:color w:val="auto"/>
              </w:rPr>
              <w:t>9</w:t>
            </w:r>
          </w:p>
        </w:tc>
        <w:tc>
          <w:tcPr>
            <w:tcW w:w="100" w:type="dxa"/>
            <w:vAlign w:val="bottom"/>
            <w:tcBorders>
              <w:right w:val="single" w:sz="8" w:color="auto"/>
            </w:tcBorders>
          </w:tcPr>
          <w:p>
            <w:pPr>
              <w:spacing w:after="0"/>
              <w:rPr>
                <w:sz w:val="6"/>
                <w:szCs w:val="6"/>
                <w:color w:val="auto"/>
              </w:rPr>
            </w:pPr>
          </w:p>
        </w:tc>
        <w:tc>
          <w:tcPr>
            <w:tcW w:w="7440" w:type="dxa"/>
            <w:vAlign w:val="bottom"/>
            <w:gridSpan w:val="3"/>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color w:val="auto"/>
                <w:w w:val="93"/>
              </w:rPr>
              <w:t>EACH REPORTING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440" w:type="dxa"/>
            <w:vAlign w:val="bottom"/>
            <w:gridSpan w:val="3"/>
            <w:vMerge w:val="continue"/>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80" w:type="dxa"/>
            <w:vAlign w:val="bottom"/>
            <w:tcBorders>
              <w:left w:val="single" w:sz="8" w:color="auto"/>
              <w:right w:val="single" w:sz="8" w:color="auto"/>
            </w:tcBorders>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20"/>
                <w:szCs w:val="20"/>
                <w:color w:val="auto"/>
                <w:w w:val="93"/>
              </w:rPr>
              <w:t>PERSON WITH</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380" w:type="dxa"/>
            <w:vAlign w:val="bottom"/>
            <w:vMerge w:val="restart"/>
          </w:tcPr>
          <w:p>
            <w:pPr>
              <w:ind w:left="520"/>
              <w:spacing w:after="0"/>
              <w:rPr>
                <w:sz w:val="20"/>
                <w:szCs w:val="20"/>
                <w:color w:val="auto"/>
              </w:rPr>
            </w:pPr>
            <w:r>
              <w:rPr>
                <w:rFonts w:ascii="Arial" w:cs="Arial" w:eastAsia="Arial" w:hAnsi="Arial"/>
                <w:sz w:val="22"/>
                <w:szCs w:val="22"/>
                <w:b w:val="1"/>
                <w:bCs w:val="1"/>
                <w:color w:val="auto"/>
              </w:rPr>
              <w:t>-0-</w:t>
            </w:r>
          </w:p>
        </w:tc>
        <w:tc>
          <w:tcPr>
            <w:tcW w:w="26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0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3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w w:val="89"/>
              </w:rPr>
              <w:t>10</w:t>
            </w:r>
          </w:p>
        </w:tc>
        <w:tc>
          <w:tcPr>
            <w:tcW w:w="100" w:type="dxa"/>
            <w:vAlign w:val="bottom"/>
            <w:tcBorders>
              <w:right w:val="single" w:sz="8" w:color="auto"/>
            </w:tcBorders>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20"/>
                <w:szCs w:val="20"/>
                <w:color w:val="auto"/>
              </w:rPr>
              <w:t>SHARED DISPOSITIVE POWER</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40" w:type="dxa"/>
            <w:vAlign w:val="bottom"/>
            <w:gridSpan w:val="2"/>
          </w:tcPr>
          <w:p>
            <w:pPr>
              <w:ind w:left="520"/>
              <w:spacing w:after="0"/>
              <w:rPr>
                <w:rFonts w:ascii="Arial" w:cs="Arial" w:eastAsia="Arial" w:hAnsi="Arial"/>
                <w:sz w:val="22"/>
                <w:szCs w:val="22"/>
                <w:b w:val="1"/>
                <w:bCs w:val="1"/>
                <w:color w:val="auto"/>
                <w:w w:val="88"/>
              </w:rPr>
            </w:pPr>
            <w:r>
              <w:rPr>
                <w:rFonts w:ascii="Arial" w:cs="Arial" w:eastAsia="Arial" w:hAnsi="Arial"/>
                <w:sz w:val="22"/>
                <w:szCs w:val="22"/>
                <w:b w:val="1"/>
                <w:bCs w:val="1"/>
                <w:color w:val="auto"/>
                <w:w w:val="88"/>
              </w:rPr>
              <w:t>2,500,000</w:t>
            </w:r>
            <w:hyperlink w:anchor="page3">
              <w:r>
                <w:rPr>
                  <w:rFonts w:ascii="Arial" w:cs="Arial" w:eastAsia="Arial" w:hAnsi="Arial"/>
                  <w:sz w:val="22"/>
                  <w:szCs w:val="22"/>
                  <w:b w:val="1"/>
                  <w:bCs w:val="1"/>
                  <w:color w:val="0000EE"/>
                  <w:w w:val="88"/>
                </w:rPr>
                <w:t>(1)</w:t>
              </w:r>
            </w:hyperlink>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0"/>
              </w:rPr>
              <w:t>11</w:t>
            </w:r>
          </w:p>
        </w:tc>
        <w:tc>
          <w:tcPr>
            <w:tcW w:w="1240" w:type="dxa"/>
            <w:vAlign w:val="bottom"/>
            <w:gridSpan w:val="2"/>
          </w:tcPr>
          <w:p>
            <w:pPr>
              <w:ind w:left="100"/>
              <w:spacing w:after="0"/>
              <w:rPr>
                <w:sz w:val="20"/>
                <w:szCs w:val="20"/>
                <w:color w:val="auto"/>
              </w:rPr>
            </w:pPr>
            <w:r>
              <w:rPr>
                <w:rFonts w:ascii="Arial" w:cs="Arial" w:eastAsia="Arial" w:hAnsi="Arial"/>
                <w:sz w:val="20"/>
                <w:szCs w:val="20"/>
                <w:color w:val="auto"/>
                <w:w w:val="86"/>
              </w:rPr>
              <w:t>AGGREGATE</w:t>
            </w:r>
          </w:p>
        </w:tc>
        <w:tc>
          <w:tcPr>
            <w:tcW w:w="8140" w:type="dxa"/>
            <w:vAlign w:val="bottom"/>
            <w:gridSpan w:val="8"/>
          </w:tcPr>
          <w:p>
            <w:pPr>
              <w:ind w:left="100"/>
              <w:spacing w:after="0"/>
              <w:rPr>
                <w:sz w:val="20"/>
                <w:szCs w:val="20"/>
                <w:color w:val="auto"/>
              </w:rPr>
            </w:pPr>
            <w:r>
              <w:rPr>
                <w:rFonts w:ascii="Arial" w:cs="Arial" w:eastAsia="Arial" w:hAnsi="Arial"/>
                <w:sz w:val="20"/>
                <w:szCs w:val="20"/>
                <w:color w:val="auto"/>
              </w:rPr>
              <w:t>AMOUNT BENEFICIALLY OWNED BY EACH REPORTING PERSON</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40" w:type="dxa"/>
            <w:vAlign w:val="bottom"/>
            <w:gridSpan w:val="7"/>
          </w:tcPr>
          <w:p>
            <w:pPr>
              <w:ind w:left="720"/>
              <w:spacing w:after="0"/>
              <w:rPr>
                <w:rFonts w:ascii="Arial" w:cs="Arial" w:eastAsia="Arial" w:hAnsi="Arial"/>
                <w:sz w:val="22"/>
                <w:szCs w:val="22"/>
                <w:b w:val="1"/>
                <w:bCs w:val="1"/>
                <w:color w:val="auto"/>
                <w:w w:val="94"/>
              </w:rPr>
            </w:pPr>
            <w:r>
              <w:rPr>
                <w:rFonts w:ascii="Arial" w:cs="Arial" w:eastAsia="Arial" w:hAnsi="Arial"/>
                <w:sz w:val="22"/>
                <w:szCs w:val="22"/>
                <w:b w:val="1"/>
                <w:bCs w:val="1"/>
                <w:color w:val="auto"/>
                <w:w w:val="94"/>
              </w:rPr>
              <w:t>2,500,000</w:t>
            </w:r>
            <w:hyperlink w:anchor="page3">
              <w:r>
                <w:rPr>
                  <w:rFonts w:ascii="Arial" w:cs="Arial" w:eastAsia="Arial" w:hAnsi="Arial"/>
                  <w:sz w:val="22"/>
                  <w:szCs w:val="22"/>
                  <w:b w:val="1"/>
                  <w:bCs w:val="1"/>
                  <w:color w:val="0000EE"/>
                  <w:w w:val="94"/>
                </w:rPr>
                <w:t>(1)</w:t>
              </w:r>
            </w:hyperlink>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0000E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00" w:type="dxa"/>
            <w:vAlign w:val="bottom"/>
            <w:tcBorders>
              <w:left w:val="single" w:sz="8" w:color="auto"/>
            </w:tcBorders>
          </w:tcPr>
          <w:p>
            <w:pPr>
              <w:jc w:val="center"/>
              <w:ind w:left="221"/>
              <w:spacing w:after="0"/>
              <w:rPr>
                <w:sz w:val="20"/>
                <w:szCs w:val="20"/>
                <w:color w:val="auto"/>
              </w:rPr>
            </w:pPr>
            <w:r>
              <w:rPr>
                <w:rFonts w:ascii="Arial" w:cs="Arial" w:eastAsia="Arial" w:hAnsi="Arial"/>
                <w:sz w:val="20"/>
                <w:szCs w:val="20"/>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w w:val="98"/>
              </w:rPr>
              <w:t>CHECK IF THE AGGREGATE AMOUNT IN ROW (11) EXCLUDES CERTAIN SHARES (See Instructions)</w:t>
            </w:r>
          </w:p>
        </w:tc>
        <w:tc>
          <w:tcPr>
            <w:tcW w:w="1020" w:type="dxa"/>
            <w:vAlign w:val="bottom"/>
            <w:tcBorders>
              <w:right w:val="single" w:sz="8" w:color="auto"/>
            </w:tcBorders>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399"/>
        </w:trPr>
        <w:tc>
          <w:tcPr>
            <w:tcW w:w="84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13</w:t>
            </w: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PERCENT OF CLASS REPRESENTED BY AMOUNT IN ROW (11)</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9.9%</w:t>
            </w:r>
            <w:hyperlink w:anchor="page3">
              <w:r>
                <w:rPr>
                  <w:rFonts w:ascii="Arial" w:cs="Arial" w:eastAsia="Arial" w:hAnsi="Arial"/>
                  <w:sz w:val="20"/>
                  <w:szCs w:val="20"/>
                  <w:b w:val="1"/>
                  <w:bCs w:val="1"/>
                  <w:color w:val="0000EE"/>
                </w:rPr>
                <w:t>(2)</w:t>
              </w:r>
            </w:hyperlink>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6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14</w:t>
            </w:r>
          </w:p>
        </w:tc>
        <w:tc>
          <w:tcPr>
            <w:tcW w:w="9380" w:type="dxa"/>
            <w:vAlign w:val="bottom"/>
            <w:gridSpan w:val="10"/>
          </w:tcPr>
          <w:p>
            <w:pPr>
              <w:ind w:left="100"/>
              <w:spacing w:after="0"/>
              <w:rPr>
                <w:sz w:val="20"/>
                <w:szCs w:val="20"/>
                <w:color w:val="auto"/>
              </w:rPr>
            </w:pPr>
            <w:r>
              <w:rPr>
                <w:rFonts w:ascii="Arial" w:cs="Arial" w:eastAsia="Arial" w:hAnsi="Arial"/>
                <w:sz w:val="20"/>
                <w:szCs w:val="20"/>
                <w:color w:val="auto"/>
              </w:rPr>
              <w:t>TYPE OF REPORTING PERSON (See Instructions)</w:t>
            </w: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80" w:type="dxa"/>
            <w:vAlign w:val="bottom"/>
            <w:gridSpan w:val="4"/>
          </w:tcPr>
          <w:p>
            <w:pPr>
              <w:ind w:left="720"/>
              <w:spacing w:after="0"/>
              <w:rPr>
                <w:sz w:val="20"/>
                <w:szCs w:val="20"/>
                <w:color w:val="auto"/>
              </w:rPr>
            </w:pPr>
            <w:r>
              <w:rPr>
                <w:rFonts w:ascii="Arial" w:cs="Arial" w:eastAsia="Arial" w:hAnsi="Arial"/>
                <w:sz w:val="20"/>
                <w:szCs w:val="20"/>
                <w:b w:val="1"/>
                <w:bCs w:val="1"/>
                <w:color w:val="auto"/>
              </w:rPr>
              <w:t>OO</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920" w:hanging="912"/>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2,500,000 shares of Class A Common Stock owned by Mendocino Capital, LLC, a wholly owned subsidiary of NextEra Energy, Inc., a publicly traded company with its common stock listed on the New York Stock Exchange under the symbol "NEE".</w:t>
      </w:r>
    </w:p>
    <w:p>
      <w:pPr>
        <w:spacing w:after="0" w:line="200" w:lineRule="exact"/>
        <w:rPr>
          <w:sz w:val="20"/>
          <w:szCs w:val="20"/>
          <w:color w:val="auto"/>
        </w:rPr>
      </w:pPr>
    </w:p>
    <w:p>
      <w:pPr>
        <w:spacing w:after="0" w:line="240" w:lineRule="exact"/>
        <w:rPr>
          <w:sz w:val="20"/>
          <w:szCs w:val="20"/>
          <w:color w:val="auto"/>
        </w:rPr>
      </w:pPr>
    </w:p>
    <w:p>
      <w:pPr>
        <w:jc w:val="both"/>
        <w:ind w:left="920" w:hanging="912"/>
        <w:spacing w:after="0" w:line="26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 used herein and in the rest of this Schedule 13D is calculated based upon 25,171,390 shares of the Issuer’s Class A Common Stock outstanding as of July 21, 2022, as disclosed in the Issuer’s Current Report on Form 8-K filed with the Securities and Exchange Commission on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ind w:left="60"/>
        <w:spacing w:after="0"/>
        <w:tabs>
          <w:tab w:leader="none" w:pos="8720" w:val="left"/>
        </w:tabs>
        <w:rPr>
          <w:sz w:val="20"/>
          <w:szCs w:val="20"/>
          <w:color w:val="auto"/>
        </w:rPr>
      </w:pPr>
      <w:r>
        <w:rPr>
          <w:rFonts w:ascii="Arial" w:cs="Arial" w:eastAsia="Arial" w:hAnsi="Arial"/>
          <w:sz w:val="20"/>
          <w:szCs w:val="20"/>
          <w:b w:val="1"/>
          <w:bCs w:val="1"/>
          <w:color w:val="auto"/>
        </w:rPr>
        <w:t>CUSIP No. 68347P103</w:t>
      </w:r>
      <w:r>
        <w:rPr>
          <w:sz w:val="20"/>
          <w:szCs w:val="20"/>
          <w:color w:val="auto"/>
        </w:rPr>
        <w:tab/>
      </w:r>
      <w:r>
        <w:rPr>
          <w:rFonts w:ascii="Arial" w:cs="Arial" w:eastAsia="Arial" w:hAnsi="Arial"/>
          <w:sz w:val="19"/>
          <w:szCs w:val="19"/>
          <w:b w:val="1"/>
          <w:bCs w:val="1"/>
          <w:color w:val="auto"/>
        </w:rPr>
        <w:t>SCHEDULE 13D</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Security and Issuer</w:t>
      </w:r>
    </w:p>
    <w:p>
      <w:pPr>
        <w:spacing w:after="0" w:line="2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This statement on Schedule 13D relates to the Class A common stock, $0.0001 par value per share (the "Class A Common Stock"), of OPAL Fuels Inc. (the "Issuer"). The address of the principal executive offices of the Issuer is One North Lexington Avenue, Suite 1450, White Plains, NY 10601.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This Schedule 13D is being filed jointly by (i) Mendocino Capital, LLC "Mendocino"), the holder of record of the Class A Common Stock reported herein, and (ii) NextEra Energy, Inc. ("NEE"), which is the ultimate corporate parent of Mendocino (each, a "Reporting Person," and collectively, the "Reporting Persons"). The principal business address of the Reporting Persons is 700 Universe Boulevard, Juno Beach, Florida 33408. NEE is one of the largest electric power and energy infrastructure companies in North America and a leader in the renewable energy industry. NEE is a publicly traded company with its common stock listed on the New York Stock Exchange under the symbol "NEE". Mendocino is a wholly owned, controlled subsidiary of NEE, and serves primarily as an investment holding company for NEE. NEE is a corporation organized under the laws of the State of Florida, and Mendocino is a limited liability company organized under the laws of the State of Delaware.</w:t>
      </w:r>
    </w:p>
    <w:p>
      <w:pPr>
        <w:spacing w:after="0" w:line="21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 lists the directors and executive officers of NEE (the "Related Parties") and their respective principal occupation, address and citizenship.</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last five years, the Reporting Person has not, and, to the Reporting Person’s knowledge, none of the Related Parties has,</w:t>
      </w:r>
    </w:p>
    <w:p>
      <w:pPr>
        <w:spacing w:after="0" w:line="43" w:lineRule="exact"/>
        <w:rPr>
          <w:sz w:val="20"/>
          <w:szCs w:val="20"/>
          <w:color w:val="auto"/>
        </w:rPr>
      </w:pPr>
    </w:p>
    <w:p>
      <w:pPr>
        <w:jc w:val="both"/>
        <w:ind w:firstLine="8"/>
        <w:spacing w:after="0" w:line="258" w:lineRule="auto"/>
        <w:tabs>
          <w:tab w:leader="none" w:pos="243" w:val="left"/>
        </w:tabs>
        <w:numPr>
          <w:ilvl w:val="0"/>
          <w:numId w:val="5"/>
        </w:numPr>
        <w:rPr>
          <w:rFonts w:ascii="Arial" w:cs="Arial" w:eastAsia="Arial" w:hAnsi="Arial"/>
          <w:sz w:val="20"/>
          <w:szCs w:val="20"/>
          <w:color w:val="auto"/>
        </w:rPr>
      </w:pPr>
      <w:r>
        <w:rPr>
          <w:rFonts w:ascii="Arial" w:cs="Arial" w:eastAsia="Arial" w:hAnsi="Arial"/>
          <w:sz w:val="20"/>
          <w:szCs w:val="20"/>
          <w:color w:val="auto"/>
        </w:rPr>
        <w:t>been convicted in a criminal proceeding of the type specified in Item 2(d) of Schedule 13D,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Source and Amount of Funds or Other Consideration</w:t>
      </w:r>
    </w:p>
    <w:p>
      <w:pPr>
        <w:spacing w:after="0" w:line="2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On July 21, 2022, Mendocino purchased from the Issuer 2,500,000 shares of Class A Common Stock, which were paid for using Reporting Persons’ working capital. Mendocino is a wholly owned subsidiary of NEE, a publicly traded company with its common stock listed on the New York Stock Exchange under the symbol "NEE".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60"/>
        <w:spacing w:after="0"/>
        <w:tabs>
          <w:tab w:leader="none" w:pos="8720" w:val="left"/>
        </w:tabs>
        <w:rPr>
          <w:sz w:val="20"/>
          <w:szCs w:val="20"/>
          <w:color w:val="auto"/>
        </w:rPr>
      </w:pPr>
      <w:r>
        <w:rPr>
          <w:rFonts w:ascii="Arial" w:cs="Arial" w:eastAsia="Arial" w:hAnsi="Arial"/>
          <w:sz w:val="20"/>
          <w:szCs w:val="20"/>
          <w:b w:val="1"/>
          <w:bCs w:val="1"/>
          <w:color w:val="auto"/>
        </w:rPr>
        <w:t>CUSIP No. 68347P103</w:t>
      </w:r>
      <w:r>
        <w:rPr>
          <w:sz w:val="20"/>
          <w:szCs w:val="20"/>
          <w:color w:val="auto"/>
        </w:rPr>
        <w:tab/>
      </w:r>
      <w:r>
        <w:rPr>
          <w:rFonts w:ascii="Arial" w:cs="Arial" w:eastAsia="Arial" w:hAnsi="Arial"/>
          <w:sz w:val="19"/>
          <w:szCs w:val="19"/>
          <w:b w:val="1"/>
          <w:bCs w:val="1"/>
          <w:color w:val="auto"/>
        </w:rPr>
        <w:t>SCHEDULE 13D</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Purpose of Transaction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material in Item 3 is incorporated by reference herein.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Reporting Persons acquired the securities described in this Schedule 13D for investment purposes and intend to review such investment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the Issuer’s commercial relationship with the Reporting Persons; general market, industry and economic conditions; the relative attractiveness of alternative business and investment opportunities; and other future developments.</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Reporting Persons may acquire additional securities of the Issuer, or retain or sell all or a portion of the securities then held, in the open market or in privately negotiated transactions. In addition, the Reporting Persons may engage in discussions with management, the Issuer’s board of directors, and stockholders of the Issuer and other relevant parties or encourage, cause or seek to cause the Issuer or such persons to consider or explore extraordinary corporate transactions, such as: a merger, acquisition, reorganization or other business combination that could result in the de-listing or de-registration of the Class A Common Stock; sales or acquisitions of assets or businesses; changes to the capitalization or dividend policy of the Issuer; or other material changes to the Issuer’s business or corporate structure, including changes in management or the composition of the Issuer’s board of directors.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its purpose or formulate different plans or proposals with respect thereto at any time.</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5(a) and (b):</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information set forth on the cover page of this Schedule 13D is incorporated herein.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5(c):</w:t>
      </w:r>
    </w:p>
    <w:p>
      <w:pPr>
        <w:spacing w:after="0" w:line="2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The information in Item 3 is incorporated herein. Except as described in Item 3, the Reporting Persons have not effected any transactions in the Class A Common Stock during the past 60 days.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5(d):</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Contracts, Arrangements, Understandings or Relationships with respect to Securities of the Issuer</w:t>
      </w:r>
    </w:p>
    <w:p>
      <w:pPr>
        <w:spacing w:after="0" w:line="2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The 2,500,000 shares of Class A Common Stock that are described herein were purchased by Mendocino on July 21, 2022 pursuant to the form of Subscription Agreement filed as Exhibit 10.1 to the Current Report on Form 8-K filed by the Issuer on December 3, 2021, which is listed as Exhibit 99.1 below and incorporated herein by reference.</w:t>
      </w:r>
    </w:p>
    <w:p>
      <w:pPr>
        <w:spacing w:after="0" w:line="21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In addition to the 2,500,000 shares of Class A Common Stock that are described herein, the Reporting Persons are the beneficial owners of 1,000,000 Series A Preferred Units of Opal Fuels LLC, which are directly owned by Mendocino. Opal Fuels LLC is an entity that directly or indirectly holds substantially all of the consolidated assets and business of the Issuer. In its capacity as the direct owner of such 1,000,000 Series A Preferred Units, Mendocino is a party to the limited liability company agreement of Opal Fuels LLC, which agreement (including the certificate of designations included therein with respect to the Series A Preferred Units) sets forth certain rights and obligations of the parties thereto with respect to the Series A Preferred Stock. The Second Amended &amp; Restated LLC Agreement of Opal Fuels LLC (including the Series A Preferred Unit Certificate of Designations) was filed as Exhibit 10.8 to the Current Report on Form 8-K filed by the Issuer on July 27, 2022, is listed as Exhibit 99.2 below, and is incorporated herein by reference.</w:t>
      </w:r>
    </w:p>
    <w:p>
      <w:pPr>
        <w:spacing w:after="0" w:line="20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Except as set forth herein, the Reporting Persons do not have any other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Material to Be Filed as Exhibits</w:t>
      </w:r>
    </w:p>
    <w:p>
      <w:pPr>
        <w:spacing w:after="0" w:line="256"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b w:val="1"/>
          <w:bCs w:val="1"/>
          <w:color w:val="auto"/>
        </w:rPr>
        <w:t>Exhibit</w:t>
      </w:r>
      <w:r>
        <w:rPr>
          <w:sz w:val="20"/>
          <w:szCs w:val="20"/>
          <w:color w:val="auto"/>
        </w:rPr>
        <w:tab/>
      </w:r>
      <w:r>
        <w:rPr>
          <w:rFonts w:ascii="Arial" w:cs="Arial" w:eastAsia="Arial" w:hAnsi="Arial"/>
          <w:sz w:val="20"/>
          <w:szCs w:val="20"/>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5" w:name="page6"/>
    <w:bookmarkEnd w:id="5"/>
    <w:p>
      <w:pPr>
        <w:spacing w:after="0"/>
        <w:tabs>
          <w:tab w:leader="none" w:pos="1060" w:val="left"/>
        </w:tabs>
        <w:rPr>
          <w:rFonts w:ascii="Arial" w:cs="Arial" w:eastAsia="Arial" w:hAnsi="Arial"/>
          <w:sz w:val="19"/>
          <w:szCs w:val="19"/>
          <w:u w:val="single" w:color="auto"/>
          <w:color w:val="0000EE"/>
        </w:rPr>
      </w:pPr>
      <w:r>
        <w:rPr>
          <w:rFonts w:ascii="Arial" w:cs="Arial" w:eastAsia="Arial" w:hAnsi="Arial"/>
          <w:sz w:val="20"/>
          <w:szCs w:val="20"/>
          <w:color w:val="auto"/>
        </w:rPr>
        <w:t>99.1</w:t>
      </w:r>
      <w:r>
        <w:rPr>
          <w:sz w:val="20"/>
          <w:szCs w:val="20"/>
          <w:color w:val="auto"/>
        </w:rPr>
        <w:tab/>
      </w:r>
      <w:hyperlink r:id="rId18">
        <w:r>
          <w:rPr>
            <w:rFonts w:ascii="Arial" w:cs="Arial" w:eastAsia="Arial" w:hAnsi="Arial"/>
            <w:sz w:val="19"/>
            <w:szCs w:val="19"/>
            <w:u w:val="single" w:color="auto"/>
            <w:color w:val="0000EE"/>
          </w:rPr>
          <w:t>Form of Subscription Agreement (incorporated by reference to Exhibit 10.1 of the Company’s Current Report on</w:t>
        </w:r>
      </w:hyperlink>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0160" w:type="dxa"/>
            <w:vAlign w:val="bottom"/>
            <w:gridSpan w:val="3"/>
          </w:tcPr>
          <w:p>
            <w:pPr>
              <w:spacing w:after="0" w:line="238" w:lineRule="exact"/>
              <w:rPr>
                <w:rFonts w:ascii="Arial" w:cs="Arial" w:eastAsia="Arial" w:hAnsi="Arial"/>
                <w:sz w:val="22"/>
                <w:szCs w:val="22"/>
                <w:color w:val="0000EE"/>
              </w:rPr>
            </w:pPr>
            <w:hyperlink r:id="rId18">
              <w:r>
                <w:rPr>
                  <w:rFonts w:ascii="Arial" w:cs="Arial" w:eastAsia="Arial" w:hAnsi="Arial"/>
                  <w:sz w:val="22"/>
                  <w:szCs w:val="22"/>
                  <w:color w:val="0000EE"/>
                </w:rPr>
                <w:t>Form 8-K, filed with the SEC on December 3,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80" w:type="dxa"/>
            <w:vAlign w:val="bottom"/>
            <w:vMerge w:val="restart"/>
          </w:tcPr>
          <w:p>
            <w:pPr>
              <w:jc w:val="right"/>
              <w:ind w:right="621"/>
              <w:spacing w:after="0"/>
              <w:rPr>
                <w:sz w:val="20"/>
                <w:szCs w:val="20"/>
                <w:color w:val="auto"/>
              </w:rPr>
            </w:pPr>
            <w:r>
              <w:rPr>
                <w:rFonts w:ascii="Arial" w:cs="Arial" w:eastAsia="Arial" w:hAnsi="Arial"/>
                <w:sz w:val="20"/>
                <w:szCs w:val="20"/>
                <w:color w:val="auto"/>
                <w:w w:val="87"/>
              </w:rPr>
              <w:t>99.2</w:t>
            </w:r>
          </w:p>
        </w:tc>
        <w:tc>
          <w:tcPr>
            <w:tcW w:w="10160" w:type="dxa"/>
            <w:vAlign w:val="bottom"/>
            <w:tcBorders>
              <w:bottom w:val="single" w:sz="8" w:color="0000EE"/>
            </w:tcBorders>
            <w:gridSpan w:val="3"/>
          </w:tcPr>
          <w:p>
            <w:pPr>
              <w:spacing w:after="0"/>
              <w:rPr>
                <w:rFonts w:ascii="Arial" w:cs="Arial" w:eastAsia="Arial" w:hAnsi="Arial"/>
                <w:sz w:val="22"/>
                <w:szCs w:val="22"/>
                <w:color w:val="0000EE"/>
                <w:w w:val="91"/>
              </w:rPr>
            </w:pPr>
            <w:hyperlink r:id="rId19">
              <w:r>
                <w:rPr>
                  <w:rFonts w:ascii="Arial" w:cs="Arial" w:eastAsia="Arial" w:hAnsi="Arial"/>
                  <w:sz w:val="22"/>
                  <w:szCs w:val="22"/>
                  <w:color w:val="0000EE"/>
                  <w:w w:val="91"/>
                </w:rPr>
                <w:t>Second Amended &amp; Restated LLC Agreement of Opal Fuels LLC (including the Series A Preferred Unit Certificate</w:t>
              </w:r>
            </w:hyperlink>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10160" w:type="dxa"/>
            <w:vAlign w:val="bottom"/>
            <w:gridSpan w:val="3"/>
            <w:vMerge w:val="restart"/>
          </w:tcPr>
          <w:p>
            <w:pPr>
              <w:spacing w:after="0" w:line="223" w:lineRule="exact"/>
              <w:rPr>
                <w:rFonts w:ascii="Arial" w:cs="Arial" w:eastAsia="Arial" w:hAnsi="Arial"/>
                <w:sz w:val="22"/>
                <w:szCs w:val="22"/>
                <w:color w:val="0000EE"/>
                <w:w w:val="94"/>
              </w:rPr>
            </w:pPr>
            <w:hyperlink r:id="rId19">
              <w:r>
                <w:rPr>
                  <w:rFonts w:ascii="Arial" w:cs="Arial" w:eastAsia="Arial" w:hAnsi="Arial"/>
                  <w:sz w:val="22"/>
                  <w:szCs w:val="22"/>
                  <w:color w:val="0000EE"/>
                  <w:w w:val="94"/>
                </w:rPr>
                <w:t>of Designations) (incorporated by reference to Exhibit 10.8 of the Company’s Current Report on Form 8-K, filed</w:t>
              </w:r>
            </w:hyperlink>
          </w:p>
        </w:tc>
        <w:tc>
          <w:tcPr>
            <w:tcW w:w="0" w:type="dxa"/>
            <w:vAlign w:val="bottom"/>
          </w:tcPr>
          <w:p>
            <w:pPr>
              <w:spacing w:after="0"/>
              <w:rPr>
                <w:sz w:val="1"/>
                <w:szCs w:val="1"/>
                <w:color w:val="auto"/>
              </w:rPr>
            </w:pPr>
          </w:p>
        </w:tc>
      </w:tr>
      <w:tr>
        <w:trPr>
          <w:trHeight w:val="95"/>
        </w:trPr>
        <w:tc>
          <w:tcPr>
            <w:tcW w:w="1080" w:type="dxa"/>
            <w:vAlign w:val="bottom"/>
          </w:tcPr>
          <w:p>
            <w:pPr>
              <w:spacing w:after="0"/>
              <w:rPr>
                <w:sz w:val="7"/>
                <w:szCs w:val="7"/>
                <w:color w:val="auto"/>
              </w:rPr>
            </w:pPr>
          </w:p>
        </w:tc>
        <w:tc>
          <w:tcPr>
            <w:tcW w:w="10160" w:type="dxa"/>
            <w:vAlign w:val="bottom"/>
            <w:tcBorders>
              <w:bottom w:val="single" w:sz="8" w:color="0000EE"/>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160" w:type="dxa"/>
            <w:vAlign w:val="bottom"/>
            <w:gridSpan w:val="3"/>
          </w:tcPr>
          <w:p>
            <w:pPr>
              <w:spacing w:after="0" w:line="223" w:lineRule="exact"/>
              <w:rPr>
                <w:rFonts w:ascii="Arial" w:cs="Arial" w:eastAsia="Arial" w:hAnsi="Arial"/>
                <w:sz w:val="22"/>
                <w:szCs w:val="22"/>
                <w:color w:val="0000EE"/>
              </w:rPr>
            </w:pPr>
            <w:hyperlink r:id="rId19">
              <w:r>
                <w:rPr>
                  <w:rFonts w:ascii="Arial" w:cs="Arial" w:eastAsia="Arial" w:hAnsi="Arial"/>
                  <w:sz w:val="22"/>
                  <w:szCs w:val="22"/>
                  <w:color w:val="0000EE"/>
                </w:rPr>
                <w:t>with the SEC on July 27, 2022).</w:t>
              </w:r>
            </w:hyperlink>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spacing w:after="0"/>
              <w:rPr>
                <w:sz w:val="17"/>
                <w:szCs w:val="17"/>
                <w:color w:val="auto"/>
              </w:rPr>
            </w:pPr>
          </w:p>
        </w:tc>
        <w:tc>
          <w:tcPr>
            <w:tcW w:w="2760" w:type="dxa"/>
            <w:vAlign w:val="bottom"/>
            <w:tcBorders>
              <w:top w:val="single" w:sz="8" w:color="0000EE"/>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w:t>
      </w:r>
    </w:p>
    <w:p>
      <w:pPr>
        <w:spacing w:after="0" w:line="244"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After reasonable inquiry and to the best of each of the undersigned knowledge and belief, each of the undersigned certifies that the information set forth in this statement is true, complete and correct.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Dates as of August 1, 2022</w:t>
      </w: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NEXTERA ENERGY, INC.</w:t>
      </w:r>
    </w:p>
    <w:p>
      <w:pPr>
        <w:spacing w:after="0" w:line="262" w:lineRule="exact"/>
        <w:rPr>
          <w:sz w:val="20"/>
          <w:szCs w:val="20"/>
          <w:color w:val="auto"/>
        </w:rPr>
      </w:pPr>
    </w:p>
    <w:tbl>
      <w:tblPr>
        <w:tblLayout w:type="fixed"/>
        <w:tblInd w:w="55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Hickson</w:t>
            </w: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Hickson</w:t>
            </w:r>
          </w:p>
        </w:tc>
      </w:tr>
      <w:tr>
        <w:trPr>
          <w:trHeight w:val="483"/>
        </w:trPr>
        <w:tc>
          <w:tcPr>
            <w:tcW w:w="98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20"/>
                <w:szCs w:val="20"/>
                <w:color w:val="auto"/>
                <w:w w:val="97"/>
              </w:rPr>
              <w:t>Executive Vice President, Corporate Development and</w:t>
            </w:r>
          </w:p>
        </w:tc>
      </w:tr>
      <w:tr>
        <w:trPr>
          <w:trHeight w:val="253"/>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Strategy</w:t>
            </w:r>
          </w:p>
        </w:tc>
      </w:tr>
    </w:tbl>
    <w:p>
      <w:pPr>
        <w:spacing w:after="0" w:line="200" w:lineRule="exact"/>
        <w:rPr>
          <w:sz w:val="20"/>
          <w:szCs w:val="20"/>
          <w:color w:val="auto"/>
        </w:rPr>
      </w:pPr>
    </w:p>
    <w:p>
      <w:pPr>
        <w:spacing w:after="0" w:line="277"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MENDOCINO CAPITAL, LLC</w:t>
      </w:r>
    </w:p>
    <w:p>
      <w:pPr>
        <w:spacing w:after="0" w:line="262" w:lineRule="exact"/>
        <w:rPr>
          <w:sz w:val="20"/>
          <w:szCs w:val="20"/>
          <w:color w:val="auto"/>
        </w:rPr>
      </w:pPr>
    </w:p>
    <w:tbl>
      <w:tblPr>
        <w:tblLayout w:type="fixed"/>
        <w:tblInd w:w="55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Hickson</w:t>
            </w:r>
          </w:p>
        </w:tc>
        <w:tc>
          <w:tcPr>
            <w:tcW w:w="0" w:type="dxa"/>
            <w:vAlign w:val="bottom"/>
          </w:tcPr>
          <w:p>
            <w:pPr>
              <w:spacing w:after="0"/>
              <w:rPr>
                <w:sz w:val="1"/>
                <w:szCs w:val="1"/>
                <w:color w:val="auto"/>
              </w:rPr>
            </w:pP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Hickson</w:t>
            </w:r>
          </w:p>
        </w:tc>
        <w:tc>
          <w:tcPr>
            <w:tcW w:w="0" w:type="dxa"/>
            <w:vAlign w:val="bottom"/>
          </w:tcPr>
          <w:p>
            <w:pPr>
              <w:spacing w:after="0"/>
              <w:rPr>
                <w:sz w:val="1"/>
                <w:szCs w:val="1"/>
                <w:color w:val="auto"/>
              </w:rPr>
            </w:pPr>
          </w:p>
        </w:tc>
      </w:tr>
      <w:tr>
        <w:trPr>
          <w:trHeight w:val="369"/>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vMerge w:val="restart"/>
          </w:tcPr>
          <w:p>
            <w:pPr>
              <w:spacing w:after="0"/>
              <w:rPr>
                <w:sz w:val="20"/>
                <w:szCs w:val="20"/>
                <w:color w:val="auto"/>
              </w:rPr>
            </w:pPr>
            <w:r>
              <w:rPr>
                <w:rFonts w:ascii="Arial" w:cs="Arial" w:eastAsia="Arial" w:hAnsi="Arial"/>
                <w:sz w:val="20"/>
                <w:szCs w:val="20"/>
                <w:color w:val="auto"/>
              </w:rPr>
              <w:t>President</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0"/>
                <w:szCs w:val="10"/>
                <w:color w:val="auto"/>
              </w:rPr>
            </w:pPr>
          </w:p>
        </w:tc>
        <w:tc>
          <w:tcPr>
            <w:tcW w:w="4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ATTENTION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Intentional misstatements or omissions of fact constitute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58"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We, the signatories of the statement to which this Joint Filing Agreement is attached, hereby agree that such statement is filed, and any amendments thereto filed by any or all of us, will be filed, on behalf of each of us.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Dates as of August 1, 2022</w:t>
      </w: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NEXTERA ENERGY, INC.</w:t>
      </w:r>
    </w:p>
    <w:p>
      <w:pPr>
        <w:spacing w:after="0" w:line="262" w:lineRule="exact"/>
        <w:rPr>
          <w:sz w:val="20"/>
          <w:szCs w:val="20"/>
          <w:color w:val="auto"/>
        </w:rPr>
      </w:pPr>
    </w:p>
    <w:tbl>
      <w:tblPr>
        <w:tblLayout w:type="fixed"/>
        <w:tblInd w:w="55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Hickson</w:t>
            </w: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Hickson</w:t>
            </w:r>
          </w:p>
        </w:tc>
      </w:tr>
      <w:tr>
        <w:trPr>
          <w:trHeight w:val="483"/>
        </w:trPr>
        <w:tc>
          <w:tcPr>
            <w:tcW w:w="98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20"/>
                <w:szCs w:val="20"/>
                <w:color w:val="auto"/>
                <w:w w:val="97"/>
              </w:rPr>
              <w:t>Executive Vice President, Corporate Development and</w:t>
            </w:r>
          </w:p>
        </w:tc>
      </w:tr>
      <w:tr>
        <w:trPr>
          <w:trHeight w:val="253"/>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Strategy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MENDOCINO CAPITAL, LLC</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20" w:type="dxa"/>
            <w:vAlign w:val="bottom"/>
          </w:tcPr>
          <w:p>
            <w:pPr>
              <w:ind w:left="5540"/>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Hickson</w:t>
            </w:r>
          </w:p>
        </w:tc>
        <w:tc>
          <w:tcPr>
            <w:tcW w:w="0" w:type="dxa"/>
            <w:vAlign w:val="bottom"/>
          </w:tcPr>
          <w:p>
            <w:pPr>
              <w:spacing w:after="0"/>
              <w:rPr>
                <w:sz w:val="1"/>
                <w:szCs w:val="1"/>
                <w:color w:val="auto"/>
              </w:rPr>
            </w:pPr>
          </w:p>
        </w:tc>
      </w:tr>
      <w:tr>
        <w:trPr>
          <w:trHeight w:val="493"/>
        </w:trPr>
        <w:tc>
          <w:tcPr>
            <w:tcW w:w="6520" w:type="dxa"/>
            <w:vAlign w:val="bottom"/>
          </w:tcPr>
          <w:p>
            <w:pPr>
              <w:ind w:left="5540"/>
              <w:spacing w:after="0"/>
              <w:rPr>
                <w:sz w:val="20"/>
                <w:szCs w:val="20"/>
                <w:color w:val="auto"/>
              </w:rPr>
            </w:pPr>
            <w:r>
              <w:rPr>
                <w:rFonts w:ascii="Arial" w:cs="Arial" w:eastAsia="Arial" w:hAnsi="Arial"/>
                <w:sz w:val="20"/>
                <w:szCs w:val="20"/>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Hickson</w:t>
            </w:r>
          </w:p>
        </w:tc>
        <w:tc>
          <w:tcPr>
            <w:tcW w:w="0" w:type="dxa"/>
            <w:vAlign w:val="bottom"/>
          </w:tcPr>
          <w:p>
            <w:pPr>
              <w:spacing w:after="0"/>
              <w:rPr>
                <w:sz w:val="1"/>
                <w:szCs w:val="1"/>
                <w:color w:val="auto"/>
              </w:rPr>
            </w:pPr>
          </w:p>
        </w:tc>
      </w:tr>
      <w:tr>
        <w:trPr>
          <w:trHeight w:val="368"/>
        </w:trPr>
        <w:tc>
          <w:tcPr>
            <w:tcW w:w="6520" w:type="dxa"/>
            <w:vAlign w:val="bottom"/>
          </w:tcPr>
          <w:p>
            <w:pPr>
              <w:ind w:left="5540"/>
              <w:spacing w:after="0"/>
              <w:rPr>
                <w:sz w:val="20"/>
                <w:szCs w:val="20"/>
                <w:color w:val="auto"/>
              </w:rPr>
            </w:pPr>
            <w:r>
              <w:rPr>
                <w:rFonts w:ascii="Arial" w:cs="Arial" w:eastAsia="Arial" w:hAnsi="Arial"/>
                <w:sz w:val="20"/>
                <w:szCs w:val="20"/>
                <w:color w:val="auto"/>
              </w:rPr>
              <w:t>Title:</w:t>
            </w:r>
          </w:p>
        </w:tc>
        <w:tc>
          <w:tcPr>
            <w:tcW w:w="4720" w:type="dxa"/>
            <w:vAlign w:val="bottom"/>
            <w:vMerge w:val="restart"/>
          </w:tcPr>
          <w:p>
            <w:pPr>
              <w:spacing w:after="0"/>
              <w:rPr>
                <w:sz w:val="20"/>
                <w:szCs w:val="20"/>
                <w:color w:val="auto"/>
              </w:rPr>
            </w:pPr>
            <w:r>
              <w:rPr>
                <w:rFonts w:ascii="Arial" w:cs="Arial" w:eastAsia="Arial" w:hAnsi="Arial"/>
                <w:sz w:val="20"/>
                <w:szCs w:val="20"/>
                <w:color w:val="auto"/>
              </w:rPr>
              <w:t>President</w:t>
            </w:r>
          </w:p>
        </w:tc>
        <w:tc>
          <w:tcPr>
            <w:tcW w:w="0" w:type="dxa"/>
            <w:vAlign w:val="bottom"/>
          </w:tcPr>
          <w:p>
            <w:pPr>
              <w:spacing w:after="0"/>
              <w:rPr>
                <w:sz w:val="1"/>
                <w:szCs w:val="1"/>
                <w:color w:val="auto"/>
              </w:rPr>
            </w:pPr>
          </w:p>
        </w:tc>
      </w:tr>
      <w:tr>
        <w:trPr>
          <w:trHeight w:val="130"/>
        </w:trPr>
        <w:tc>
          <w:tcPr>
            <w:tcW w:w="6520" w:type="dxa"/>
            <w:vAlign w:val="bottom"/>
          </w:tcPr>
          <w:p>
            <w:pPr>
              <w:spacing w:after="0"/>
              <w:rPr>
                <w:sz w:val="10"/>
                <w:szCs w:val="10"/>
                <w:color w:val="auto"/>
              </w:rPr>
            </w:pPr>
          </w:p>
        </w:tc>
        <w:tc>
          <w:tcPr>
            <w:tcW w:w="4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0"/>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Schedule I</w:t>
      </w:r>
    </w:p>
    <w:p>
      <w:pPr>
        <w:spacing w:after="0" w:line="257"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The name, present principal occupation or employment and citizenship of each of the directors and executive officers of NEE are set forth below. The business address of each individual is c/o NextEra Energy, Inc., 700 Universe Boulevard, Juno Beach, Florida 33408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Name of Director of NEE</w:t>
            </w:r>
          </w:p>
        </w:tc>
        <w:tc>
          <w:tcPr>
            <w:tcW w:w="280" w:type="dxa"/>
            <w:vAlign w:val="bottom"/>
          </w:tcPr>
          <w:p>
            <w:pPr>
              <w:spacing w:after="0"/>
              <w:rPr>
                <w:sz w:val="19"/>
                <w:szCs w:val="19"/>
                <w:color w:val="auto"/>
              </w:rPr>
            </w:pPr>
          </w:p>
        </w:tc>
        <w:tc>
          <w:tcPr>
            <w:tcW w:w="6740" w:type="dxa"/>
            <w:vAlign w:val="bottom"/>
            <w:gridSpan w:val="2"/>
          </w:tcPr>
          <w:p>
            <w:pPr>
              <w:ind w:left="1780"/>
              <w:spacing w:after="0"/>
              <w:rPr>
                <w:sz w:val="20"/>
                <w:szCs w:val="20"/>
                <w:color w:val="auto"/>
              </w:rPr>
            </w:pPr>
            <w:r>
              <w:rPr>
                <w:rFonts w:ascii="Arial" w:cs="Arial" w:eastAsia="Arial" w:hAnsi="Arial"/>
                <w:sz w:val="18"/>
                <w:szCs w:val="18"/>
                <w:b w:val="1"/>
                <w:bCs w:val="1"/>
                <w:color w:val="auto"/>
              </w:rPr>
              <w:t>Principal Occupation or Employment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Citizenship</w:t>
            </w:r>
          </w:p>
        </w:tc>
      </w:tr>
      <w:tr>
        <w:trPr>
          <w:trHeight w:val="188"/>
        </w:trPr>
        <w:tc>
          <w:tcPr>
            <w:tcW w:w="2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Sherry S. Barrat</w:t>
            </w:r>
          </w:p>
        </w:tc>
        <w:tc>
          <w:tcPr>
            <w:tcW w:w="280" w:type="dxa"/>
            <w:vAlign w:val="bottom"/>
          </w:tcPr>
          <w:p>
            <w:pPr>
              <w:spacing w:after="0"/>
              <w:rPr>
                <w:sz w:val="16"/>
                <w:szCs w:val="16"/>
                <w:color w:val="auto"/>
              </w:rPr>
            </w:pPr>
          </w:p>
        </w:tc>
        <w:tc>
          <w:tcPr>
            <w:tcW w:w="6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Retired Vice Chairman of Northern Trust Corporation</w:t>
            </w:r>
          </w:p>
        </w:tc>
        <w:tc>
          <w:tcPr>
            <w:tcW w:w="3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James L. Camaren</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Private investor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Kenneth B. Dunn</w:t>
            </w: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w w:val="95"/>
              </w:rPr>
              <w:t>Emeritus Professor of Financial Economics at the David A. Tepper School of Business at</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spacing w:after="0"/>
              <w:rPr>
                <w:sz w:val="17"/>
                <w:szCs w:val="17"/>
                <w:color w:val="auto"/>
              </w:rPr>
            </w:pP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Carnegie Mellon University</w:t>
            </w:r>
          </w:p>
        </w:tc>
        <w:tc>
          <w:tcPr>
            <w:tcW w:w="1840" w:type="dxa"/>
            <w:vAlign w:val="bottom"/>
          </w:tcPr>
          <w:p>
            <w:pPr>
              <w:spacing w:after="0"/>
              <w:rPr>
                <w:sz w:val="17"/>
                <w:szCs w:val="17"/>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Naren K. Gursahaney</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Retired Oresident and CEO of The ADT Corporation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Kirk S. Hachigian</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Retired Chairman of the Board of JELD-WEN Holding, Inc.</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John W. Ketchum</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Chairman, President and Chief Executive Officer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Amy B. Lane</w:t>
            </w: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w w:val="99"/>
              </w:rPr>
              <w:t>Retired Managing Director and Group Leader of Global Retailing Investment Banking</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spacing w:after="0"/>
              <w:rPr>
                <w:sz w:val="17"/>
                <w:szCs w:val="17"/>
                <w:color w:val="auto"/>
              </w:rPr>
            </w:pP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Group of Merrill Lynch &amp; Co., Inc.</w:t>
            </w:r>
          </w:p>
        </w:tc>
        <w:tc>
          <w:tcPr>
            <w:tcW w:w="1840" w:type="dxa"/>
            <w:vAlign w:val="bottom"/>
          </w:tcPr>
          <w:p>
            <w:pPr>
              <w:spacing w:after="0"/>
              <w:rPr>
                <w:sz w:val="17"/>
                <w:szCs w:val="17"/>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David L. Porges</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Retired Chairman of the Board of Equitrans Midstream Corporation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Rudy E. Schupp</w:t>
            </w: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Retired President of Valley National Bancorp and chief banking officer of Valley</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spacing w:after="0"/>
              <w:rPr>
                <w:sz w:val="17"/>
                <w:szCs w:val="17"/>
                <w:color w:val="auto"/>
              </w:rPr>
            </w:pP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National Bank</w:t>
            </w:r>
          </w:p>
        </w:tc>
        <w:tc>
          <w:tcPr>
            <w:tcW w:w="1840" w:type="dxa"/>
            <w:vAlign w:val="bottom"/>
          </w:tcPr>
          <w:p>
            <w:pPr>
              <w:spacing w:after="0"/>
              <w:rPr>
                <w:sz w:val="17"/>
                <w:szCs w:val="17"/>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John L. Skolds</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Retired Executive Vice President of Exelon Corporation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John Arthur Stall</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Retired President of NextEra Energy’s nuclear division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2"/>
        </w:trPr>
        <w:tc>
          <w:tcPr>
            <w:tcW w:w="2380" w:type="dxa"/>
            <w:vAlign w:val="bottom"/>
          </w:tcPr>
          <w:p>
            <w:pPr>
              <w:spacing w:after="0"/>
              <w:rPr>
                <w:sz w:val="20"/>
                <w:szCs w:val="20"/>
                <w:color w:val="auto"/>
              </w:rPr>
            </w:pPr>
            <w:r>
              <w:rPr>
                <w:rFonts w:ascii="Arial" w:cs="Arial" w:eastAsia="Arial" w:hAnsi="Arial"/>
                <w:sz w:val="18"/>
                <w:szCs w:val="18"/>
                <w:color w:val="auto"/>
              </w:rPr>
              <w:t>Darryl L. Wilson</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Retired Vice President, Commercial of GE Power, a business of GE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Name of Executive Officer of</w:t>
            </w:r>
          </w:p>
        </w:tc>
        <w:tc>
          <w:tcPr>
            <w:tcW w:w="2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NEE</w:t>
            </w:r>
          </w:p>
        </w:tc>
        <w:tc>
          <w:tcPr>
            <w:tcW w:w="280" w:type="dxa"/>
            <w:vAlign w:val="bottom"/>
          </w:tcPr>
          <w:p>
            <w:pPr>
              <w:spacing w:after="0"/>
              <w:rPr>
                <w:sz w:val="19"/>
                <w:szCs w:val="19"/>
                <w:color w:val="auto"/>
              </w:rPr>
            </w:pPr>
          </w:p>
        </w:tc>
        <w:tc>
          <w:tcPr>
            <w:tcW w:w="6740" w:type="dxa"/>
            <w:vAlign w:val="bottom"/>
            <w:gridSpan w:val="2"/>
          </w:tcPr>
          <w:p>
            <w:pPr>
              <w:ind w:left="1780"/>
              <w:spacing w:after="0"/>
              <w:rPr>
                <w:sz w:val="20"/>
                <w:szCs w:val="20"/>
                <w:color w:val="auto"/>
              </w:rPr>
            </w:pPr>
            <w:r>
              <w:rPr>
                <w:rFonts w:ascii="Arial" w:cs="Arial" w:eastAsia="Arial" w:hAnsi="Arial"/>
                <w:sz w:val="18"/>
                <w:szCs w:val="18"/>
                <w:b w:val="1"/>
                <w:bCs w:val="1"/>
                <w:color w:val="auto"/>
              </w:rPr>
              <w:t>Principal Occupation or Employment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Citizenship</w:t>
            </w:r>
          </w:p>
        </w:tc>
      </w:tr>
      <w:tr>
        <w:trPr>
          <w:trHeight w:val="188"/>
        </w:trPr>
        <w:tc>
          <w:tcPr>
            <w:tcW w:w="2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Miguel Arechabala</w:t>
            </w:r>
          </w:p>
        </w:tc>
        <w:tc>
          <w:tcPr>
            <w:tcW w:w="280" w:type="dxa"/>
            <w:vAlign w:val="bottom"/>
          </w:tcPr>
          <w:p>
            <w:pPr>
              <w:spacing w:after="0"/>
              <w:rPr>
                <w:sz w:val="16"/>
                <w:szCs w:val="16"/>
                <w:color w:val="auto"/>
              </w:rPr>
            </w:pPr>
          </w:p>
        </w:tc>
        <w:tc>
          <w:tcPr>
            <w:tcW w:w="6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Executive Vice President, Power Generation Division of NEE</w:t>
            </w:r>
          </w:p>
        </w:tc>
        <w:tc>
          <w:tcPr>
            <w:tcW w:w="3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Deborah H. Caplan</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Human Resources and Corporate Services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Robert Coffey</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Nuclear Division and Chief Nuclear Officer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 Kirk Crews</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Finance and Chief Financial Officer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Paul I. Cutler</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Treasurer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John W. Ketchum</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Chairman, President and Chief Executive Officer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Rebecca J. Kujawa</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President and CEO of NextEra Energy Resources, LLC</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James M. May</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Vice President, Controller and Chief Accounting Officer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Ronald R. Reagan</w:t>
            </w: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Executive Vice President, Engineering, Construction and Integrated Supply Chain of</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88"/>
              </w:rPr>
              <w:t>United States</w:t>
            </w:r>
          </w:p>
        </w:tc>
      </w:tr>
      <w:tr>
        <w:trPr>
          <w:trHeight w:val="203"/>
        </w:trPr>
        <w:tc>
          <w:tcPr>
            <w:tcW w:w="2380" w:type="dxa"/>
            <w:vAlign w:val="bottom"/>
          </w:tcPr>
          <w:p>
            <w:pPr>
              <w:spacing w:after="0"/>
              <w:rPr>
                <w:sz w:val="17"/>
                <w:szCs w:val="17"/>
                <w:color w:val="auto"/>
              </w:rPr>
            </w:pPr>
          </w:p>
        </w:tc>
        <w:tc>
          <w:tcPr>
            <w:tcW w:w="7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NEE</w:t>
            </w:r>
          </w:p>
        </w:tc>
        <w:tc>
          <w:tcPr>
            <w:tcW w:w="1840" w:type="dxa"/>
            <w:vAlign w:val="bottom"/>
          </w:tcPr>
          <w:p>
            <w:pPr>
              <w:spacing w:after="0"/>
              <w:rPr>
                <w:sz w:val="17"/>
                <w:szCs w:val="17"/>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Charles E. Sieving</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&amp; General Counsel of NEE</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Eric E. Silagy</w:t>
            </w:r>
          </w:p>
        </w:tc>
        <w:tc>
          <w:tcPr>
            <w:tcW w:w="7020" w:type="dxa"/>
            <w:vAlign w:val="bottom"/>
            <w:gridSpan w:val="3"/>
          </w:tcPr>
          <w:p>
            <w:pPr>
              <w:ind w:left="280"/>
              <w:spacing w:after="0"/>
              <w:rPr>
                <w:sz w:val="20"/>
                <w:szCs w:val="20"/>
                <w:color w:val="auto"/>
              </w:rPr>
            </w:pPr>
            <w:r>
              <w:rPr>
                <w:rFonts w:ascii="Arial" w:cs="Arial" w:eastAsia="Arial" w:hAnsi="Arial"/>
                <w:sz w:val="18"/>
                <w:szCs w:val="18"/>
                <w:color w:val="auto"/>
              </w:rPr>
              <w:t>Chairman, President and CEO of Florida Power &amp; Light Company</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18" Type="http://schemas.openxmlformats.org/officeDocument/2006/relationships/hyperlink" Target="https://www.sec.gov/Archives/edgar/data/1842279/000119312521347023/d270539dex101.htm" TargetMode="External"/><Relationship Id="rId19" Type="http://schemas.openxmlformats.org/officeDocument/2006/relationships/hyperlink" Target="https://www.sec.gov/Archives/edgar/data/0001842279/000121390022042020/ea163248ex10-8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2022-08-01T16:27:30Z</dcterms:created>
  <dcterms:modified xsi:type="dcterms:W3CDTF">2022-08-01T16:27:30Z</dcterms:modified>
</cp:coreProperties>
</file>