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0000FF"/>
        </w:rPr>
        <w:t>OPAL Fuels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68347P103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Charles E. Sieving, Esq., EVP</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NextEra Energy, Inc., 700 Universe Boulevard</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Juno Beach, FL, 33408</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561-694-4000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68347P103</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NEXTERA ENERGY INC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FLORIDA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2,158,547.00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2,158,547.00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2,158,547.00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7.4 %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HC</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Items 8, 10, 11: Reflects 2,158,547 shares of Class A common stock, par value $0.0001 per share ("Class A Common</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Stock"), owned by Mendocino Capital, LLC, a wholly owned subsidiary of NextEra Energy, Inc., a publicly traded</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company with its common stock listed on the New York Stock Exchange under the symbol "NEE". Item 13: The</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percentage used herein and in the rest of this Schedule 13D is calculated based upon 28,996,177 shares of the Issuer's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Class A Common Stock outstanding as of November 7, 2025, as disclosed in the Issuer's Quarterly Report on Form 10-</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Q filed with the Securities and Exchange Commission on November 7, 2025.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68347P103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Mendocino Capital,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2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bookmarkStart w:id="2" w:name="page3"/>
    <w:bookmarkEnd w:id="2"/>
    <w:p>
      <w:pPr>
        <w:spacing w:after="0" w:line="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2,158,547.00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2,158,547.00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2,158,547.00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7.4 %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Items 8, 10, 11: Reflects 2,158,547 shares of Class A Common Stock owned by Mendocino Capital, LLC, a wholly</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owned subsidiary of NextEra Energy, Inc., a publicly traded company with its common stock listed on the New York</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Stock Exchange under the symbol "NEE". Item 13: The percentage used herein and in the rest of this Schedule 13D is</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calculated based upon 28,996,177shares of the Issuer's Class A Common Stock outstanding as of November 7, 2025,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as disclosed in the Issuer's Quarterly Report on Form 10-Q filed with the Securities and Exchange Commission on</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November 7, 2025.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OPAL Fuels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700 Universe Boulevard, Juno Beach, FLORIDA , 33408.</w:t>
      </w:r>
    </w:p>
    <w:p>
      <w:pPr>
        <w:spacing w:after="0" w:line="20" w:lineRule="exact"/>
        <w:rPr>
          <w:sz w:val="20"/>
          <w:szCs w:val="20"/>
          <w:color w:val="auto"/>
        </w:rPr>
      </w:pPr>
    </w:p>
    <w:p>
      <w:pPr>
        <w:jc w:val="right"/>
        <w:ind w:left="40" w:right="4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3 ("Amendment No. 3") to Schedule 13D relates to the Class A common stock, $0.0001 par</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value per share (the "Class A Common Stock"), of OPAL Fuels Inc. (the "Issuer"), and amends and supplements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initial statement on Schedule 13D originally filed with the Securities and Exchange Commission (the "SEC") by the Reporting Persons on August 1, 2022, as amended by Amendments No. 1 and No. 2 thereto on January 5, 2024 and December 3, 2025, respectively (as amended by such Amendments No. 1 and No. 2, the "Original Schedule 13D"). Capitalized terms used but not defined in this Amendment No. 3 shall have the same meanings ascribed to them in the Original Schedule 13D. This Amendment No. 3 is being filed solely to amend and restate Item 6 below to report</w:t>
      </w:r>
    </w:p>
    <w:p>
      <w:pPr>
        <w:spacing w:after="0" w:line="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the new information described therein.</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60" w:right="160"/>
        <w:spacing w:after="0" w:line="255" w:lineRule="auto"/>
        <w:rPr>
          <w:sz w:val="20"/>
          <w:szCs w:val="20"/>
          <w:color w:val="auto"/>
        </w:rPr>
      </w:pPr>
      <w:r>
        <w:rPr>
          <w:rFonts w:ascii="Times New Roman" w:cs="Times New Roman" w:eastAsia="Times New Roman" w:hAnsi="Times New Roman"/>
          <w:sz w:val="21"/>
          <w:szCs w:val="21"/>
          <w:color w:val="auto"/>
        </w:rPr>
        <w:t>The second paragraph of Item 6 of the Original Schedule 13D is hereby amended and restated as follows: In addition to the 2,158,547 shares of Class A Common Stock that are described herein, the Reporting Persons were previously the beneficial owners of Series A Preferred Units of Opal Fuels LLC (the "Series A Preferred Units"), all of which were directly owned by Mendocino. Opal Fuels LLC is an entity that directly or indirectly holds substantially all of</w:t>
      </w:r>
    </w:p>
    <w:p>
      <w:pPr>
        <w:sectPr>
          <w:pgSz w:w="11900" w:h="16891" w:orient="portrait"/>
          <w:cols w:equalWidth="0" w:num="1">
            <w:col w:w="11240"/>
          </w:cols>
          <w:pgMar w:left="320" w:top="612" w:right="339" w:bottom="0" w:gutter="0" w:footer="0" w:header="0"/>
        </w:sectPr>
      </w:pPr>
    </w:p>
    <w:bookmarkStart w:id="3" w:name="page4"/>
    <w:bookmarkEnd w:id="3"/>
    <w:p>
      <w:pPr>
        <w:ind w:left="700" w:right="120"/>
        <w:spacing w:after="0" w:line="255" w:lineRule="auto"/>
        <w:rPr>
          <w:sz w:val="20"/>
          <w:szCs w:val="20"/>
          <w:color w:val="auto"/>
        </w:rPr>
      </w:pPr>
      <w:r>
        <w:rPr>
          <w:rFonts w:ascii="Times New Roman" w:cs="Times New Roman" w:eastAsia="Times New Roman" w:hAnsi="Times New Roman"/>
          <w:sz w:val="21"/>
          <w:szCs w:val="21"/>
          <w:color w:val="auto"/>
        </w:rPr>
        <w:t>the consolidated assets and business of the Issuer. On December 3, 2025, Mendocino provided written notice to Opal Fuels LLC, pursuant and subject to Opal Fuels LLC's Series A Preferred Unit Certificate of Designations, that Mendocino requested redemption, no later than 90 days after the date of such notice, of all of the Series A Preferred Units. On March 6, 2026, Opal Fuels fully redeemed from Mendocino all of the Series A Preferred Units.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NEXTERA ENERGY INC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Hickson</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Mark Hickson, Executive Vice President,</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Corporate Development and Strategy</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Mendocino Capital, LLC</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Hickson</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Mark Hickson, President</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ectPr>
          <w:pgSz w:w="11900" w:h="16838" w:orient="portrait"/>
          <w:cols w:equalWidth="0" w:num="1">
            <w:col w:w="10920"/>
          </w:cols>
          <w:pgMar w:left="580" w:top="112" w:right="3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5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We, the signatories of the statement to which this Joint Filing Agreement is attached, hereby agree that such statement is filed, and any amendments thereto filed by any or all of us, will be filed, on behalf of each of us.</w:t>
      </w:r>
    </w:p>
    <w:p>
      <w:pPr>
        <w:spacing w:after="0" w:line="185"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March 10, 2026</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NEXTERA ENERGY, INC.</w:t>
      </w:r>
    </w:p>
    <w:p>
      <w:pPr>
        <w:spacing w:after="0" w:line="200" w:lineRule="exact"/>
        <w:rPr>
          <w:sz w:val="20"/>
          <w:szCs w:val="20"/>
          <w:color w:val="auto"/>
        </w:rPr>
      </w:pPr>
    </w:p>
    <w:p>
      <w:pPr>
        <w:spacing w:after="0" w:line="280" w:lineRule="exact"/>
        <w:rPr>
          <w:sz w:val="20"/>
          <w:szCs w:val="20"/>
          <w:color w:val="auto"/>
        </w:rPr>
      </w:pPr>
    </w:p>
    <w:tbl>
      <w:tblPr>
        <w:tblLayout w:type="fixed"/>
        <w:tblInd w:w="4760" w:type="dxa"/>
        <w:tblCellMar>
          <w:top w:w="0" w:type="dxa"/>
          <w:left w:w="0" w:type="dxa"/>
          <w:bottom w:w="0" w:type="dxa"/>
          <w:right w:w="0" w:type="dxa"/>
        </w:tblCellMar>
      </w:tblP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Mark Hickson</w:t>
            </w:r>
          </w:p>
        </w:tc>
      </w:tr>
      <w:tr>
        <w:trPr>
          <w:trHeight w:val="506"/>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Mark Hickson</w:t>
            </w:r>
          </w:p>
        </w:tc>
      </w:tr>
      <w:tr>
        <w:trPr>
          <w:trHeight w:val="47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020" w:type="dxa"/>
            <w:vAlign w:val="bottom"/>
          </w:tcPr>
          <w:p>
            <w:pPr>
              <w:spacing w:after="0"/>
              <w:rPr>
                <w:sz w:val="20"/>
                <w:szCs w:val="20"/>
                <w:color w:val="auto"/>
              </w:rPr>
            </w:pPr>
            <w:r>
              <w:rPr>
                <w:rFonts w:ascii="Times New Roman" w:cs="Times New Roman" w:eastAsia="Times New Roman" w:hAnsi="Times New Roman"/>
                <w:sz w:val="22"/>
                <w:szCs w:val="22"/>
                <w:color w:val="auto"/>
              </w:rPr>
              <w:t>Executive Vice President, Corporate</w:t>
            </w:r>
          </w:p>
        </w:tc>
      </w:tr>
      <w:tr>
        <w:trPr>
          <w:trHeight w:val="277"/>
        </w:trPr>
        <w:tc>
          <w:tcPr>
            <w:tcW w:w="860" w:type="dxa"/>
            <w:vAlign w:val="bottom"/>
          </w:tcPr>
          <w:p>
            <w:pPr>
              <w:spacing w:after="0"/>
              <w:rPr>
                <w:sz w:val="24"/>
                <w:szCs w:val="24"/>
                <w:color w:val="auto"/>
              </w:rPr>
            </w:pP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Development and Strategy</w:t>
            </w:r>
          </w:p>
        </w:tc>
      </w:tr>
    </w:tbl>
    <w:p>
      <w:pPr>
        <w:spacing w:after="0" w:line="200" w:lineRule="exact"/>
        <w:rPr>
          <w:sz w:val="20"/>
          <w:szCs w:val="20"/>
          <w:color w:val="auto"/>
        </w:rPr>
      </w:pPr>
    </w:p>
    <w:p>
      <w:pPr>
        <w:spacing w:after="0" w:line="39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MENDOCINO CAPITAL, LLC</w:t>
      </w:r>
    </w:p>
    <w:p>
      <w:pPr>
        <w:spacing w:after="0" w:line="200" w:lineRule="exact"/>
        <w:rPr>
          <w:sz w:val="20"/>
          <w:szCs w:val="20"/>
          <w:color w:val="auto"/>
        </w:rPr>
      </w:pPr>
    </w:p>
    <w:p>
      <w:pPr>
        <w:spacing w:after="0" w:line="280" w:lineRule="exact"/>
        <w:rPr>
          <w:sz w:val="20"/>
          <w:szCs w:val="20"/>
          <w:color w:val="auto"/>
        </w:rPr>
      </w:pPr>
    </w:p>
    <w:p>
      <w:pPr>
        <w:ind w:left="4760"/>
        <w:spacing w:after="0"/>
        <w:tabs>
          <w:tab w:leader="none" w:pos="5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Mark Hickson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10795</wp:posOffset>
            </wp:positionV>
            <wp:extent cx="255460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40" w:lineRule="exact"/>
        <w:rPr>
          <w:sz w:val="20"/>
          <w:szCs w:val="20"/>
          <w:color w:val="auto"/>
        </w:rPr>
      </w:pPr>
    </w:p>
    <w:p>
      <w:pPr>
        <w:ind w:left="4760"/>
        <w:spacing w:after="0"/>
        <w:tabs>
          <w:tab w:leader="none" w:pos="5600" w:val="left"/>
        </w:tabs>
        <w:rPr>
          <w:sz w:val="20"/>
          <w:szCs w:val="20"/>
          <w:color w:val="auto"/>
        </w:rPr>
      </w:pPr>
      <w:r>
        <w:rPr>
          <w:rFonts w:ascii="Times New Roman" w:cs="Times New Roman" w:eastAsia="Times New Roman" w:hAnsi="Times New Roman"/>
          <w:sz w:val="22"/>
          <w:szCs w:val="22"/>
          <w:color w:val="auto"/>
        </w:rPr>
        <w:t>Name:</w:t>
        <w:tab/>
        <w:t>Mark Hickson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19685</wp:posOffset>
            </wp:positionV>
            <wp:extent cx="255460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ind w:left="4760"/>
        <w:spacing w:after="0" w:line="210" w:lineRule="auto"/>
        <w:tabs>
          <w:tab w:leader="none" w:pos="5600" w:val="left"/>
        </w:tabs>
        <w:rPr>
          <w:sz w:val="20"/>
          <w:szCs w:val="20"/>
          <w:color w:val="auto"/>
        </w:rPr>
      </w:pPr>
      <w:r>
        <w:rPr>
          <w:rFonts w:ascii="Times New Roman" w:cs="Times New Roman" w:eastAsia="Times New Roman" w:hAnsi="Times New Roman"/>
          <w:sz w:val="43"/>
          <w:szCs w:val="43"/>
          <w:color w:val="auto"/>
          <w:vertAlign w:val="superscript"/>
        </w:rPr>
        <w:t>Title:</w:t>
      </w:r>
      <w:r>
        <w:rPr>
          <w:sz w:val="20"/>
          <w:szCs w:val="20"/>
          <w:color w:val="auto"/>
        </w:rPr>
        <w:tab/>
      </w:r>
      <w:r>
        <w:rPr>
          <w:rFonts w:ascii="Times New Roman" w:cs="Times New Roman" w:eastAsia="Times New Roman" w:hAnsi="Times New Roman"/>
          <w:sz w:val="22"/>
          <w:szCs w:val="22"/>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79375</wp:posOffset>
            </wp:positionV>
            <wp:extent cx="255460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2026-03-10T15:14:41Z</dcterms:created>
  <dcterms:modified xsi:type="dcterms:W3CDTF">2026-03-10T15:14:41Z</dcterms:modified>
</cp:coreProperties>
</file>