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NOTIFICATION OF LATE FILING</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001-40272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5440680</wp:posOffset>
            </wp:positionH>
            <wp:positionV relativeFrom="paragraph">
              <wp:posOffset>-10160</wp:posOffset>
            </wp:positionV>
            <wp:extent cx="1551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 FILE NUMBER</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G0R21B 120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5672455</wp:posOffset>
            </wp:positionH>
            <wp:positionV relativeFrom="paragraph">
              <wp:posOffset>-10160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CUSIP NUMBER</w:t>
      </w:r>
    </w:p>
    <w:p>
      <w:pPr>
        <w:sectPr>
          <w:pgSz w:w="11900" w:h="16838" w:orient="portrait"/>
          <w:cols w:equalWidth="0" w:num="1">
            <w:col w:w="11020"/>
          </w:cols>
          <w:pgMar w:left="440" w:top="368" w:right="439" w:bottom="0" w:gutter="0" w:footer="0" w:header="0"/>
        </w:sectPr>
      </w:pPr>
    </w:p>
    <w:p>
      <w:pPr>
        <w:spacing w:after="0" w:line="238" w:lineRule="exact"/>
        <w:rPr>
          <w:sz w:val="24"/>
          <w:szCs w:val="24"/>
          <w:color w:val="auto"/>
        </w:rPr>
      </w:pPr>
    </w:p>
    <w:p>
      <w:pPr>
        <w:ind w:left="2040"/>
        <w:spacing w:after="0"/>
        <w:rPr>
          <w:sz w:val="20"/>
          <w:szCs w:val="20"/>
          <w:color w:val="auto"/>
        </w:rPr>
      </w:pPr>
      <w:r>
        <w:rPr>
          <w:rFonts w:ascii="Arial" w:cs="Arial" w:eastAsia="Arial" w:hAnsi="Arial"/>
          <w:sz w:val="16"/>
          <w:szCs w:val="16"/>
          <w:i w:val="1"/>
          <w:iCs w:val="1"/>
          <w:color w:val="auto"/>
        </w:rPr>
        <w:t>(Check One):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240"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Form 10-K and Form 10-D</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right"/>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Form N-SAR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207" w:lineRule="exact"/>
        <w:tabs>
          <w:tab w:leader="none" w:pos="1020" w:val="left"/>
        </w:tabs>
        <w:rPr>
          <w:sz w:val="20"/>
          <w:szCs w:val="20"/>
          <w:color w:val="auto"/>
        </w:rPr>
      </w:pPr>
      <w:r>
        <w:rPr>
          <w:rFonts w:ascii="Arial" w:cs="Arial" w:eastAsia="Arial" w:hAnsi="Arial"/>
          <w:sz w:val="18"/>
          <w:szCs w:val="18"/>
          <w:color w:val="auto"/>
        </w:rPr>
        <w:t>Form 11-K</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Form 10-Q</w:t>
      </w:r>
    </w:p>
    <w:p>
      <w:pPr>
        <w:spacing w:after="0" w:line="58" w:lineRule="exact"/>
        <w:rPr>
          <w:sz w:val="24"/>
          <w:szCs w:val="24"/>
          <w:color w:val="auto"/>
        </w:rPr>
      </w:pPr>
    </w:p>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p>
      <w:pPr>
        <w:spacing w:after="0" w:line="114" w:lineRule="exact"/>
        <w:rPr>
          <w:sz w:val="24"/>
          <w:szCs w:val="24"/>
          <w:color w:val="auto"/>
        </w:rPr>
      </w:pPr>
    </w:p>
    <w:p>
      <w:pPr>
        <w:sectPr>
          <w:pgSz w:w="11900" w:h="16838" w:orient="portrait"/>
          <w:cols w:equalWidth="0" w:num="4">
            <w:col w:w="3020" w:space="280"/>
            <w:col w:w="1200" w:space="80"/>
            <w:col w:w="1420" w:space="80"/>
            <w:col w:w="4940"/>
          </w:cols>
          <w:pgMar w:left="440" w:top="368" w:right="439" w:bottom="0" w:gutter="0" w:footer="0" w:header="0"/>
          <w:type w:val="continuous"/>
        </w:sectPr>
      </w:pPr>
    </w:p>
    <w:p>
      <w:pPr>
        <w:ind w:left="3300"/>
        <w:spacing w:after="0"/>
        <w:rPr>
          <w:sz w:val="20"/>
          <w:szCs w:val="20"/>
          <w:color w:val="auto"/>
        </w:rPr>
      </w:pPr>
      <w:r>
        <w:rPr>
          <w:rFonts w:ascii="Arial" w:cs="Arial" w:eastAsia="Arial" w:hAnsi="Arial"/>
          <w:sz w:val="18"/>
          <w:szCs w:val="18"/>
          <w:color w:val="auto"/>
        </w:rPr>
        <w:t>For Period Ended: March 31, 2021</w:t>
      </w:r>
    </w:p>
    <w:p>
      <w:pPr>
        <w:spacing w:after="0" w:line="117" w:lineRule="exact"/>
        <w:rPr>
          <w:sz w:val="24"/>
          <w:szCs w:val="24"/>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43"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110"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For the Transition Period Ended: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003415" cy="231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3415" cy="231775"/>
                    </a:xfrm>
                    <a:prstGeom prst="rect">
                      <a:avLst/>
                    </a:prstGeom>
                    <a:noFill/>
                  </pic:spPr>
                </pic:pic>
              </a:graphicData>
            </a:graphic>
          </wp:anchor>
        </w:drawing>
      </w:r>
    </w:p>
    <w:p>
      <w:pPr>
        <w:spacing w:after="0" w:line="282" w:lineRule="exact"/>
        <w:rPr>
          <w:sz w:val="24"/>
          <w:szCs w:val="24"/>
          <w:color w:val="auto"/>
        </w:rPr>
      </w:pPr>
    </w:p>
    <w:p>
      <w:pPr>
        <w:ind w:left="1100"/>
        <w:spacing w:after="0"/>
        <w:rPr>
          <w:sz w:val="20"/>
          <w:szCs w:val="20"/>
          <w:color w:val="auto"/>
        </w:rPr>
      </w:pPr>
      <w:r>
        <w:rPr>
          <w:rFonts w:ascii="Arial" w:cs="Arial" w:eastAsia="Arial" w:hAnsi="Arial"/>
          <w:sz w:val="17"/>
          <w:szCs w:val="17"/>
          <w:b w:val="1"/>
          <w:bCs w:val="1"/>
          <w:color w:val="auto"/>
        </w:rPr>
        <w:t>Nothing in this form shall be construed to imply that the Commission has verified any information contained herein.</w:t>
      </w:r>
    </w:p>
    <w:p>
      <w:pPr>
        <w:spacing w:after="0" w:line="335"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 REGISTRANT INFORMATION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Name of Registrant: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ArcLight Clean Transition Corp. II</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if Applicable: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 (Street and Number):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 Clarendon Street, 55th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City, State and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 02116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ind w:right="540" w:firstLine="440"/>
        <w:spacing w:after="0" w:line="233" w:lineRule="exact"/>
        <w:rPr>
          <w:sz w:val="20"/>
          <w:szCs w:val="20"/>
          <w:color w:val="auto"/>
        </w:rPr>
      </w:pPr>
      <w:r>
        <w:rPr>
          <w:rFonts w:ascii="Arial" w:cs="Arial" w:eastAsia="Arial" w:hAnsi="Arial"/>
          <w:sz w:val="18"/>
          <w:szCs w:val="18"/>
          <w:color w:val="auto"/>
        </w:rPr>
        <w:t xml:space="preserve">If the subject report could not be filed without unreasonable effort or expense and the registrant seeks relief pursuant to Rule 12b-25(b), the following should be completed. (Check box if appropriate) </w:t>
      </w:r>
      <w:r>
        <w:rPr>
          <w:rFonts w:ascii="MS PGothic" w:cs="MS PGothic" w:eastAsia="MS PGothic" w:hAnsi="MS PGothic"/>
          <w:sz w:val="18"/>
          <w:szCs w:val="18"/>
          <w:color w:val="auto"/>
        </w:rPr>
        <w:t>☒</w:t>
      </w:r>
    </w:p>
    <w:p>
      <w:pPr>
        <w:spacing w:after="0" w:line="209" w:lineRule="exact"/>
        <w:rPr>
          <w:sz w:val="24"/>
          <w:szCs w:val="24"/>
          <w:color w:val="auto"/>
        </w:rPr>
      </w:pPr>
    </w:p>
    <w:p>
      <w:pPr>
        <w:ind w:left="700" w:hanging="326"/>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34" w:lineRule="exact"/>
        <w:rPr>
          <w:rFonts w:ascii="Arial" w:cs="Arial" w:eastAsia="Arial" w:hAnsi="Arial"/>
          <w:sz w:val="17"/>
          <w:szCs w:val="17"/>
          <w:color w:val="auto"/>
        </w:rPr>
      </w:pPr>
    </w:p>
    <w:p>
      <w:pPr>
        <w:ind w:left="700" w:right="140" w:hanging="326"/>
        <w:spacing w:after="0" w:line="25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 w:lineRule="exact"/>
        <w:rPr>
          <w:rFonts w:ascii="Arial" w:cs="Arial" w:eastAsia="Arial" w:hAnsi="Arial"/>
          <w:sz w:val="18"/>
          <w:szCs w:val="18"/>
          <w:color w:val="auto"/>
        </w:rPr>
      </w:pPr>
    </w:p>
    <w:p>
      <w:pPr>
        <w:ind w:left="700" w:hanging="32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wp:posOffset>
            </wp:positionH>
            <wp:positionV relativeFrom="paragraph">
              <wp:posOffset>-816610</wp:posOffset>
            </wp:positionV>
            <wp:extent cx="8890" cy="822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8229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245745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III — NARRATIVE</w:t>
      </w:r>
    </w:p>
    <w:p>
      <w:pPr>
        <w:sectPr>
          <w:pgSz w:w="11900" w:h="16838" w:orient="portrait"/>
          <w:cols w:equalWidth="0" w:num="1">
            <w:col w:w="11020"/>
          </w:cols>
          <w:pgMar w:left="440" w:top="368" w:right="439" w:bottom="0" w:gutter="0" w:footer="0" w:header="0"/>
          <w:type w:val="continuous"/>
        </w:sectPr>
      </w:pPr>
    </w:p>
    <w:bookmarkStart w:id="1" w:name="page2"/>
    <w:bookmarkEnd w:id="1"/>
    <w:p>
      <w:pPr>
        <w:ind w:left="4" w:right="80" w:firstLine="440"/>
        <w:spacing w:after="0" w:line="277" w:lineRule="auto"/>
        <w:rPr>
          <w:sz w:val="20"/>
          <w:szCs w:val="20"/>
          <w:color w:val="auto"/>
        </w:rPr>
      </w:pPr>
      <w:r>
        <w:rPr>
          <w:rFonts w:ascii="Arial" w:cs="Arial" w:eastAsia="Arial" w:hAnsi="Arial"/>
          <w:sz w:val="18"/>
          <w:szCs w:val="18"/>
          <w:color w:val="auto"/>
        </w:rPr>
        <w:t>State below in reasonable detail the reasons why Forms 10-K, 20-F, 11-K, 10-Q, 10-D, N-SAR, N-CSR, or the transition report or portion thereof, could not be filed within the prescribed time period.</w:t>
      </w:r>
    </w:p>
    <w:p>
      <w:pPr>
        <w:spacing w:after="0" w:line="170"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ArcLight Clean Transition Corp. II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determined that it is unable, without unreasonable effort or expense, to file its Quarterly Report on Form 10-Q for the fiscal quarter ended March 31, 2021 (the “</w:t>
      </w:r>
      <w:r>
        <w:rPr>
          <w:rFonts w:ascii="Arial" w:cs="Arial" w:eastAsia="Arial" w:hAnsi="Arial"/>
          <w:sz w:val="18"/>
          <w:szCs w:val="18"/>
          <w:b w:val="1"/>
          <w:bCs w:val="1"/>
          <w:i w:val="1"/>
          <w:iCs w:val="1"/>
          <w:color w:val="auto"/>
        </w:rPr>
        <w:t>Q1 2021 Form 10-Q</w:t>
      </w:r>
      <w:r>
        <w:rPr>
          <w:rFonts w:ascii="Arial" w:cs="Arial" w:eastAsia="Arial" w:hAnsi="Arial"/>
          <w:sz w:val="18"/>
          <w:szCs w:val="18"/>
          <w:color w:val="auto"/>
        </w:rPr>
        <w:t>”) by the prescribed due date for the reasons described below.</w:t>
      </w:r>
    </w:p>
    <w:p>
      <w:pPr>
        <w:spacing w:after="0" w:line="184"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On April 12, 2021, the Staff of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issued the “Staff Statement on Accounting and Reporting Considerations for Warrants Issued by Special Purpose Acquisition Companies (“</w:t>
      </w:r>
      <w:r>
        <w:rPr>
          <w:rFonts w:ascii="Arial" w:cs="Arial" w:eastAsia="Arial" w:hAnsi="Arial"/>
          <w:sz w:val="18"/>
          <w:szCs w:val="18"/>
          <w:b w:val="1"/>
          <w:bCs w:val="1"/>
          <w:i w:val="1"/>
          <w:iCs w:val="1"/>
          <w:color w:val="auto"/>
        </w:rPr>
        <w:t>SPACs</w:t>
      </w:r>
      <w:r>
        <w:rPr>
          <w:rFonts w:ascii="Arial" w:cs="Arial" w:eastAsia="Arial" w:hAnsi="Arial"/>
          <w:sz w:val="18"/>
          <w:szCs w:val="18"/>
          <w:color w:val="auto"/>
        </w:rPr>
        <w:t>”)” (the “</w:t>
      </w:r>
      <w:r>
        <w:rPr>
          <w:rFonts w:ascii="Arial" w:cs="Arial" w:eastAsia="Arial" w:hAnsi="Arial"/>
          <w:sz w:val="18"/>
          <w:szCs w:val="18"/>
          <w:b w:val="1"/>
          <w:bCs w:val="1"/>
          <w:i w:val="1"/>
          <w:iCs w:val="1"/>
          <w:color w:val="auto"/>
        </w:rPr>
        <w:t>SEC Statement</w:t>
      </w:r>
      <w:r>
        <w:rPr>
          <w:rFonts w:ascii="Arial" w:cs="Arial" w:eastAsia="Arial" w:hAnsi="Arial"/>
          <w:sz w:val="18"/>
          <w:szCs w:val="18"/>
          <w:color w:val="auto"/>
        </w:rPr>
        <w:t>”), which clarified guidance for all SPAC-related companies regarding the accounting and reporting for their warrants.</w:t>
      </w:r>
    </w:p>
    <w:p>
      <w:pPr>
        <w:spacing w:after="0" w:line="184"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The Company is currently evaluating the extent of the SEC Statement’s impact on its financial statements as of and for the fiscal quarter ended March 31, 2021 included in the Q1 2021 Form 10-Q (the “</w:t>
      </w:r>
      <w:r>
        <w:rPr>
          <w:rFonts w:ascii="Arial" w:cs="Arial" w:eastAsia="Arial" w:hAnsi="Arial"/>
          <w:sz w:val="18"/>
          <w:szCs w:val="18"/>
          <w:b w:val="1"/>
          <w:bCs w:val="1"/>
          <w:i w:val="1"/>
          <w:iCs w:val="1"/>
          <w:color w:val="auto"/>
        </w:rPr>
        <w:t>Q1 2021 Financials</w:t>
      </w:r>
      <w:r>
        <w:rPr>
          <w:rFonts w:ascii="Arial" w:cs="Arial" w:eastAsia="Arial" w:hAnsi="Arial"/>
          <w:sz w:val="18"/>
          <w:szCs w:val="18"/>
          <w:color w:val="auto"/>
        </w:rPr>
        <w:t>”).</w:t>
      </w:r>
    </w:p>
    <w:p>
      <w:pPr>
        <w:spacing w:after="0" w:line="170" w:lineRule="exact"/>
        <w:rPr>
          <w:sz w:val="20"/>
          <w:szCs w:val="20"/>
          <w:color w:val="auto"/>
        </w:rPr>
      </w:pPr>
    </w:p>
    <w:p>
      <w:pPr>
        <w:ind w:left="4" w:right="320" w:firstLine="440"/>
        <w:spacing w:after="0" w:line="301" w:lineRule="auto"/>
        <w:rPr>
          <w:sz w:val="20"/>
          <w:szCs w:val="20"/>
          <w:color w:val="auto"/>
        </w:rPr>
      </w:pPr>
      <w:r>
        <w:rPr>
          <w:rFonts w:ascii="Arial" w:cs="Arial" w:eastAsia="Arial" w:hAnsi="Arial"/>
          <w:sz w:val="16"/>
          <w:szCs w:val="16"/>
          <w:color w:val="auto"/>
        </w:rPr>
        <w:t>The Company is working diligently to complete the Q1 2021 Form 10-Q as soon as possible; however, given the scope of the process for determining the appropriate treatment of the public warrant and private placement warrants in accordance with the SEC Statement and appropriately reporting such treatment in the Q1 2021 Form 10-Q, the Company is unable to complete and file the Q1 2021 Form 10-Q by the required due date of May 17, 2021 without unreasonable effort and expense. The Company does, however, expect to file such report within five calendar days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IV — OTHER INFORMATION</w:t>
      </w:r>
    </w:p>
    <w:p>
      <w:pPr>
        <w:spacing w:after="0" w:line="256" w:lineRule="exact"/>
        <w:rPr>
          <w:sz w:val="20"/>
          <w:szCs w:val="20"/>
          <w:color w:val="auto"/>
        </w:rPr>
      </w:pPr>
    </w:p>
    <w:p>
      <w:pPr>
        <w:ind w:left="684" w:hanging="684"/>
        <w:spacing w:after="0"/>
        <w:tabs>
          <w:tab w:leader="none" w:pos="684"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584" w:type="dxa"/>
        <w:tblCellMar>
          <w:top w:w="0" w:type="dxa"/>
          <w:left w:w="0" w:type="dxa"/>
          <w:bottom w:w="0" w:type="dxa"/>
          <w:right w:w="0" w:type="dxa"/>
        </w:tblCellMar>
      </w:tblPr>
      <w:tr>
        <w:trPr>
          <w:trHeight w:val="230"/>
        </w:trPr>
        <w:tc>
          <w:tcPr>
            <w:tcW w:w="4720" w:type="dxa"/>
            <w:vAlign w:val="bottom"/>
            <w:gridSpan w:val="2"/>
          </w:tcPr>
          <w:p>
            <w:pPr>
              <w:ind w:left="100"/>
              <w:spacing w:after="0"/>
              <w:rPr>
                <w:sz w:val="20"/>
                <w:szCs w:val="20"/>
                <w:color w:val="auto"/>
              </w:rPr>
            </w:pPr>
            <w:r>
              <w:rPr>
                <w:rFonts w:ascii="Arial" w:cs="Arial" w:eastAsia="Arial" w:hAnsi="Arial"/>
                <w:sz w:val="18"/>
                <w:szCs w:val="18"/>
                <w:color w:val="auto"/>
              </w:rPr>
              <w:t>Marco Gatti</w:t>
            </w:r>
          </w:p>
        </w:tc>
        <w:tc>
          <w:tcPr>
            <w:tcW w:w="880" w:type="dxa"/>
            <w:vAlign w:val="bottom"/>
          </w:tcPr>
          <w:p>
            <w:pPr>
              <w:jc w:val="right"/>
              <w:ind w:right="299"/>
              <w:spacing w:after="0"/>
              <w:rPr>
                <w:sz w:val="20"/>
                <w:szCs w:val="20"/>
                <w:color w:val="auto"/>
              </w:rPr>
            </w:pPr>
            <w:r>
              <w:rPr>
                <w:rFonts w:ascii="Arial" w:cs="Arial" w:eastAsia="Arial" w:hAnsi="Arial"/>
                <w:sz w:val="18"/>
                <w:szCs w:val="18"/>
                <w:color w:val="auto"/>
              </w:rPr>
              <w:t>(617)</w:t>
            </w:r>
          </w:p>
        </w:tc>
        <w:tc>
          <w:tcPr>
            <w:tcW w:w="320" w:type="dxa"/>
            <w:vAlign w:val="bottom"/>
          </w:tcPr>
          <w:p>
            <w:pPr>
              <w:spacing w:after="0"/>
              <w:rPr>
                <w:sz w:val="20"/>
                <w:szCs w:val="20"/>
                <w:color w:val="auto"/>
              </w:rPr>
            </w:pPr>
          </w:p>
        </w:tc>
        <w:tc>
          <w:tcPr>
            <w:tcW w:w="4520" w:type="dxa"/>
            <w:vAlign w:val="bottom"/>
          </w:tcPr>
          <w:p>
            <w:pPr>
              <w:jc w:val="right"/>
              <w:ind w:right="3639"/>
              <w:spacing w:after="0"/>
              <w:rPr>
                <w:sz w:val="20"/>
                <w:szCs w:val="20"/>
                <w:color w:val="auto"/>
              </w:rPr>
            </w:pPr>
            <w:r>
              <w:rPr>
                <w:rFonts w:ascii="Arial" w:cs="Arial" w:eastAsia="Arial" w:hAnsi="Arial"/>
                <w:sz w:val="18"/>
                <w:szCs w:val="18"/>
                <w:color w:val="auto"/>
              </w:rPr>
              <w:t>531-6300</w:t>
            </w:r>
          </w:p>
        </w:tc>
      </w:tr>
      <w:tr>
        <w:trPr>
          <w:trHeight w:val="176"/>
        </w:trPr>
        <w:tc>
          <w:tcPr>
            <w:tcW w:w="4400" w:type="dxa"/>
            <w:vAlign w:val="bottom"/>
            <w:tcBorders>
              <w:top w:val="single" w:sz="8" w:color="auto"/>
            </w:tcBorders>
          </w:tcPr>
          <w:p>
            <w:pPr>
              <w:ind w:left="2040"/>
              <w:spacing w:after="0"/>
              <w:rPr>
                <w:sz w:val="20"/>
                <w:szCs w:val="20"/>
                <w:color w:val="auto"/>
              </w:rPr>
            </w:pPr>
            <w:r>
              <w:rPr>
                <w:rFonts w:ascii="Arial" w:cs="Arial" w:eastAsia="Arial" w:hAnsi="Arial"/>
                <w:sz w:val="14"/>
                <w:szCs w:val="14"/>
                <w:color w:val="auto"/>
              </w:rPr>
              <w:t>(Name)</w:t>
            </w:r>
          </w:p>
        </w:tc>
        <w:tc>
          <w:tcPr>
            <w:tcW w:w="32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(Area Code)</w:t>
            </w:r>
          </w:p>
        </w:tc>
        <w:tc>
          <w:tcPr>
            <w:tcW w:w="320" w:type="dxa"/>
            <w:vAlign w:val="bottom"/>
          </w:tcPr>
          <w:p>
            <w:pPr>
              <w:spacing w:after="0"/>
              <w:rPr>
                <w:sz w:val="15"/>
                <w:szCs w:val="15"/>
                <w:color w:val="auto"/>
              </w:rPr>
            </w:pPr>
          </w:p>
        </w:tc>
        <w:tc>
          <w:tcPr>
            <w:tcW w:w="4520" w:type="dxa"/>
            <w:vAlign w:val="bottom"/>
            <w:tcBorders>
              <w:top w:val="single" w:sz="8" w:color="auto"/>
            </w:tcBorders>
          </w:tcPr>
          <w:p>
            <w:pPr>
              <w:jc w:val="right"/>
              <w:ind w:right="1519"/>
              <w:spacing w:after="0"/>
              <w:rPr>
                <w:sz w:val="20"/>
                <w:szCs w:val="20"/>
                <w:color w:val="auto"/>
              </w:rPr>
            </w:pPr>
            <w:r>
              <w:rPr>
                <w:rFonts w:ascii="Arial" w:cs="Arial" w:eastAsia="Arial" w:hAnsi="Arial"/>
                <w:sz w:val="14"/>
                <w:szCs w:val="14"/>
                <w:color w:val="auto"/>
              </w:rPr>
              <w:t>(Telephone Number)</w:t>
            </w:r>
          </w:p>
        </w:tc>
      </w:tr>
    </w:tbl>
    <w:p>
      <w:pPr>
        <w:spacing w:after="0" w:line="60" w:lineRule="exact"/>
        <w:rPr>
          <w:sz w:val="20"/>
          <w:szCs w:val="20"/>
          <w:color w:val="auto"/>
        </w:rPr>
      </w:pPr>
    </w:p>
    <w:p>
      <w:pPr>
        <w:ind w:left="684" w:right="360" w:hanging="684"/>
        <w:spacing w:after="0" w:line="287" w:lineRule="auto"/>
        <w:tabs>
          <w:tab w:leader="none" w:pos="684" w:val="left"/>
        </w:tabs>
        <w:numPr>
          <w:ilvl w:val="0"/>
          <w:numId w:val="4"/>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w:t>
      </w:r>
    </w:p>
    <w:p>
      <w:pPr>
        <w:spacing w:after="0" w:line="1" w:lineRule="exact"/>
        <w:rPr>
          <w:sz w:val="20"/>
          <w:szCs w:val="20"/>
          <w:color w:val="auto"/>
        </w:rPr>
      </w:pPr>
    </w:p>
    <w:p>
      <w:pPr>
        <w:ind w:left="684"/>
        <w:spacing w:after="0" w:line="207" w:lineRule="exact"/>
        <w:tabs>
          <w:tab w:leader="none" w:pos="3984" w:val="left"/>
        </w:tabs>
        <w:rPr>
          <w:sz w:val="20"/>
          <w:szCs w:val="20"/>
          <w:color w:val="auto"/>
        </w:rPr>
      </w:pPr>
      <w:r>
        <w:rPr>
          <w:rFonts w:ascii="Arial" w:cs="Arial" w:eastAsia="Arial" w:hAnsi="Arial"/>
          <w:sz w:val="18"/>
          <w:szCs w:val="18"/>
          <w:color w:val="auto"/>
        </w:rPr>
        <w:t>filed? If the answer is no, identify report(s).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283210</wp:posOffset>
            </wp:positionV>
            <wp:extent cx="6626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84" w:hanging="684"/>
        <w:spacing w:after="0"/>
        <w:tabs>
          <w:tab w:leader="none" w:pos="684" w:val="left"/>
        </w:tabs>
        <w:numPr>
          <w:ilvl w:val="0"/>
          <w:numId w:val="5"/>
        </w:numPr>
        <w:rPr>
          <w:rFonts w:ascii="Arial" w:cs="Arial" w:eastAsia="Arial" w:hAnsi="Arial"/>
          <w:sz w:val="16"/>
          <w:szCs w:val="16"/>
          <w:color w:val="auto"/>
        </w:rPr>
      </w:pPr>
      <w:r>
        <w:rPr>
          <w:rFonts w:ascii="Arial" w:cs="Arial" w:eastAsia="Arial" w:hAnsi="Arial"/>
          <w:sz w:val="16"/>
          <w:szCs w:val="16"/>
          <w:color w:val="auto"/>
        </w:rPr>
        <w:t>Is it anticipated that any significant change in results of operations from the corresponding period for the last fiscal year will be reflected by the</w:t>
      </w:r>
    </w:p>
    <w:p>
      <w:pPr>
        <w:spacing w:after="0" w:line="41" w:lineRule="exact"/>
        <w:rPr>
          <w:sz w:val="20"/>
          <w:szCs w:val="20"/>
          <w:color w:val="auto"/>
        </w:rPr>
      </w:pPr>
    </w:p>
    <w:p>
      <w:pPr>
        <w:ind w:left="684"/>
        <w:spacing w:after="0" w:line="207" w:lineRule="exact"/>
        <w:tabs>
          <w:tab w:leader="none" w:pos="6204" w:val="left"/>
        </w:tabs>
        <w:rPr>
          <w:sz w:val="20"/>
          <w:szCs w:val="20"/>
          <w:color w:val="auto"/>
        </w:rPr>
      </w:pPr>
      <w:r>
        <w:rPr>
          <w:rFonts w:ascii="Arial" w:cs="Arial" w:eastAsia="Arial" w:hAnsi="Arial"/>
          <w:sz w:val="18"/>
          <w:szCs w:val="18"/>
          <w:color w:val="auto"/>
        </w:rPr>
        <w:t>earnings 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08" w:lineRule="exact"/>
        <w:rPr>
          <w:sz w:val="20"/>
          <w:szCs w:val="20"/>
          <w:color w:val="auto"/>
        </w:rPr>
      </w:pPr>
    </w:p>
    <w:p>
      <w:pPr>
        <w:ind w:left="684" w:right="8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Disclosures About Forward-Looking Statements</w:t>
      </w:r>
    </w:p>
    <w:p>
      <w:pPr>
        <w:spacing w:after="0" w:line="229" w:lineRule="exact"/>
        <w:rPr>
          <w:sz w:val="20"/>
          <w:szCs w:val="20"/>
          <w:color w:val="auto"/>
        </w:rPr>
      </w:pPr>
    </w:p>
    <w:p>
      <w:pPr>
        <w:ind w:left="4" w:right="80" w:firstLine="440"/>
        <w:spacing w:after="0" w:line="288" w:lineRule="auto"/>
        <w:rPr>
          <w:sz w:val="20"/>
          <w:szCs w:val="20"/>
          <w:color w:val="auto"/>
        </w:rPr>
      </w:pPr>
      <w:r>
        <w:rPr>
          <w:rFonts w:ascii="Arial" w:cs="Arial" w:eastAsia="Arial" w:hAnsi="Arial"/>
          <w:sz w:val="16"/>
          <w:szCs w:val="16"/>
          <w:color w:val="auto"/>
        </w:rPr>
        <w:t>This Notification of Late Filing on Form 12b-25 contains forward-looking statements within the meaning of the Private Securities Litigation Reform Act of 1995 and such statements are intended to be covered by the safe harbor provided by the same. These statements are based on the current beliefs and expectations of the Company’s management and are subject to significant risks and uncertainties. The above statements regarding the correction of errors in the Company’s financial statements related to the accounting treatment of the public warrants and private placement warrants, as well as the effect of the revision on any periodic SEC filings, including the timing of filing such reports, constitute forward-looking statements that are based on the Company’s current expectations. Because these forward-looking statements involve risks and uncertainties, there are important factors that could cause future events to differ materially from those in the forward-looking statements, many of which are outside of the Company’s control. These factors include, but are not limited to, a variety of risk factors affecting the Company’s business and prospects, see “Risk Factors” in the Company’s annual, quarterly reports and subsequent reports filed with the SEC, as amended from time to time. The Company does not undertake to update the forward-looking statements to reflect the impact of circumstances or events that may arise after the date of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8180" w:type="dxa"/>
            <w:vAlign w:val="bottom"/>
            <w:gridSpan w:val="2"/>
          </w:tcPr>
          <w:p>
            <w:pPr>
              <w:ind w:left="1300"/>
              <w:spacing w:after="0"/>
              <w:rPr>
                <w:sz w:val="20"/>
                <w:szCs w:val="20"/>
                <w:color w:val="auto"/>
              </w:rPr>
            </w:pPr>
            <w:r>
              <w:rPr>
                <w:rFonts w:ascii="Arial" w:cs="Arial" w:eastAsia="Arial" w:hAnsi="Arial"/>
                <w:sz w:val="18"/>
                <w:szCs w:val="18"/>
                <w:b w:val="1"/>
                <w:bCs w:val="1"/>
                <w:color w:val="auto"/>
              </w:rPr>
              <w:t>ArcLight Clean Transition Corp. II</w:t>
            </w:r>
          </w:p>
        </w:tc>
      </w:tr>
      <w:tr>
        <w:trPr>
          <w:trHeight w:val="182"/>
        </w:trPr>
        <w:tc>
          <w:tcPr>
            <w:tcW w:w="2840" w:type="dxa"/>
            <w:vAlign w:val="bottom"/>
          </w:tcPr>
          <w:p>
            <w:pPr>
              <w:spacing w:after="0"/>
              <w:rPr>
                <w:sz w:val="15"/>
                <w:szCs w:val="15"/>
                <w:color w:val="auto"/>
              </w:rPr>
            </w:pPr>
          </w:p>
        </w:tc>
        <w:tc>
          <w:tcPr>
            <w:tcW w:w="8180" w:type="dxa"/>
            <w:vAlign w:val="bottom"/>
            <w:gridSpan w:val="2"/>
          </w:tcPr>
          <w:p>
            <w:pPr>
              <w:ind w:left="1400"/>
              <w:spacing w:after="0"/>
              <w:rPr>
                <w:sz w:val="20"/>
                <w:szCs w:val="20"/>
                <w:color w:val="auto"/>
              </w:rPr>
            </w:pPr>
            <w:r>
              <w:rPr>
                <w:rFonts w:ascii="Arial" w:cs="Arial" w:eastAsia="Arial" w:hAnsi="Arial"/>
                <w:sz w:val="14"/>
                <w:szCs w:val="14"/>
                <w:color w:val="auto"/>
              </w:rPr>
              <w:t>(Name of Registrant as specified in charter)</w:t>
            </w:r>
          </w:p>
        </w:tc>
      </w:tr>
      <w:tr>
        <w:trPr>
          <w:trHeight w:val="417"/>
        </w:trPr>
        <w:tc>
          <w:tcPr>
            <w:tcW w:w="11020" w:type="dxa"/>
            <w:vAlign w:val="bottom"/>
            <w:gridSpan w:val="3"/>
          </w:tcPr>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tc>
      </w:tr>
      <w:tr>
        <w:trPr>
          <w:trHeight w:val="459"/>
        </w:trPr>
        <w:tc>
          <w:tcPr>
            <w:tcW w:w="2840" w:type="dxa"/>
            <w:vAlign w:val="bottom"/>
          </w:tcPr>
          <w:p>
            <w:pPr>
              <w:spacing w:after="0"/>
              <w:rPr>
                <w:sz w:val="20"/>
                <w:szCs w:val="20"/>
                <w:color w:val="auto"/>
              </w:rPr>
            </w:pPr>
            <w:r>
              <w:rPr>
                <w:rFonts w:ascii="Arial" w:cs="Arial" w:eastAsia="Arial" w:hAnsi="Arial"/>
                <w:sz w:val="18"/>
                <w:szCs w:val="18"/>
                <w:color w:val="auto"/>
              </w:rPr>
              <w:t>Date:  May 18, 2021</w:t>
            </w:r>
          </w:p>
        </w:tc>
        <w:tc>
          <w:tcPr>
            <w:tcW w:w="8180" w:type="dxa"/>
            <w:vAlign w:val="bottom"/>
            <w:gridSpan w:val="2"/>
          </w:tcPr>
          <w:p>
            <w:pPr>
              <w:ind w:left="2900"/>
              <w:spacing w:after="0"/>
              <w:rPr>
                <w:sz w:val="20"/>
                <w:szCs w:val="20"/>
                <w:color w:val="auto"/>
              </w:rPr>
            </w:pPr>
            <w:r>
              <w:rPr>
                <w:rFonts w:ascii="Arial" w:cs="Arial" w:eastAsia="Arial" w:hAnsi="Arial"/>
                <w:sz w:val="18"/>
                <w:szCs w:val="18"/>
                <w:b w:val="1"/>
                <w:bCs w:val="1"/>
                <w:color w:val="auto"/>
              </w:rPr>
              <w:t>ArcLight Clean Transition Corp. II</w:t>
            </w:r>
          </w:p>
        </w:tc>
      </w:tr>
      <w:tr>
        <w:trPr>
          <w:trHeight w:val="432"/>
        </w:trPr>
        <w:tc>
          <w:tcPr>
            <w:tcW w:w="2840" w:type="dxa"/>
            <w:vAlign w:val="bottom"/>
          </w:tcPr>
          <w:p>
            <w:pPr>
              <w:spacing w:after="0"/>
              <w:rPr>
                <w:sz w:val="24"/>
                <w:szCs w:val="24"/>
                <w:color w:val="auto"/>
              </w:rPr>
            </w:pPr>
          </w:p>
        </w:tc>
        <w:tc>
          <w:tcPr>
            <w:tcW w:w="3560" w:type="dxa"/>
            <w:vAlign w:val="bottom"/>
          </w:tcPr>
          <w:p>
            <w:pPr>
              <w:ind w:left="29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Erhard</w:t>
            </w:r>
          </w:p>
        </w:tc>
      </w:tr>
      <w:tr>
        <w:trPr>
          <w:trHeight w:val="209"/>
        </w:trPr>
        <w:tc>
          <w:tcPr>
            <w:tcW w:w="2840" w:type="dxa"/>
            <w:vAlign w:val="bottom"/>
          </w:tcPr>
          <w:p>
            <w:pPr>
              <w:spacing w:after="0"/>
              <w:rPr>
                <w:sz w:val="18"/>
                <w:szCs w:val="18"/>
                <w:color w:val="auto"/>
              </w:rPr>
            </w:pPr>
          </w:p>
        </w:tc>
        <w:tc>
          <w:tcPr>
            <w:tcW w:w="3560" w:type="dxa"/>
            <w:vAlign w:val="bottom"/>
          </w:tcPr>
          <w:p>
            <w:pPr>
              <w:ind w:left="2900"/>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John F. Erhard</w:t>
            </w:r>
          </w:p>
        </w:tc>
      </w:tr>
      <w:tr>
        <w:trPr>
          <w:trHeight w:val="230"/>
        </w:trPr>
        <w:tc>
          <w:tcPr>
            <w:tcW w:w="2840" w:type="dxa"/>
            <w:vAlign w:val="bottom"/>
          </w:tcPr>
          <w:p>
            <w:pPr>
              <w:spacing w:after="0"/>
              <w:rPr>
                <w:sz w:val="20"/>
                <w:szCs w:val="20"/>
                <w:color w:val="auto"/>
              </w:rPr>
            </w:pPr>
          </w:p>
        </w:tc>
        <w:tc>
          <w:tcPr>
            <w:tcW w:w="3560" w:type="dxa"/>
            <w:vAlign w:val="bottom"/>
          </w:tcPr>
          <w:p>
            <w:pPr>
              <w:ind w:left="290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43"/>
        </w:trPr>
        <w:tc>
          <w:tcPr>
            <w:tcW w:w="284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spacing w:after="0"/>
              <w:rPr>
                <w:sz w:val="21"/>
                <w:szCs w:val="21"/>
                <w:color w:val="auto"/>
              </w:rPr>
            </w:pPr>
          </w:p>
        </w:tc>
        <w:tc>
          <w:tcPr>
            <w:tcW w:w="4620" w:type="dxa"/>
            <w:vAlign w:val="bottom"/>
            <w:tcBorders>
              <w:bottom w:val="single" w:sz="8" w:color="auto"/>
            </w:tcBorders>
          </w:tcPr>
          <w:p>
            <w:pPr>
              <w:spacing w:after="0"/>
              <w:rPr>
                <w:sz w:val="21"/>
                <w:szCs w:val="21"/>
                <w:color w:val="auto"/>
              </w:rPr>
            </w:pPr>
          </w:p>
        </w:tc>
      </w:tr>
      <w:tr>
        <w:trPr>
          <w:trHeight w:val="48"/>
        </w:trPr>
        <w:tc>
          <w:tcPr>
            <w:tcW w:w="284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024"/>
      </w:cols>
      <w:pgMar w:left="436"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2021-05-18T13:02:26Z</dcterms:created>
  <dcterms:modified xsi:type="dcterms:W3CDTF">2021-05-18T13:02:26Z</dcterms:modified>
</cp:coreProperties>
</file>