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784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5332095"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209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WSJ News Exclusive | </w:t>
      </w:r>
      <w:r>
        <w:rPr>
          <w:rFonts w:ascii="Arial" w:cs="Arial" w:eastAsia="Arial" w:hAnsi="Arial"/>
          <w:sz w:val="18"/>
          <w:szCs w:val="18"/>
          <w:u w:val="single" w:color="auto"/>
          <w:color w:val="auto"/>
        </w:rPr>
        <w:t>Deals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Renewable Natural Gas Firm Opal Fuels to Go Public in $2 Billion SPAC Merger</w:t>
      </w:r>
    </w:p>
    <w:p>
      <w:pPr>
        <w:spacing w:after="0" w:line="225" w:lineRule="exact"/>
        <w:rPr>
          <w:sz w:val="24"/>
          <w:szCs w:val="24"/>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Opal Fuels recovers methane from landfills and dairy farms to make a diesel-fuel alternative; it is combining with blank-check firm ArcLight Clean Transition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4217670" cy="2820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17670" cy="2820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Opal Fuels recently opened a facility at Paloma Dairy in Arizona to capture and convert emissions into RNG.</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Photo: Opal Fuels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By Amrith Ramkumar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Dec. 2, 2021 6:00 am ET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Renewable natural-gas producer Opal Fuels LLC is merging with a special-purpose acquisition company to go public with a valuation of roughly $2 billion, the companies said.</w:t>
      </w:r>
    </w:p>
    <w:p>
      <w:pPr>
        <w:spacing w:after="0" w:line="170"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 xml:space="preserve">White Plains, N.Y.,-based Opal produces renewable natural gas, or RNG, by </w:t>
      </w:r>
      <w:r>
        <w:rPr>
          <w:rFonts w:ascii="Arial" w:cs="Arial" w:eastAsia="Arial" w:hAnsi="Arial"/>
          <w:sz w:val="18"/>
          <w:szCs w:val="18"/>
          <w:u w:val="single" w:color="auto"/>
          <w:color w:val="auto"/>
        </w:rPr>
        <w:t>capturing methane from landfills and dairy farms</w:t>
      </w:r>
      <w:r>
        <w:rPr>
          <w:rFonts w:ascii="Arial" w:cs="Arial" w:eastAsia="Arial" w:hAnsi="Arial"/>
          <w:sz w:val="18"/>
          <w:szCs w:val="18"/>
          <w:color w:val="auto"/>
        </w:rPr>
        <w:t xml:space="preserve"> and converting it into an alternative to diesel fuel. It then delivers RNG to </w:t>
      </w:r>
      <w:r>
        <w:rPr>
          <w:rFonts w:ascii="Arial" w:cs="Arial" w:eastAsia="Arial" w:hAnsi="Arial"/>
          <w:sz w:val="18"/>
          <w:szCs w:val="18"/>
          <w:u w:val="single" w:color="auto"/>
          <w:color w:val="auto"/>
        </w:rPr>
        <w:t>trucking customers</w:t>
      </w:r>
      <w:r>
        <w:rPr>
          <w:rFonts w:ascii="Arial" w:cs="Arial" w:eastAsia="Arial" w:hAnsi="Arial"/>
          <w:sz w:val="18"/>
          <w:szCs w:val="18"/>
          <w:color w:val="auto"/>
        </w:rPr>
        <w:t xml:space="preserve"> such as </w:t>
      </w:r>
      <w:r>
        <w:rPr>
          <w:rFonts w:ascii="Arial" w:cs="Arial" w:eastAsia="Arial" w:hAnsi="Arial"/>
          <w:sz w:val="18"/>
          <w:szCs w:val="18"/>
          <w:u w:val="single" w:color="auto"/>
          <w:color w:val="auto"/>
        </w:rPr>
        <w:t>United Parcel Service</w:t>
      </w:r>
      <w:r>
        <w:rPr>
          <w:rFonts w:ascii="Arial" w:cs="Arial" w:eastAsia="Arial" w:hAnsi="Arial"/>
          <w:sz w:val="18"/>
          <w:szCs w:val="18"/>
          <w:color w:val="auto"/>
        </w:rPr>
        <w:t xml:space="preserve"> Inc. and </w:t>
      </w:r>
      <w:r>
        <w:rPr>
          <w:rFonts w:ascii="Arial" w:cs="Arial" w:eastAsia="Arial" w:hAnsi="Arial"/>
          <w:sz w:val="18"/>
          <w:szCs w:val="18"/>
          <w:u w:val="single" w:color="auto"/>
          <w:color w:val="auto"/>
        </w:rPr>
        <w:t>Waste Management</w:t>
      </w:r>
      <w:r>
        <w:rPr>
          <w:rFonts w:ascii="Arial" w:cs="Arial" w:eastAsia="Arial" w:hAnsi="Arial"/>
          <w:sz w:val="18"/>
          <w:szCs w:val="18"/>
          <w:color w:val="auto"/>
        </w:rPr>
        <w:t xml:space="preserve"> Inc. with fuel stations in 42 states. RNG can also be sold to utilities or turned into green hydrogen fuel, Opal says.</w:t>
      </w:r>
    </w:p>
    <w:p>
      <w:pPr>
        <w:sectPr>
          <w:pgSz w:w="11900" w:h="16838" w:orient="portrait"/>
          <w:cols w:equalWidth="0" w:num="1">
            <w:col w:w="11020"/>
          </w:cols>
          <w:pgMar w:left="440" w:top="229" w:right="439" w:bottom="1440" w:gutter="0" w:footer="0" w:header="0"/>
        </w:sectPr>
      </w:pPr>
    </w:p>
    <w:bookmarkStart w:id="1" w:name="page2"/>
    <w:bookmarkEnd w:id="1"/>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Although RNG is currently a tiny sliver of the energy market, analysts expect output to grow rapidly in the years ahead as more companies across industries work to minimize environmental damage.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Adam Comora, Opal co-chief executive officer, said one of the firm’s advantages is that it is already vertically integrated, meaning it can simultaneously work with landfills and dairy farms to limit their emissions while meeting demand for clean fuel from large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feel very fortunate that we sit at the epicenter of both of those trends,” Mr. Comora said in an interview.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Opal is combining with the SPAC ArcLight Clean Transition Corp. II, a </w:t>
      </w:r>
      <w:r>
        <w:rPr>
          <w:rFonts w:ascii="Arial" w:cs="Arial" w:eastAsia="Arial" w:hAnsi="Arial"/>
          <w:sz w:val="18"/>
          <w:szCs w:val="18"/>
          <w:u w:val="single" w:color="auto"/>
          <w:color w:val="auto"/>
        </w:rPr>
        <w:t>so-called blank-check firm</w:t>
      </w:r>
      <w:r>
        <w:rPr>
          <w:rFonts w:ascii="Arial" w:cs="Arial" w:eastAsia="Arial" w:hAnsi="Arial"/>
          <w:sz w:val="18"/>
          <w:szCs w:val="18"/>
          <w:color w:val="auto"/>
        </w:rPr>
        <w:t xml:space="preserve"> focused on the energy transition.</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Owned by the sustainability-focused investment firm Fortistar LLC, Opal was created late last year through the combination of three separate companies: Fortistar Methane Group, Fortistar RNG and TruStar Energy.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firm has used so-called biogas projects for renewable electricity for years but is now focused on converting those to make transportation fuel. When sold as an alternative to diesel, RNG is significantly cheaper, Mr. Comora said.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Fuel and green-energy credits also give customers incentives to use RNG. Some analysts say higher costs for some other applications of biogas, without factoring in such credits, could limit its uptake.</w:t>
      </w:r>
    </w:p>
    <w:p>
      <w:pPr>
        <w:spacing w:after="0" w:line="1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 xml:space="preserve">Opal’s deal adds to a </w:t>
      </w:r>
      <w:r>
        <w:rPr>
          <w:rFonts w:ascii="Arial" w:cs="Arial" w:eastAsia="Arial" w:hAnsi="Arial"/>
          <w:sz w:val="18"/>
          <w:szCs w:val="18"/>
          <w:u w:val="single" w:color="auto"/>
          <w:color w:val="auto"/>
        </w:rPr>
        <w:t>flurry of green-energy SPAC combinations</w:t>
      </w:r>
      <w:r>
        <w:rPr>
          <w:rFonts w:ascii="Arial" w:cs="Arial" w:eastAsia="Arial" w:hAnsi="Arial"/>
          <w:sz w:val="18"/>
          <w:szCs w:val="18"/>
          <w:color w:val="auto"/>
        </w:rPr>
        <w:t xml:space="preserve">. SPAC deals </w:t>
      </w:r>
      <w:r>
        <w:rPr>
          <w:rFonts w:ascii="Arial" w:cs="Arial" w:eastAsia="Arial" w:hAnsi="Arial"/>
          <w:sz w:val="18"/>
          <w:szCs w:val="18"/>
          <w:u w:val="single" w:color="auto"/>
          <w:color w:val="auto"/>
        </w:rPr>
        <w:t>have become ubiquitous</w:t>
      </w:r>
      <w:r>
        <w:rPr>
          <w:rFonts w:ascii="Arial" w:cs="Arial" w:eastAsia="Arial" w:hAnsi="Arial"/>
          <w:sz w:val="18"/>
          <w:szCs w:val="18"/>
          <w:color w:val="auto"/>
        </w:rPr>
        <w:t xml:space="preserve"> in the past year, in part because they allow companies going public to make business projections that aren’t allowed in traditional initial public offerings. Blank-check deals also let companies quickly raise cash to accelerate expansion, executives say.</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Opal is raising a $125 million private investment in public equity, or PIPE, associated with its SPAC deal. PIPE investors include </w:t>
      </w:r>
      <w:r>
        <w:rPr>
          <w:rFonts w:ascii="Arial" w:cs="Arial" w:eastAsia="Arial" w:hAnsi="Arial"/>
          <w:sz w:val="18"/>
          <w:szCs w:val="18"/>
          <w:u w:val="single" w:color="auto"/>
          <w:color w:val="auto"/>
        </w:rPr>
        <w:t>NextEra Energy</w:t>
      </w:r>
      <w:r>
        <w:rPr>
          <w:rFonts w:ascii="Arial" w:cs="Arial" w:eastAsia="Arial" w:hAnsi="Arial"/>
          <w:sz w:val="18"/>
          <w:szCs w:val="18"/>
          <w:color w:val="auto"/>
        </w:rPr>
        <w:t xml:space="preserve"> Inc., </w:t>
      </w:r>
      <w:r>
        <w:rPr>
          <w:rFonts w:ascii="Arial" w:cs="Arial" w:eastAsia="Arial" w:hAnsi="Arial"/>
          <w:sz w:val="18"/>
          <w:szCs w:val="18"/>
          <w:u w:val="single" w:color="auto"/>
          <w:color w:val="auto"/>
        </w:rPr>
        <w:t>NEE 1.22%</w:t>
      </w:r>
      <w:r>
        <w:rPr>
          <w:rFonts w:ascii="Arial" w:cs="Arial" w:eastAsia="Arial" w:hAnsi="Arial"/>
          <w:sz w:val="18"/>
          <w:szCs w:val="18"/>
          <w:color w:val="auto"/>
        </w:rPr>
        <w:t xml:space="preserve"> commodity trading giant Gunvor Group and Wellington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NextEra is also making a preferred equity investment in Opal of up to $100 million.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The ArcLight SPAC has about $310 million, though blank-check firm investors could </w:t>
      </w:r>
      <w:r>
        <w:rPr>
          <w:rFonts w:ascii="Arial" w:cs="Arial" w:eastAsia="Arial" w:hAnsi="Arial"/>
          <w:sz w:val="18"/>
          <w:szCs w:val="18"/>
          <w:u w:val="single" w:color="auto"/>
          <w:color w:val="auto"/>
        </w:rPr>
        <w:t>withdraw their money before the deal goes through</w:t>
      </w:r>
      <w:r>
        <w:rPr>
          <w:rFonts w:ascii="Arial" w:cs="Arial" w:eastAsia="Arial" w:hAnsi="Arial"/>
          <w:sz w:val="18"/>
          <w:szCs w:val="18"/>
          <w:color w:val="auto"/>
        </w:rPr>
        <w:t xml:space="preserve">. Low share prices incentivize such withdrawals. The SPAC is backed by energy infrastructure private-equity firm ArcLight Capital Partners LLC. One of the firm’s previous SPACs took electric-vehicle technology startup </w:t>
      </w:r>
      <w:r>
        <w:rPr>
          <w:rFonts w:ascii="Arial" w:cs="Arial" w:eastAsia="Arial" w:hAnsi="Arial"/>
          <w:sz w:val="18"/>
          <w:szCs w:val="18"/>
          <w:u w:val="single" w:color="auto"/>
          <w:color w:val="auto"/>
        </w:rPr>
        <w:t>Proterra</w:t>
      </w:r>
      <w:r>
        <w:rPr>
          <w:rFonts w:ascii="Arial" w:cs="Arial" w:eastAsia="Arial" w:hAnsi="Arial"/>
          <w:sz w:val="18"/>
          <w:szCs w:val="18"/>
          <w:color w:val="auto"/>
        </w:rPr>
        <w:t xml:space="preserve"> Inc. </w:t>
      </w:r>
      <w:r>
        <w:rPr>
          <w:rFonts w:ascii="Arial" w:cs="Arial" w:eastAsia="Arial" w:hAnsi="Arial"/>
          <w:sz w:val="18"/>
          <w:szCs w:val="18"/>
          <w:u w:val="single" w:color="auto"/>
          <w:color w:val="auto"/>
        </w:rPr>
        <w:t>PTRA -4.37%</w:t>
      </w:r>
      <w:r>
        <w:rPr>
          <w:rFonts w:ascii="Arial" w:cs="Arial" w:eastAsia="Arial" w:hAnsi="Arial"/>
          <w:sz w:val="18"/>
          <w:szCs w:val="18"/>
          <w:color w:val="auto"/>
        </w:rPr>
        <w:t xml:space="preserve"> public.</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A SPAC is a shell firm that </w:t>
      </w:r>
      <w:r>
        <w:rPr>
          <w:rFonts w:ascii="Arial" w:cs="Arial" w:eastAsia="Arial" w:hAnsi="Arial"/>
          <w:sz w:val="18"/>
          <w:szCs w:val="18"/>
          <w:u w:val="single" w:color="auto"/>
          <w:color w:val="auto"/>
        </w:rPr>
        <w:t>raises money from investors and trades</w:t>
      </w:r>
      <w:r>
        <w:rPr>
          <w:rFonts w:ascii="Arial" w:cs="Arial" w:eastAsia="Arial" w:hAnsi="Arial"/>
          <w:sz w:val="18"/>
          <w:szCs w:val="18"/>
          <w:color w:val="auto"/>
        </w:rPr>
        <w:t xml:space="preserve"> on a stock exchange with the intent of merging with a private firm to take it public. After the private company files detailed financial statements with the Securities and Exchange Commission and regulators approve the deal, the private firm replaces the SPAC in the stock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record of more than 235 SPAC deals have been announced this year that value companies at about $575 billion, according to Dealogic.</w:t>
      </w:r>
    </w:p>
    <w:p>
      <w:pPr>
        <w:sectPr>
          <w:pgSz w:w="11900" w:h="16838" w:orient="portrait"/>
          <w:cols w:equalWidth="0" w:num="1">
            <w:col w:w="10980"/>
          </w:cols>
          <w:pgMar w:left="440" w:top="274"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w:t>
      </w:r>
    </w:p>
    <w:p>
      <w:pPr>
        <w:sectPr>
          <w:pgSz w:w="11900" w:h="16838" w:orient="portrait"/>
          <w:cols w:equalWidth="0" w:num="1">
            <w:col w:w="11000"/>
          </w:cols>
          <w:pgMar w:left="440" w:top="270" w:right="459" w:bottom="1440" w:gutter="0" w:footer="0" w:header="0"/>
        </w:sectPr>
      </w:pPr>
    </w:p>
    <w:bookmarkStart w:id="3" w:name="page4"/>
    <w:bookmarkEnd w:id="3"/>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(11)the ability of the combined company 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w:t>
      </w:r>
    </w:p>
    <w:p>
      <w:pPr>
        <w:spacing w:after="0" w:line="2"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2021-12-02T15:49:53Z</dcterms:created>
  <dcterms:modified xsi:type="dcterms:W3CDTF">2021-12-02T15:49:53Z</dcterms:modified>
</cp:coreProperties>
</file>