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660400</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FORM 10-Q</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92" w:lineRule="exact"/>
        <w:rPr>
          <w:sz w:val="24"/>
          <w:szCs w:val="24"/>
          <w:color w:val="auto"/>
        </w:rPr>
      </w:pPr>
    </w:p>
    <w:p>
      <w:pPr>
        <w:ind w:left="3820" w:right="2320" w:hanging="3805"/>
        <w:spacing w:after="0" w:line="438" w:lineRule="auto"/>
        <w:tabs>
          <w:tab w:leader="none" w:pos="58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or</w:t>
      </w:r>
    </w:p>
    <w:p>
      <w:pPr>
        <w:spacing w:after="0" w:line="200" w:lineRule="exact"/>
        <w:rPr>
          <w:sz w:val="24"/>
          <w:szCs w:val="24"/>
          <w:color w:val="auto"/>
        </w:rPr>
      </w:pPr>
    </w:p>
    <w:p>
      <w:pPr>
        <w:spacing w:after="0" w:line="221" w:lineRule="exact"/>
        <w:rPr>
          <w:sz w:val="24"/>
          <w:szCs w:val="24"/>
          <w:color w:val="auto"/>
        </w:rPr>
      </w:pPr>
    </w:p>
    <w:p>
      <w:pPr>
        <w:ind w:left="3300" w:right="2300" w:hanging="3285"/>
        <w:spacing w:after="0" w:line="438" w:lineRule="auto"/>
        <w:tabs>
          <w:tab w:leader="none" w:pos="591"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_______________ to ____________</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001-40272</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OPAL FUELS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240" w:type="dxa"/>
            <w:vAlign w:val="bottom"/>
            <w:gridSpan w:val="2"/>
          </w:tcPr>
          <w:p>
            <w:pPr>
              <w:jc w:val="center"/>
              <w:ind w:left="858"/>
              <w:spacing w:after="0"/>
              <w:rPr>
                <w:sz w:val="20"/>
                <w:szCs w:val="20"/>
                <w:color w:val="auto"/>
              </w:rPr>
            </w:pPr>
            <w:r>
              <w:rPr>
                <w:rFonts w:ascii="Arial" w:cs="Arial" w:eastAsia="Arial" w:hAnsi="Arial"/>
                <w:sz w:val="16"/>
                <w:szCs w:val="16"/>
                <w:b w:val="1"/>
                <w:bCs w:val="1"/>
                <w:color w:val="auto"/>
                <w:w w:val="93"/>
              </w:rPr>
              <w:t>Delaware</w:t>
            </w:r>
          </w:p>
        </w:tc>
        <w:tc>
          <w:tcPr>
            <w:tcW w:w="2060" w:type="dxa"/>
            <w:vAlign w:val="bottom"/>
          </w:tcPr>
          <w:p>
            <w:pPr>
              <w:spacing w:after="0"/>
              <w:rPr>
                <w:sz w:val="18"/>
                <w:szCs w:val="18"/>
                <w:color w:val="auto"/>
              </w:rPr>
            </w:pPr>
          </w:p>
        </w:tc>
        <w:tc>
          <w:tcPr>
            <w:tcW w:w="4960" w:type="dxa"/>
            <w:vAlign w:val="bottom"/>
          </w:tcPr>
          <w:p>
            <w:pPr>
              <w:jc w:val="right"/>
              <w:ind w:right="2138"/>
              <w:spacing w:after="0"/>
              <w:rPr>
                <w:sz w:val="20"/>
                <w:szCs w:val="20"/>
                <w:color w:val="auto"/>
              </w:rPr>
            </w:pPr>
            <w:r>
              <w:rPr>
                <w:rFonts w:ascii="Arial" w:cs="Arial" w:eastAsia="Arial" w:hAnsi="Arial"/>
                <w:sz w:val="16"/>
                <w:szCs w:val="16"/>
                <w:b w:val="1"/>
                <w:bCs w:val="1"/>
                <w:color w:val="auto"/>
              </w:rPr>
              <w:t>98-1578357</w:t>
            </w:r>
          </w:p>
        </w:tc>
      </w:tr>
      <w:tr>
        <w:trPr>
          <w:trHeight w:val="283"/>
        </w:trPr>
        <w:tc>
          <w:tcPr>
            <w:tcW w:w="6300" w:type="dxa"/>
            <w:vAlign w:val="bottom"/>
            <w:gridSpan w:val="3"/>
          </w:tcPr>
          <w:p>
            <w:pPr>
              <w:jc w:val="center"/>
              <w:ind w:right="1018"/>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4960" w:type="dxa"/>
            <w:vAlign w:val="bottom"/>
          </w:tcPr>
          <w:p>
            <w:pPr>
              <w:jc w:val="center"/>
              <w:ind w:right="178"/>
              <w:spacing w:after="0"/>
              <w:rPr>
                <w:sz w:val="20"/>
                <w:szCs w:val="20"/>
                <w:color w:val="auto"/>
              </w:rPr>
            </w:pPr>
            <w:r>
              <w:rPr>
                <w:rFonts w:ascii="Arial" w:cs="Arial" w:eastAsia="Arial" w:hAnsi="Arial"/>
                <w:sz w:val="16"/>
                <w:szCs w:val="16"/>
                <w:color w:val="auto"/>
                <w:w w:val="96"/>
              </w:rPr>
              <w:t>(I.R.S. Employer Identification No.)</w:t>
            </w:r>
          </w:p>
        </w:tc>
      </w:tr>
      <w:tr>
        <w:trPr>
          <w:trHeight w:val="345"/>
        </w:trPr>
        <w:tc>
          <w:tcPr>
            <w:tcW w:w="4240" w:type="dxa"/>
            <w:vAlign w:val="bottom"/>
            <w:gridSpan w:val="2"/>
          </w:tcPr>
          <w:p>
            <w:pPr>
              <w:jc w:val="center"/>
              <w:ind w:left="858"/>
              <w:spacing w:after="0"/>
              <w:rPr>
                <w:sz w:val="20"/>
                <w:szCs w:val="20"/>
                <w:color w:val="auto"/>
              </w:rPr>
            </w:pPr>
            <w:r>
              <w:rPr>
                <w:rFonts w:ascii="Arial" w:cs="Arial" w:eastAsia="Arial" w:hAnsi="Arial"/>
                <w:sz w:val="16"/>
                <w:szCs w:val="16"/>
                <w:b w:val="1"/>
                <w:bCs w:val="1"/>
                <w:color w:val="auto"/>
                <w:w w:val="92"/>
              </w:rPr>
              <w:t>One North Lexington Avenue, Suite 1450</w:t>
            </w:r>
          </w:p>
        </w:tc>
        <w:tc>
          <w:tcPr>
            <w:tcW w:w="20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57"/>
        </w:trPr>
        <w:tc>
          <w:tcPr>
            <w:tcW w:w="4240" w:type="dxa"/>
            <w:vAlign w:val="bottom"/>
            <w:gridSpan w:val="2"/>
          </w:tcPr>
          <w:p>
            <w:pPr>
              <w:jc w:val="center"/>
              <w:ind w:left="878"/>
              <w:spacing w:after="0"/>
              <w:rPr>
                <w:sz w:val="20"/>
                <w:szCs w:val="20"/>
                <w:color w:val="auto"/>
              </w:rPr>
            </w:pPr>
            <w:r>
              <w:rPr>
                <w:rFonts w:ascii="Arial" w:cs="Arial" w:eastAsia="Arial" w:hAnsi="Arial"/>
                <w:sz w:val="16"/>
                <w:szCs w:val="16"/>
                <w:b w:val="1"/>
                <w:bCs w:val="1"/>
                <w:color w:val="auto"/>
                <w:w w:val="94"/>
              </w:rPr>
              <w:t>White Plains, New York</w:t>
            </w:r>
          </w:p>
        </w:tc>
        <w:tc>
          <w:tcPr>
            <w:tcW w:w="2060" w:type="dxa"/>
            <w:vAlign w:val="bottom"/>
          </w:tcPr>
          <w:p>
            <w:pPr>
              <w:spacing w:after="0"/>
              <w:rPr>
                <w:sz w:val="24"/>
                <w:szCs w:val="24"/>
                <w:color w:val="auto"/>
              </w:rPr>
            </w:pPr>
          </w:p>
        </w:tc>
        <w:tc>
          <w:tcPr>
            <w:tcW w:w="4960" w:type="dxa"/>
            <w:vAlign w:val="bottom"/>
          </w:tcPr>
          <w:p>
            <w:pPr>
              <w:jc w:val="right"/>
              <w:ind w:right="2318"/>
              <w:spacing w:after="0"/>
              <w:rPr>
                <w:sz w:val="20"/>
                <w:szCs w:val="20"/>
                <w:color w:val="auto"/>
              </w:rPr>
            </w:pPr>
            <w:r>
              <w:rPr>
                <w:rFonts w:ascii="Arial" w:cs="Arial" w:eastAsia="Arial" w:hAnsi="Arial"/>
                <w:sz w:val="16"/>
                <w:szCs w:val="16"/>
                <w:b w:val="1"/>
                <w:bCs w:val="1"/>
                <w:color w:val="auto"/>
              </w:rPr>
              <w:t>10601</w:t>
            </w:r>
          </w:p>
        </w:tc>
      </w:tr>
      <w:tr>
        <w:trPr>
          <w:trHeight w:val="271"/>
        </w:trPr>
        <w:tc>
          <w:tcPr>
            <w:tcW w:w="4240" w:type="dxa"/>
            <w:vAlign w:val="bottom"/>
            <w:gridSpan w:val="2"/>
          </w:tcPr>
          <w:p>
            <w:pPr>
              <w:jc w:val="center"/>
              <w:ind w:left="858"/>
              <w:spacing w:after="0"/>
              <w:rPr>
                <w:sz w:val="20"/>
                <w:szCs w:val="20"/>
                <w:color w:val="auto"/>
              </w:rPr>
            </w:pPr>
            <w:r>
              <w:rPr>
                <w:rFonts w:ascii="Arial" w:cs="Arial" w:eastAsia="Arial" w:hAnsi="Arial"/>
                <w:sz w:val="16"/>
                <w:szCs w:val="16"/>
                <w:color w:val="auto"/>
                <w:w w:val="95"/>
              </w:rPr>
              <w:t>(Address of principal executive offices)</w:t>
            </w:r>
          </w:p>
        </w:tc>
        <w:tc>
          <w:tcPr>
            <w:tcW w:w="2060" w:type="dxa"/>
            <w:vAlign w:val="bottom"/>
          </w:tcPr>
          <w:p>
            <w:pPr>
              <w:spacing w:after="0"/>
              <w:rPr>
                <w:sz w:val="23"/>
                <w:szCs w:val="23"/>
                <w:color w:val="auto"/>
              </w:rPr>
            </w:pPr>
          </w:p>
        </w:tc>
        <w:tc>
          <w:tcPr>
            <w:tcW w:w="4960" w:type="dxa"/>
            <w:vAlign w:val="bottom"/>
          </w:tcPr>
          <w:p>
            <w:pPr>
              <w:jc w:val="center"/>
              <w:ind w:right="178"/>
              <w:spacing w:after="0"/>
              <w:rPr>
                <w:sz w:val="20"/>
                <w:szCs w:val="20"/>
                <w:color w:val="auto"/>
              </w:rPr>
            </w:pPr>
            <w:r>
              <w:rPr>
                <w:rFonts w:ascii="Arial" w:cs="Arial" w:eastAsia="Arial" w:hAnsi="Arial"/>
                <w:sz w:val="16"/>
                <w:szCs w:val="16"/>
                <w:color w:val="auto"/>
                <w:w w:val="97"/>
              </w:rPr>
              <w:t>(Zip Code)</w:t>
            </w:r>
          </w:p>
        </w:tc>
      </w:tr>
      <w:tr>
        <w:trPr>
          <w:trHeight w:val="297"/>
        </w:trPr>
        <w:tc>
          <w:tcPr>
            <w:tcW w:w="3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jc w:val="center"/>
              <w:ind w:left="638"/>
              <w:spacing w:after="0"/>
              <w:rPr>
                <w:sz w:val="20"/>
                <w:szCs w:val="20"/>
                <w:color w:val="auto"/>
              </w:rPr>
            </w:pPr>
            <w:r>
              <w:rPr>
                <w:rFonts w:ascii="Arial" w:cs="Arial" w:eastAsia="Arial" w:hAnsi="Arial"/>
                <w:sz w:val="16"/>
                <w:szCs w:val="16"/>
                <w:b w:val="1"/>
                <w:bCs w:val="1"/>
                <w:color w:val="auto"/>
                <w:w w:val="93"/>
              </w:rPr>
              <w:t>(914) 705-4000</w:t>
            </w:r>
          </w:p>
        </w:tc>
        <w:tc>
          <w:tcPr>
            <w:tcW w:w="4960" w:type="dxa"/>
            <w:vAlign w:val="bottom"/>
          </w:tcPr>
          <w:p>
            <w:pPr>
              <w:spacing w:after="0"/>
              <w:rPr>
                <w:sz w:val="24"/>
                <w:szCs w:val="24"/>
                <w:color w:val="auto"/>
              </w:rPr>
            </w:pPr>
          </w:p>
        </w:tc>
      </w:tr>
      <w:tr>
        <w:trPr>
          <w:trHeight w:val="208"/>
        </w:trPr>
        <w:tc>
          <w:tcPr>
            <w:tcW w:w="3900" w:type="dxa"/>
            <w:vAlign w:val="bottom"/>
          </w:tcPr>
          <w:p>
            <w:pPr>
              <w:spacing w:after="0"/>
              <w:rPr>
                <w:sz w:val="18"/>
                <w:szCs w:val="18"/>
                <w:color w:val="auto"/>
              </w:rPr>
            </w:pPr>
          </w:p>
        </w:tc>
        <w:tc>
          <w:tcPr>
            <w:tcW w:w="7360" w:type="dxa"/>
            <w:vAlign w:val="bottom"/>
            <w:gridSpan w:val="3"/>
          </w:tcPr>
          <w:p>
            <w:pPr>
              <w:jc w:val="center"/>
              <w:ind w:right="3818"/>
              <w:spacing w:after="0"/>
              <w:rPr>
                <w:sz w:val="20"/>
                <w:szCs w:val="20"/>
                <w:color w:val="auto"/>
              </w:rPr>
            </w:pPr>
            <w:r>
              <w:rPr>
                <w:rFonts w:ascii="Arial" w:cs="Arial" w:eastAsia="Arial" w:hAnsi="Arial"/>
                <w:sz w:val="16"/>
                <w:szCs w:val="16"/>
                <w:color w:val="auto"/>
                <w:w w:val="92"/>
              </w:rPr>
              <w:t>(Registrant's telephone number, including area code)</w:t>
            </w:r>
          </w:p>
        </w:tc>
      </w:tr>
      <w:tr>
        <w:trPr>
          <w:trHeight w:val="383"/>
        </w:trPr>
        <w:tc>
          <w:tcPr>
            <w:tcW w:w="3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jc w:val="center"/>
              <w:ind w:left="638"/>
              <w:spacing w:after="0"/>
              <w:rPr>
                <w:sz w:val="20"/>
                <w:szCs w:val="20"/>
                <w:color w:val="auto"/>
              </w:rPr>
            </w:pPr>
            <w:r>
              <w:rPr>
                <w:rFonts w:ascii="Arial" w:cs="Arial" w:eastAsia="Arial" w:hAnsi="Arial"/>
                <w:sz w:val="16"/>
                <w:szCs w:val="16"/>
                <w:b w:val="1"/>
                <w:bCs w:val="1"/>
                <w:color w:val="auto"/>
                <w:w w:val="94"/>
              </w:rPr>
              <w:t>Not Applicable</w:t>
            </w:r>
          </w:p>
        </w:tc>
        <w:tc>
          <w:tcPr>
            <w:tcW w:w="4960" w:type="dxa"/>
            <w:vAlign w:val="bottom"/>
          </w:tcPr>
          <w:p>
            <w:pPr>
              <w:spacing w:after="0"/>
              <w:rPr>
                <w:sz w:val="24"/>
                <w:szCs w:val="24"/>
                <w:color w:val="auto"/>
              </w:rPr>
            </w:pPr>
          </w:p>
        </w:tc>
      </w:tr>
      <w:tr>
        <w:trPr>
          <w:trHeight w:val="208"/>
        </w:trPr>
        <w:tc>
          <w:tcPr>
            <w:tcW w:w="11260" w:type="dxa"/>
            <w:vAlign w:val="bottom"/>
            <w:gridSpan w:val="4"/>
          </w:tcPr>
          <w:p>
            <w:pPr>
              <w:jc w:val="center"/>
              <w:spacing w:after="0"/>
              <w:rPr>
                <w:sz w:val="20"/>
                <w:szCs w:val="20"/>
                <w:color w:val="auto"/>
              </w:rPr>
            </w:pPr>
            <w:r>
              <w:rPr>
                <w:rFonts w:ascii="Arial" w:cs="Arial" w:eastAsia="Arial" w:hAnsi="Arial"/>
                <w:sz w:val="16"/>
                <w:szCs w:val="16"/>
                <w:color w:val="auto"/>
                <w:w w:val="92"/>
              </w:rPr>
              <w:t>(Former name, former address and former fiscal year, if changed since last report)</w:t>
            </w:r>
          </w:p>
        </w:tc>
      </w:tr>
      <w:tr>
        <w:trPr>
          <w:trHeight w:val="419"/>
        </w:trPr>
        <w:tc>
          <w:tcPr>
            <w:tcW w:w="42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12"/>
        </w:trPr>
        <w:tc>
          <w:tcPr>
            <w:tcW w:w="39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r>
      <w:tr>
        <w:trPr>
          <w:trHeight w:val="201"/>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4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ind w:right="298"/>
              <w:spacing w:after="0"/>
              <w:rPr>
                <w:sz w:val="20"/>
                <w:szCs w:val="20"/>
                <w:color w:val="auto"/>
              </w:rPr>
            </w:pPr>
            <w:r>
              <w:rPr>
                <w:rFonts w:ascii="Arial" w:cs="Arial" w:eastAsia="Arial" w:hAnsi="Arial"/>
                <w:sz w:val="16"/>
                <w:szCs w:val="16"/>
                <w:color w:val="auto"/>
                <w:w w:val="94"/>
              </w:rPr>
              <w:t>Trading Symbol(s)</w:t>
            </w:r>
          </w:p>
        </w:tc>
        <w:tc>
          <w:tcPr>
            <w:tcW w:w="4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2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Class A Common Stock, par value $0.0001 per share</w:t>
            </w: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jc w:val="center"/>
              <w:ind w:right="278"/>
              <w:spacing w:after="0"/>
              <w:rPr>
                <w:sz w:val="20"/>
                <w:szCs w:val="20"/>
                <w:color w:val="auto"/>
              </w:rPr>
            </w:pPr>
            <w:r>
              <w:rPr>
                <w:rFonts w:ascii="Arial" w:cs="Arial" w:eastAsia="Arial" w:hAnsi="Arial"/>
                <w:sz w:val="16"/>
                <w:szCs w:val="16"/>
                <w:color w:val="auto"/>
                <w:w w:val="98"/>
              </w:rPr>
              <w:t>OPAL</w:t>
            </w:r>
          </w:p>
        </w:tc>
        <w:tc>
          <w:tcPr>
            <w:tcW w:w="4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Stock Market LLC</w:t>
            </w:r>
          </w:p>
        </w:tc>
      </w:tr>
    </w:tbl>
    <w:p>
      <w:pPr>
        <w:spacing w:after="0" w:line="283" w:lineRule="exact"/>
        <w:rPr>
          <w:sz w:val="24"/>
          <w:szCs w:val="24"/>
          <w:color w:val="auto"/>
        </w:rPr>
      </w:pPr>
    </w:p>
    <w:p>
      <w:pPr>
        <w:ind w:right="2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5" w:lineRule="exact"/>
        <w:rPr>
          <w:sz w:val="24"/>
          <w:szCs w:val="24"/>
          <w:color w:val="auto"/>
        </w:rPr>
      </w:pPr>
    </w:p>
    <w:p>
      <w:pPr>
        <w:jc w:val="both"/>
        <w:ind w:right="20"/>
        <w:spacing w:after="0" w:line="21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5" w:lineRule="exact"/>
        <w:rPr>
          <w:sz w:val="24"/>
          <w:szCs w:val="24"/>
          <w:color w:val="auto"/>
        </w:rPr>
      </w:pPr>
    </w:p>
    <w:p>
      <w:pPr>
        <w:jc w:val="both"/>
        <w:ind w:right="20"/>
        <w:spacing w:after="0" w:line="27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jc w:val="center"/>
              <w:ind w:left="78"/>
              <w:spacing w:after="0"/>
              <w:rPr>
                <w:sz w:val="20"/>
                <w:szCs w:val="20"/>
                <w:color w:val="auto"/>
              </w:rPr>
            </w:pPr>
            <w:r>
              <w:rPr>
                <w:rFonts w:ascii="Arial" w:cs="Arial" w:eastAsia="Arial" w:hAnsi="Arial"/>
                <w:sz w:val="16"/>
                <w:szCs w:val="16"/>
                <w:color w:val="auto"/>
                <w:w w:val="93"/>
              </w:rPr>
              <w:t>Large accelerated filer</w:t>
            </w:r>
          </w:p>
        </w:tc>
        <w:tc>
          <w:tcPr>
            <w:tcW w:w="14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120" w:type="dxa"/>
            <w:vAlign w:val="bottom"/>
          </w:tcPr>
          <w:p>
            <w:pPr>
              <w:ind w:left="600"/>
              <w:spacing w:after="0"/>
              <w:rPr>
                <w:sz w:val="20"/>
                <w:szCs w:val="20"/>
                <w:color w:val="auto"/>
              </w:rPr>
            </w:pPr>
            <w:r>
              <w:rPr>
                <w:rFonts w:ascii="Arial" w:cs="Arial" w:eastAsia="Arial" w:hAnsi="Arial"/>
                <w:sz w:val="16"/>
                <w:szCs w:val="16"/>
                <w:color w:val="auto"/>
              </w:rPr>
              <w:t>Accelerated filer</w:t>
            </w:r>
          </w:p>
        </w:tc>
        <w:tc>
          <w:tcPr>
            <w:tcW w:w="376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r>
      <w:tr>
        <w:trPr>
          <w:trHeight w:val="283"/>
        </w:trPr>
        <w:tc>
          <w:tcPr>
            <w:tcW w:w="2960" w:type="dxa"/>
            <w:vAlign w:val="bottom"/>
          </w:tcPr>
          <w:p>
            <w:pPr>
              <w:jc w:val="center"/>
              <w:ind w:left="78"/>
              <w:spacing w:after="0"/>
              <w:rPr>
                <w:sz w:val="20"/>
                <w:szCs w:val="20"/>
                <w:color w:val="auto"/>
              </w:rPr>
            </w:pPr>
            <w:r>
              <w:rPr>
                <w:rFonts w:ascii="Arial" w:cs="Arial" w:eastAsia="Arial" w:hAnsi="Arial"/>
                <w:sz w:val="16"/>
                <w:szCs w:val="16"/>
                <w:color w:val="auto"/>
                <w:w w:val="94"/>
              </w:rPr>
              <w:t>Non-accelerated filer</w:t>
            </w:r>
          </w:p>
        </w:tc>
        <w:tc>
          <w:tcPr>
            <w:tcW w:w="14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120" w:type="dxa"/>
            <w:vAlign w:val="bottom"/>
          </w:tcPr>
          <w:p>
            <w:pPr>
              <w:ind w:left="600"/>
              <w:spacing w:after="0"/>
              <w:rPr>
                <w:sz w:val="20"/>
                <w:szCs w:val="20"/>
                <w:color w:val="auto"/>
              </w:rPr>
            </w:pPr>
            <w:r>
              <w:rPr>
                <w:rFonts w:ascii="Arial" w:cs="Arial" w:eastAsia="Arial" w:hAnsi="Arial"/>
                <w:sz w:val="16"/>
                <w:szCs w:val="16"/>
                <w:color w:val="auto"/>
              </w:rPr>
              <w:t>Smaller reporting company</w:t>
            </w:r>
          </w:p>
        </w:tc>
        <w:tc>
          <w:tcPr>
            <w:tcW w:w="376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r>
      <w:tr>
        <w:trPr>
          <w:trHeight w:val="285"/>
        </w:trPr>
        <w:tc>
          <w:tcPr>
            <w:tcW w:w="2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20" w:type="dxa"/>
            <w:vAlign w:val="bottom"/>
          </w:tcPr>
          <w:p>
            <w:pPr>
              <w:ind w:left="600"/>
              <w:spacing w:after="0"/>
              <w:rPr>
                <w:sz w:val="20"/>
                <w:szCs w:val="20"/>
                <w:color w:val="auto"/>
              </w:rPr>
            </w:pPr>
            <w:r>
              <w:rPr>
                <w:rFonts w:ascii="Arial" w:cs="Arial" w:eastAsia="Arial" w:hAnsi="Arial"/>
                <w:sz w:val="16"/>
                <w:szCs w:val="16"/>
                <w:color w:val="auto"/>
              </w:rPr>
              <w:t>Emerging growth company</w:t>
            </w:r>
          </w:p>
        </w:tc>
        <w:tc>
          <w:tcPr>
            <w:tcW w:w="376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r>
      <w:tr>
        <w:trPr>
          <w:trHeight w:val="1029"/>
        </w:trPr>
        <w:tc>
          <w:tcPr>
            <w:tcW w:w="29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60"/>
          </w:cols>
          <w:pgMar w:left="320" w:top="1333" w:right="319" w:bottom="1440" w:gutter="0" w:footer="0" w:header="0"/>
        </w:sectPr>
      </w:pPr>
    </w:p>
    <w:bookmarkStart w:id="1" w:name="page2"/>
    <w:bookmarkEnd w:id="1"/>
    <w:p>
      <w:pPr>
        <w:ind w:right="440"/>
        <w:spacing w:after="0" w:line="26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jc w:val="right"/>
        <w:spacing w:after="0" w:line="161" w:lineRule="exact"/>
        <w:rPr>
          <w:sz w:val="20"/>
          <w:szCs w:val="20"/>
          <w:color w:val="auto"/>
        </w:rPr>
      </w:pPr>
      <w:r>
        <w:rPr>
          <w:rFonts w:ascii="MS PGothic" w:cs="MS PGothic" w:eastAsia="MS PGothic" w:hAnsi="MS PGothic"/>
          <w:sz w:val="16"/>
          <w:szCs w:val="16"/>
          <w:color w:val="auto"/>
        </w:rPr>
        <w:t>☐</w:t>
      </w:r>
    </w:p>
    <w:p>
      <w:pPr>
        <w:spacing w:after="0" w:line="71" w:lineRule="exact"/>
        <w:rPr>
          <w:sz w:val="20"/>
          <w:szCs w:val="20"/>
          <w:color w:val="auto"/>
        </w:rPr>
      </w:pPr>
    </w:p>
    <w:p>
      <w:pPr>
        <w:spacing w:after="0" w:line="184" w:lineRule="exact"/>
        <w:tabs>
          <w:tab w:leader="none" w:pos="7640" w:val="left"/>
          <w:tab w:leader="none" w:pos="83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of November 11, 2023</w:t>
      </w:r>
      <w:r>
        <w:rPr>
          <w:rFonts w:ascii="Arial" w:cs="Arial" w:eastAsia="Arial" w:hAnsi="Arial"/>
          <w:sz w:val="19"/>
          <w:szCs w:val="19"/>
          <w:color w:val="auto"/>
        </w:rPr>
        <w:t>,</w:t>
      </w:r>
      <w:r>
        <w:rPr>
          <w:rFonts w:ascii="Arial" w:cs="Arial" w:eastAsia="Arial" w:hAnsi="Arial"/>
          <w:sz w:val="16"/>
          <w:szCs w:val="16"/>
          <w:color w:val="auto"/>
        </w:rPr>
        <w:t xml:space="preserve"> a total of 27,975,260 shares of Class A common stock, par value $0.0001 per share, and 144,399,037 shares of Class D common stock, par value $0.0001 per share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872490</wp:posOffset>
            </wp:positionV>
            <wp:extent cx="716978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78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172720</wp:posOffset>
            </wp:positionV>
            <wp:extent cx="714438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27" w:lineRule="exact"/>
        <w:rPr>
          <w:sz w:val="20"/>
          <w:szCs w:val="20"/>
          <w:color w:val="auto"/>
        </w:rPr>
      </w:pPr>
    </w:p>
    <w:p>
      <w:pPr>
        <w:jc w:val="both"/>
        <w:ind w:firstLine="591"/>
        <w:spacing w:after="0" w:line="275" w:lineRule="auto"/>
        <w:rPr>
          <w:sz w:val="20"/>
          <w:szCs w:val="20"/>
          <w:color w:val="auto"/>
        </w:rPr>
      </w:pPr>
      <w:r>
        <w:rPr>
          <w:rFonts w:ascii="Arial" w:cs="Arial" w:eastAsia="Arial" w:hAnsi="Arial"/>
          <w:sz w:val="15"/>
          <w:szCs w:val="15"/>
          <w:color w:val="auto"/>
        </w:rPr>
        <w:t>This Quarterly Report on Form 10-Q contains forward-looking statements within the meaning of the Private Securities Litigation Reform Act of 1995, that involve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“anticipates,” “believes,” “estimates,” “expects,” “forecasts,” “future,” “goal,” “intends,” “may,” “objective,” “outlook,” “plans,” “projected,” “propose,” “seeks,”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ind w:left="620" w:hanging="326"/>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16"/>
          <w:szCs w:val="16"/>
          <w:color w:val="auto"/>
        </w:rPr>
        <w:t>our ability to grow and manage growth profitably, and maintain relationships with customers and suppliers;</w:t>
      </w:r>
    </w:p>
    <w:p>
      <w:pPr>
        <w:spacing w:after="0" w:line="9" w:lineRule="exact"/>
        <w:rPr>
          <w:rFonts w:ascii="Arial" w:cs="Arial" w:eastAsia="Arial" w:hAnsi="Arial"/>
          <w:sz w:val="20"/>
          <w:szCs w:val="20"/>
          <w:color w:val="auto"/>
        </w:rPr>
      </w:pPr>
    </w:p>
    <w:p>
      <w:pPr>
        <w:ind w:left="620" w:hanging="32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in retaining or recruiting, our principal officers, key employees or directors;</w:t>
      </w:r>
    </w:p>
    <w:p>
      <w:pPr>
        <w:spacing w:after="0" w:line="15" w:lineRule="exact"/>
        <w:rPr>
          <w:rFonts w:ascii="Arial" w:cs="Arial" w:eastAsia="Arial" w:hAnsi="Arial"/>
          <w:sz w:val="16"/>
          <w:szCs w:val="16"/>
          <w:color w:val="auto"/>
        </w:rPr>
      </w:pPr>
    </w:p>
    <w:p>
      <w:pPr>
        <w:ind w:left="580" w:hanging="286"/>
        <w:spacing w:after="0" w:line="218" w:lineRule="auto"/>
        <w:tabs>
          <w:tab w:leader="none" w:pos="580" w:val="left"/>
        </w:tabs>
        <w:numPr>
          <w:ilvl w:val="0"/>
          <w:numId w:val="3"/>
        </w:numPr>
        <w:rPr>
          <w:rFonts w:ascii="Arial" w:cs="Arial" w:eastAsia="Arial" w:hAnsi="Arial"/>
          <w:sz w:val="20"/>
          <w:szCs w:val="20"/>
          <w:color w:val="auto"/>
        </w:rPr>
      </w:pPr>
      <w:r>
        <w:rPr>
          <w:rFonts w:ascii="Arial" w:cs="Arial" w:eastAsia="Arial" w:hAnsi="Arial"/>
          <w:sz w:val="16"/>
          <w:szCs w:val="16"/>
          <w:color w:val="auto"/>
        </w:rPr>
        <w:t>intense competition and competitive pressures from other companies in the industry in which we operate;</w:t>
      </w:r>
    </w:p>
    <w:p>
      <w:pPr>
        <w:spacing w:after="0" w:line="14" w:lineRule="exact"/>
        <w:rPr>
          <w:rFonts w:ascii="Arial" w:cs="Arial" w:eastAsia="Arial" w:hAnsi="Arial"/>
          <w:sz w:val="20"/>
          <w:szCs w:val="20"/>
          <w:color w:val="auto"/>
        </w:rPr>
      </w:pPr>
    </w:p>
    <w:p>
      <w:pPr>
        <w:ind w:left="600" w:right="160" w:hanging="306"/>
        <w:spacing w:after="0" w:line="242" w:lineRule="auto"/>
        <w:tabs>
          <w:tab w:leader="none" w:pos="595" w:val="left"/>
        </w:tabs>
        <w:numPr>
          <w:ilvl w:val="0"/>
          <w:numId w:val="3"/>
        </w:numPr>
        <w:rPr>
          <w:rFonts w:ascii="Arial" w:cs="Arial" w:eastAsia="Arial" w:hAnsi="Arial"/>
          <w:sz w:val="20"/>
          <w:szCs w:val="20"/>
          <w:color w:val="auto"/>
        </w:rPr>
      </w:pPr>
      <w:r>
        <w:rPr>
          <w:rFonts w:ascii="Arial" w:cs="Arial" w:eastAsia="Arial" w:hAnsi="Arial"/>
          <w:sz w:val="16"/>
          <w:szCs w:val="16"/>
          <w:color w:val="auto"/>
        </w:rPr>
        <w:t>increased costs of, or delays in obtaining, key components or labor for the construction and completion of landfill gas ("LFG") and livestock waste projects that generate electricity and renewable natural gas (“RNG”), compressed natural gas (“CNG”) and hydrogen dispensing stations;</w:t>
      </w:r>
    </w:p>
    <w:p>
      <w:pPr>
        <w:spacing w:after="0" w:line="1" w:lineRule="exact"/>
        <w:rPr>
          <w:rFonts w:ascii="Arial" w:cs="Arial" w:eastAsia="Arial" w:hAnsi="Arial"/>
          <w:sz w:val="20"/>
          <w:szCs w:val="20"/>
          <w:color w:val="auto"/>
        </w:rPr>
      </w:pPr>
    </w:p>
    <w:p>
      <w:pPr>
        <w:ind w:left="580" w:hanging="286"/>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5"/>
          <w:szCs w:val="15"/>
          <w:color w:val="auto"/>
        </w:rPr>
        <w:t>factors relating to our business, operations and financial performance, including market conditions and global and economic factors beyond our control;</w:t>
      </w:r>
    </w:p>
    <w:p>
      <w:pPr>
        <w:spacing w:after="0" w:line="11" w:lineRule="exact"/>
        <w:rPr>
          <w:rFonts w:ascii="Arial" w:cs="Arial" w:eastAsia="Arial" w:hAnsi="Arial"/>
          <w:sz w:val="18"/>
          <w:szCs w:val="18"/>
          <w:color w:val="auto"/>
        </w:rPr>
      </w:pPr>
    </w:p>
    <w:p>
      <w:pPr>
        <w:ind w:left="580" w:hanging="286"/>
        <w:spacing w:after="0" w:line="233" w:lineRule="auto"/>
        <w:tabs>
          <w:tab w:leader="none" w:pos="580" w:val="left"/>
        </w:tabs>
        <w:numPr>
          <w:ilvl w:val="0"/>
          <w:numId w:val="3"/>
        </w:numPr>
        <w:rPr>
          <w:rFonts w:ascii="Arial" w:cs="Arial" w:eastAsia="Arial" w:hAnsi="Arial"/>
          <w:sz w:val="20"/>
          <w:szCs w:val="20"/>
          <w:color w:val="auto"/>
        </w:rPr>
      </w:pPr>
      <w:r>
        <w:rPr>
          <w:rFonts w:ascii="Arial" w:cs="Arial" w:eastAsia="Arial" w:hAnsi="Arial"/>
          <w:sz w:val="16"/>
          <w:szCs w:val="16"/>
          <w:color w:val="auto"/>
        </w:rPr>
        <w:t>macroeconomic conditions related to the global COVID-19 pandemic;</w:t>
      </w:r>
    </w:p>
    <w:p>
      <w:pPr>
        <w:spacing w:after="0" w:line="10" w:lineRule="exact"/>
        <w:rPr>
          <w:rFonts w:ascii="Arial" w:cs="Arial" w:eastAsia="Arial" w:hAnsi="Arial"/>
          <w:sz w:val="20"/>
          <w:szCs w:val="20"/>
          <w:color w:val="auto"/>
        </w:rPr>
      </w:pPr>
    </w:p>
    <w:p>
      <w:pPr>
        <w:ind w:left="580" w:hanging="286"/>
        <w:spacing w:after="0" w:line="221" w:lineRule="auto"/>
        <w:tabs>
          <w:tab w:leader="none" w:pos="580" w:val="left"/>
        </w:tabs>
        <w:numPr>
          <w:ilvl w:val="0"/>
          <w:numId w:val="3"/>
        </w:numPr>
        <w:rPr>
          <w:rFonts w:ascii="Arial" w:cs="Arial" w:eastAsia="Arial" w:hAnsi="Arial"/>
          <w:sz w:val="20"/>
          <w:szCs w:val="20"/>
          <w:color w:val="auto"/>
        </w:rPr>
      </w:pPr>
      <w:r>
        <w:rPr>
          <w:rFonts w:ascii="Arial" w:cs="Arial" w:eastAsia="Arial" w:hAnsi="Arial"/>
          <w:sz w:val="16"/>
          <w:szCs w:val="16"/>
          <w:color w:val="auto"/>
        </w:rPr>
        <w:t>the reduction or elimination of government economic incentives to the renewable energy market;</w:t>
      </w:r>
    </w:p>
    <w:p>
      <w:pPr>
        <w:spacing w:after="0" w:line="13" w:lineRule="exact"/>
        <w:rPr>
          <w:rFonts w:ascii="Arial" w:cs="Arial" w:eastAsia="Arial" w:hAnsi="Arial"/>
          <w:sz w:val="20"/>
          <w:szCs w:val="20"/>
          <w:color w:val="auto"/>
        </w:rPr>
      </w:pPr>
    </w:p>
    <w:p>
      <w:pPr>
        <w:ind w:left="600" w:right="300" w:hanging="306"/>
        <w:spacing w:after="0" w:line="241" w:lineRule="auto"/>
        <w:tabs>
          <w:tab w:leader="none" w:pos="595" w:val="left"/>
        </w:tabs>
        <w:numPr>
          <w:ilvl w:val="0"/>
          <w:numId w:val="3"/>
        </w:numPr>
        <w:rPr>
          <w:rFonts w:ascii="Arial" w:cs="Arial" w:eastAsia="Arial" w:hAnsi="Arial"/>
          <w:sz w:val="20"/>
          <w:szCs w:val="20"/>
          <w:color w:val="auto"/>
        </w:rPr>
      </w:pPr>
      <w:r>
        <w:rPr>
          <w:rFonts w:ascii="Arial" w:cs="Arial" w:eastAsia="Arial" w:hAnsi="Arial"/>
          <w:sz w:val="16"/>
          <w:szCs w:val="16"/>
          <w:color w:val="auto"/>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low carbon fuel standard ("LCFS") credits and other incentives;</w:t>
      </w:r>
    </w:p>
    <w:p>
      <w:pPr>
        <w:spacing w:after="0" w:line="2" w:lineRule="exact"/>
        <w:rPr>
          <w:rFonts w:ascii="Arial" w:cs="Arial" w:eastAsia="Arial" w:hAnsi="Arial"/>
          <w:sz w:val="20"/>
          <w:szCs w:val="20"/>
          <w:color w:val="auto"/>
        </w:rPr>
      </w:pPr>
    </w:p>
    <w:p>
      <w:pPr>
        <w:ind w:left="580" w:hanging="286"/>
        <w:spacing w:after="0" w:line="231" w:lineRule="auto"/>
        <w:tabs>
          <w:tab w:leader="none" w:pos="580" w:val="left"/>
        </w:tabs>
        <w:numPr>
          <w:ilvl w:val="0"/>
          <w:numId w:val="3"/>
        </w:numPr>
        <w:rPr>
          <w:rFonts w:ascii="Arial" w:cs="Arial" w:eastAsia="Arial" w:hAnsi="Arial"/>
          <w:sz w:val="20"/>
          <w:szCs w:val="20"/>
          <w:color w:val="auto"/>
        </w:rPr>
      </w:pPr>
      <w:r>
        <w:rPr>
          <w:rFonts w:ascii="Arial" w:cs="Arial" w:eastAsia="Arial" w:hAnsi="Arial"/>
          <w:sz w:val="16"/>
          <w:szCs w:val="16"/>
          <w:color w:val="auto"/>
        </w:rPr>
        <w:t>the ability to identify, acquire, develop and operate renewable projects and fueling stations ("Fueling Stations");</w:t>
      </w:r>
    </w:p>
    <w:p>
      <w:pPr>
        <w:spacing w:after="0" w:line="10" w:lineRule="exact"/>
        <w:rPr>
          <w:rFonts w:ascii="Arial" w:cs="Arial" w:eastAsia="Arial" w:hAnsi="Arial"/>
          <w:sz w:val="20"/>
          <w:szCs w:val="20"/>
          <w:color w:val="auto"/>
        </w:rPr>
      </w:pPr>
    </w:p>
    <w:p>
      <w:pPr>
        <w:ind w:left="580" w:hanging="286"/>
        <w:spacing w:after="0" w:line="221" w:lineRule="auto"/>
        <w:tabs>
          <w:tab w:leader="none" w:pos="580" w:val="left"/>
        </w:tabs>
        <w:numPr>
          <w:ilvl w:val="0"/>
          <w:numId w:val="3"/>
        </w:numPr>
        <w:rPr>
          <w:rFonts w:ascii="Arial" w:cs="Arial" w:eastAsia="Arial" w:hAnsi="Arial"/>
          <w:sz w:val="20"/>
          <w:szCs w:val="20"/>
          <w:color w:val="auto"/>
        </w:rPr>
      </w:pPr>
      <w:r>
        <w:rPr>
          <w:rFonts w:ascii="Arial" w:cs="Arial" w:eastAsia="Arial" w:hAnsi="Arial"/>
          <w:sz w:val="16"/>
          <w:szCs w:val="16"/>
          <w:color w:val="auto"/>
        </w:rPr>
        <w:t>our ability to issue equity or equity-linked securities or obtain or amend debt financing;</w:t>
      </w:r>
    </w:p>
    <w:p>
      <w:pPr>
        <w:spacing w:after="0" w:line="10" w:lineRule="exact"/>
        <w:rPr>
          <w:rFonts w:ascii="Arial" w:cs="Arial" w:eastAsia="Arial" w:hAnsi="Arial"/>
          <w:sz w:val="20"/>
          <w:szCs w:val="20"/>
          <w:color w:val="auto"/>
        </w:rPr>
      </w:pPr>
    </w:p>
    <w:p>
      <w:pPr>
        <w:ind w:left="580" w:hanging="286"/>
        <w:spacing w:after="0" w:line="221" w:lineRule="auto"/>
        <w:tabs>
          <w:tab w:leader="none" w:pos="580" w:val="left"/>
        </w:tabs>
        <w:numPr>
          <w:ilvl w:val="0"/>
          <w:numId w:val="3"/>
        </w:numPr>
        <w:rPr>
          <w:rFonts w:ascii="Arial" w:cs="Arial" w:eastAsia="Arial" w:hAnsi="Arial"/>
          <w:sz w:val="20"/>
          <w:szCs w:val="20"/>
          <w:color w:val="auto"/>
        </w:rPr>
      </w:pPr>
      <w:r>
        <w:rPr>
          <w:rFonts w:ascii="Arial" w:cs="Arial" w:eastAsia="Arial" w:hAnsi="Arial"/>
          <w:sz w:val="16"/>
          <w:szCs w:val="16"/>
          <w:color w:val="auto"/>
        </w:rPr>
        <w:t>the demand for renewable energy not being sustained;</w:t>
      </w:r>
    </w:p>
    <w:p>
      <w:pPr>
        <w:spacing w:after="0" w:line="10" w:lineRule="exact"/>
        <w:rPr>
          <w:rFonts w:ascii="Arial" w:cs="Arial" w:eastAsia="Arial" w:hAnsi="Arial"/>
          <w:sz w:val="20"/>
          <w:szCs w:val="20"/>
          <w:color w:val="auto"/>
        </w:rPr>
      </w:pPr>
    </w:p>
    <w:p>
      <w:pPr>
        <w:ind w:left="580" w:hanging="286"/>
        <w:spacing w:after="0" w:line="233" w:lineRule="auto"/>
        <w:tabs>
          <w:tab w:leader="none" w:pos="580" w:val="left"/>
        </w:tabs>
        <w:numPr>
          <w:ilvl w:val="0"/>
          <w:numId w:val="3"/>
        </w:numPr>
        <w:rPr>
          <w:rFonts w:ascii="Arial" w:cs="Arial" w:eastAsia="Arial" w:hAnsi="Arial"/>
          <w:sz w:val="20"/>
          <w:szCs w:val="20"/>
          <w:color w:val="auto"/>
        </w:rPr>
      </w:pPr>
      <w:r>
        <w:rPr>
          <w:rFonts w:ascii="Arial" w:cs="Arial" w:eastAsia="Arial" w:hAnsi="Arial"/>
          <w:sz w:val="16"/>
          <w:szCs w:val="16"/>
          <w:color w:val="auto"/>
        </w:rPr>
        <w:t>impacts of climate change, changing weather patterns and conditions and natural disasters; and</w:t>
      </w:r>
    </w:p>
    <w:p>
      <w:pPr>
        <w:spacing w:after="0" w:line="10" w:lineRule="exact"/>
        <w:rPr>
          <w:rFonts w:ascii="Arial" w:cs="Arial" w:eastAsia="Arial" w:hAnsi="Arial"/>
          <w:sz w:val="20"/>
          <w:szCs w:val="20"/>
          <w:color w:val="auto"/>
        </w:rPr>
      </w:pPr>
    </w:p>
    <w:p>
      <w:pPr>
        <w:ind w:left="580" w:hanging="286"/>
        <w:spacing w:after="0" w:line="221" w:lineRule="auto"/>
        <w:tabs>
          <w:tab w:leader="none" w:pos="580" w:val="left"/>
        </w:tabs>
        <w:numPr>
          <w:ilvl w:val="0"/>
          <w:numId w:val="3"/>
        </w:numPr>
        <w:rPr>
          <w:rFonts w:ascii="Arial" w:cs="Arial" w:eastAsia="Arial" w:hAnsi="Arial"/>
          <w:sz w:val="20"/>
          <w:szCs w:val="20"/>
          <w:color w:val="auto"/>
        </w:rPr>
      </w:pPr>
      <w:r>
        <w:rPr>
          <w:rFonts w:ascii="Arial" w:cs="Arial" w:eastAsia="Arial" w:hAnsi="Arial"/>
          <w:sz w:val="16"/>
          <w:szCs w:val="16"/>
          <w:color w:val="auto"/>
        </w:rPr>
        <w:t>the effect of legal, tax and regulatory changes.</w:t>
      </w:r>
    </w:p>
    <w:p>
      <w:pPr>
        <w:spacing w:after="0" w:line="10" w:lineRule="exact"/>
        <w:rPr>
          <w:sz w:val="20"/>
          <w:szCs w:val="20"/>
          <w:color w:val="auto"/>
        </w:rPr>
      </w:pPr>
    </w:p>
    <w:p>
      <w:pPr>
        <w:jc w:val="both"/>
        <w:ind w:firstLine="591"/>
        <w:spacing w:after="0" w:line="248" w:lineRule="auto"/>
        <w:rPr>
          <w:sz w:val="20"/>
          <w:szCs w:val="20"/>
          <w:color w:val="auto"/>
        </w:rPr>
      </w:pPr>
      <w:r>
        <w:rPr>
          <w:rFonts w:ascii="Arial" w:cs="Arial" w:eastAsia="Arial" w:hAnsi="Arial"/>
          <w:sz w:val="16"/>
          <w:szCs w:val="16"/>
          <w:color w:val="auto"/>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and in our Annual Report on Form 10-K, which was filed with the SEC on March 29, 2023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510540</wp:posOffset>
            </wp:positionV>
            <wp:extent cx="71697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6"/>
              </w:rPr>
              <w:t>PAGE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80" w:type="dxa"/>
            <w:vAlign w:val="bottom"/>
            <w:gridSpan w:val="11"/>
            <w:shd w:val="clear" w:color="auto" w:fill="CCEEFF"/>
          </w:tcPr>
          <w:p>
            <w:pPr>
              <w:spacing w:after="0" w:line="150" w:lineRule="exact"/>
              <w:rPr>
                <w:sz w:val="20"/>
                <w:szCs w:val="20"/>
                <w:color w:val="auto"/>
              </w:rPr>
            </w:pPr>
            <w:r>
              <w:rPr>
                <w:rFonts w:ascii="Arial" w:cs="Arial" w:eastAsia="Arial" w:hAnsi="Arial"/>
                <w:sz w:val="16"/>
                <w:szCs w:val="16"/>
                <w:b w:val="1"/>
                <w:bCs w:val="1"/>
                <w:color w:val="auto"/>
              </w:rPr>
              <w:t>PART I. FINANCIAL INFORMATION</w:t>
            </w:r>
          </w:p>
        </w:tc>
        <w:tc>
          <w:tcPr>
            <w:tcW w:w="3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gridSpan w:val="2"/>
          </w:tcPr>
          <w:p>
            <w:pPr>
              <w:spacing w:after="0" w:line="173" w:lineRule="exact"/>
              <w:rPr>
                <w:sz w:val="20"/>
                <w:szCs w:val="20"/>
                <w:color w:val="auto"/>
              </w:rPr>
            </w:pPr>
            <w:r>
              <w:rPr>
                <w:rFonts w:ascii="Arial" w:cs="Arial" w:eastAsia="Arial" w:hAnsi="Arial"/>
                <w:sz w:val="16"/>
                <w:szCs w:val="16"/>
                <w:color w:val="auto"/>
              </w:rPr>
              <w:t>ITEM 1.</w:t>
            </w:r>
          </w:p>
        </w:tc>
        <w:tc>
          <w:tcPr>
            <w:tcW w:w="2460" w:type="dxa"/>
            <w:vAlign w:val="bottom"/>
            <w:tcBorders>
              <w:top w:val="single" w:sz="8" w:color="CCEEFF"/>
            </w:tcBorders>
            <w:gridSpan w:val="4"/>
          </w:tcPr>
          <w:p>
            <w:pPr>
              <w:spacing w:after="0" w:line="173" w:lineRule="exact"/>
              <w:rPr>
                <w:sz w:val="20"/>
                <w:szCs w:val="20"/>
                <w:color w:val="auto"/>
              </w:rPr>
            </w:pPr>
            <w:r>
              <w:rPr>
                <w:rFonts w:ascii="Arial" w:cs="Arial" w:eastAsia="Arial" w:hAnsi="Arial"/>
                <w:sz w:val="16"/>
                <w:szCs w:val="16"/>
                <w:color w:val="auto"/>
              </w:rPr>
              <w:t>FINANCIAL STATEMENTS</w:t>
            </w:r>
          </w:p>
        </w:tc>
        <w:tc>
          <w:tcPr>
            <w:tcW w:w="2800" w:type="dxa"/>
            <w:vAlign w:val="bottom"/>
            <w:tcBorders>
              <w:top w:val="single" w:sz="8" w:color="auto"/>
            </w:tcBorders>
            <w:gridSpan w:val="2"/>
          </w:tcPr>
          <w:p>
            <w:pPr>
              <w:spacing w:after="0"/>
              <w:rPr>
                <w:sz w:val="15"/>
                <w:szCs w:val="15"/>
                <w:color w:val="auto"/>
              </w:rPr>
            </w:pPr>
          </w:p>
        </w:tc>
        <w:tc>
          <w:tcPr>
            <w:tcW w:w="3680" w:type="dxa"/>
            <w:vAlign w:val="bottom"/>
            <w:tcBorders>
              <w:top w:val="single" w:sz="8" w:color="CCEEFF"/>
            </w:tcBorders>
            <w:gridSpan w:val="9"/>
          </w:tcPr>
          <w:p>
            <w:pPr>
              <w:spacing w:after="0"/>
              <w:rPr>
                <w:sz w:val="15"/>
                <w:szCs w:val="15"/>
                <w:color w:val="auto"/>
              </w:rPr>
            </w:pPr>
          </w:p>
        </w:tc>
        <w:tc>
          <w:tcPr>
            <w:tcW w:w="580" w:type="dxa"/>
            <w:vAlign w:val="bottom"/>
            <w:tcBorders>
              <w:top w:val="single" w:sz="8" w:color="CCEEFF"/>
            </w:tcBorders>
            <w:gridSpan w:val="3"/>
          </w:tcPr>
          <w:p>
            <w:pPr>
              <w:jc w:val="center"/>
              <w:ind w:left="418"/>
              <w:spacing w:after="0" w:line="173" w:lineRule="exact"/>
              <w:rPr>
                <w:sz w:val="20"/>
                <w:szCs w:val="20"/>
                <w:color w:val="auto"/>
              </w:rPr>
            </w:pPr>
            <w:r>
              <w:rPr>
                <w:rFonts w:ascii="Arial" w:cs="Arial" w:eastAsia="Arial" w:hAnsi="Arial"/>
                <w:sz w:val="16"/>
                <w:szCs w:val="16"/>
                <w:color w:val="auto"/>
                <w:w w:val="89"/>
              </w:rPr>
              <w:t>1</w:t>
            </w:r>
          </w:p>
        </w:tc>
        <w:tc>
          <w:tcPr>
            <w:tcW w:w="1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940" w:type="dxa"/>
            <w:vAlign w:val="bottom"/>
            <w:gridSpan w:val="15"/>
            <w:shd w:val="clear" w:color="auto" w:fill="CCEEFF"/>
          </w:tcPr>
          <w:p>
            <w:pPr>
              <w:spacing w:after="0" w:line="181" w:lineRule="exact"/>
              <w:rPr>
                <w:sz w:val="20"/>
                <w:szCs w:val="20"/>
                <w:color w:val="auto"/>
              </w:rPr>
            </w:pPr>
            <w:r>
              <w:rPr>
                <w:rFonts w:ascii="Arial" w:cs="Arial" w:eastAsia="Arial" w:hAnsi="Arial"/>
                <w:sz w:val="16"/>
                <w:szCs w:val="16"/>
                <w:color w:val="auto"/>
              </w:rPr>
              <w:t>Unaudited Condensed Consolidated Balance sheets as of September 30, 2023 And December 31, 2022</w:t>
            </w:r>
          </w:p>
        </w:tc>
        <w:tc>
          <w:tcPr>
            <w:tcW w:w="580" w:type="dxa"/>
            <w:vAlign w:val="bottom"/>
            <w:gridSpan w:val="3"/>
            <w:shd w:val="clear" w:color="auto" w:fill="CCEEFF"/>
          </w:tcPr>
          <w:p>
            <w:pPr>
              <w:jc w:val="center"/>
              <w:ind w:left="418"/>
              <w:spacing w:after="0" w:line="181" w:lineRule="exact"/>
              <w:rPr>
                <w:sz w:val="20"/>
                <w:szCs w:val="20"/>
                <w:color w:val="auto"/>
              </w:rPr>
            </w:pPr>
            <w:r>
              <w:rPr>
                <w:rFonts w:ascii="Arial" w:cs="Arial" w:eastAsia="Arial" w:hAnsi="Arial"/>
                <w:sz w:val="16"/>
                <w:szCs w:val="16"/>
                <w:color w:val="auto"/>
                <w:w w:val="89"/>
              </w:rPr>
              <w:t>1</w:t>
            </w:r>
          </w:p>
        </w:tc>
        <w:tc>
          <w:tcPr>
            <w:tcW w:w="18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96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80" w:type="dxa"/>
            <w:vAlign w:val="bottom"/>
            <w:gridSpan w:val="12"/>
          </w:tcPr>
          <w:p>
            <w:pPr>
              <w:spacing w:after="0" w:line="173" w:lineRule="exact"/>
              <w:rPr>
                <w:sz w:val="20"/>
                <w:szCs w:val="20"/>
                <w:color w:val="auto"/>
              </w:rPr>
            </w:pPr>
            <w:r>
              <w:rPr>
                <w:rFonts w:ascii="Arial" w:cs="Arial" w:eastAsia="Arial" w:hAnsi="Arial"/>
                <w:sz w:val="16"/>
                <w:szCs w:val="16"/>
                <w:color w:val="auto"/>
                <w:w w:val="91"/>
              </w:rPr>
              <w:t>Unaudited Condensed Consolidated Statements of Operations for the three and nine months ended September 30, 2023 and 2022</w:t>
            </w:r>
          </w:p>
        </w:tc>
        <w:tc>
          <w:tcPr>
            <w:tcW w:w="460" w:type="dxa"/>
            <w:vAlign w:val="bottom"/>
            <w:gridSpan w:val="3"/>
          </w:tcPr>
          <w:p>
            <w:pPr>
              <w:spacing w:after="0"/>
              <w:rPr>
                <w:sz w:val="15"/>
                <w:szCs w:val="15"/>
                <w:color w:val="auto"/>
              </w:rPr>
            </w:pPr>
          </w:p>
        </w:tc>
        <w:tc>
          <w:tcPr>
            <w:tcW w:w="500" w:type="dxa"/>
            <w:vAlign w:val="bottom"/>
            <w:gridSpan w:val="2"/>
          </w:tcPr>
          <w:p>
            <w:pPr>
              <w:spacing w:after="0"/>
              <w:rPr>
                <w:sz w:val="15"/>
                <w:szCs w:val="15"/>
                <w:color w:val="auto"/>
              </w:rPr>
            </w:pPr>
          </w:p>
        </w:tc>
        <w:tc>
          <w:tcPr>
            <w:tcW w:w="80" w:type="dxa"/>
            <w:vAlign w:val="bottom"/>
          </w:tcPr>
          <w:p>
            <w:pPr>
              <w:jc w:val="center"/>
              <w:spacing w:after="0" w:line="173" w:lineRule="exact"/>
              <w:rPr>
                <w:sz w:val="20"/>
                <w:szCs w:val="20"/>
                <w:color w:val="auto"/>
              </w:rPr>
            </w:pPr>
            <w:r>
              <w:rPr>
                <w:rFonts w:ascii="Arial" w:cs="Arial" w:eastAsia="Arial" w:hAnsi="Arial"/>
                <w:sz w:val="16"/>
                <w:szCs w:val="16"/>
                <w:color w:val="auto"/>
                <w:w w:val="89"/>
              </w:rPr>
              <w:t>3</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940" w:type="dxa"/>
            <w:vAlign w:val="bottom"/>
            <w:gridSpan w:val="15"/>
            <w:shd w:val="clear" w:color="auto" w:fill="CCEEFF"/>
          </w:tcPr>
          <w:p>
            <w:pPr>
              <w:spacing w:after="0" w:line="181" w:lineRule="exact"/>
              <w:rPr>
                <w:sz w:val="20"/>
                <w:szCs w:val="20"/>
                <w:color w:val="auto"/>
              </w:rPr>
            </w:pPr>
            <w:r>
              <w:rPr>
                <w:rFonts w:ascii="Arial" w:cs="Arial" w:eastAsia="Arial" w:hAnsi="Arial"/>
                <w:sz w:val="16"/>
                <w:szCs w:val="16"/>
                <w:color w:val="auto"/>
                <w:w w:val="93"/>
              </w:rPr>
              <w:t>Unaudited Condensed Consolidated Statements of Comprehensive Income / (loss) for the three and nine months ended September 30,</w:t>
            </w:r>
          </w:p>
        </w:tc>
        <w:tc>
          <w:tcPr>
            <w:tcW w:w="500" w:type="dxa"/>
            <w:vAlign w:val="bottom"/>
            <w:tcBorders>
              <w:right w:val="single" w:sz="8" w:color="CCEEFF"/>
            </w:tcBorders>
            <w:gridSpan w:val="2"/>
            <w:vMerge w:val="restart"/>
            <w:shd w:val="clear" w:color="auto" w:fill="CCEEFF"/>
          </w:tcPr>
          <w:p>
            <w:pPr>
              <w:spacing w:after="0"/>
              <w:rPr>
                <w:sz w:val="15"/>
                <w:szCs w:val="15"/>
                <w:color w:val="auto"/>
              </w:rPr>
            </w:pPr>
          </w:p>
        </w:tc>
        <w:tc>
          <w:tcPr>
            <w:tcW w:w="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8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6"/>
                <w:szCs w:val="16"/>
                <w:color w:val="auto"/>
                <w:w w:val="89"/>
              </w:rPr>
              <w:t>2023 and 2022</w:t>
            </w:r>
          </w:p>
        </w:tc>
        <w:tc>
          <w:tcPr>
            <w:tcW w:w="7820" w:type="dxa"/>
            <w:vAlign w:val="bottom"/>
            <w:tcBorders>
              <w:top w:val="single" w:sz="8" w:color="auto"/>
            </w:tcBorders>
            <w:gridSpan w:val="13"/>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right w:val="single" w:sz="8" w:color="CCEEFF"/>
            </w:tcBorders>
            <w:gridSpan w:val="2"/>
            <w:vMerge w:val="continue"/>
            <w:shd w:val="clear" w:color="auto" w:fill="CCEEFF"/>
          </w:tcPr>
          <w:p>
            <w:pPr>
              <w:spacing w:after="0"/>
              <w:rPr>
                <w:sz w:val="13"/>
                <w:szCs w:val="13"/>
                <w:color w:val="auto"/>
              </w:rPr>
            </w:pPr>
          </w:p>
        </w:tc>
        <w:tc>
          <w:tcPr>
            <w:tcW w:w="80" w:type="dxa"/>
            <w:vAlign w:val="bottom"/>
            <w:tcBorders>
              <w:top w:val="single" w:sz="8" w:color="CCEEFF"/>
            </w:tcBorders>
            <w:vMerge w:val="continue"/>
            <w:shd w:val="clear" w:color="auto" w:fill="CCEEFF"/>
          </w:tcPr>
          <w:p>
            <w:pPr>
              <w:spacing w:after="0"/>
              <w:rPr>
                <w:sz w:val="13"/>
                <w:szCs w:val="13"/>
                <w:color w:val="auto"/>
              </w:rPr>
            </w:pP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940" w:type="dxa"/>
            <w:vAlign w:val="bottom"/>
            <w:gridSpan w:val="15"/>
          </w:tcPr>
          <w:p>
            <w:pPr>
              <w:spacing w:after="0" w:line="173" w:lineRule="exact"/>
              <w:rPr>
                <w:sz w:val="20"/>
                <w:szCs w:val="20"/>
                <w:color w:val="auto"/>
              </w:rPr>
            </w:pPr>
            <w:r>
              <w:rPr>
                <w:rFonts w:ascii="Arial" w:cs="Arial" w:eastAsia="Arial" w:hAnsi="Arial"/>
                <w:sz w:val="16"/>
                <w:szCs w:val="16"/>
                <w:color w:val="auto"/>
                <w:w w:val="96"/>
              </w:rPr>
              <w:t>Unaudited Condensed Consolidated Statements of Changes In Redeemable Non-Controlling Interest, Redeemable Preferred Non-</w:t>
            </w:r>
          </w:p>
        </w:tc>
        <w:tc>
          <w:tcPr>
            <w:tcW w:w="580" w:type="dxa"/>
            <w:vAlign w:val="bottom"/>
            <w:gridSpan w:val="3"/>
            <w:vMerge w:val="restart"/>
          </w:tcPr>
          <w:p>
            <w:pPr>
              <w:jc w:val="center"/>
              <w:ind w:left="418"/>
              <w:spacing w:after="0"/>
              <w:rPr>
                <w:sz w:val="20"/>
                <w:szCs w:val="20"/>
                <w:color w:val="auto"/>
              </w:rPr>
            </w:pPr>
            <w:r>
              <w:rPr>
                <w:rFonts w:ascii="Arial" w:cs="Arial" w:eastAsia="Arial" w:hAnsi="Arial"/>
                <w:sz w:val="16"/>
                <w:szCs w:val="16"/>
                <w:color w:val="auto"/>
                <w:w w:val="89"/>
              </w:rPr>
              <w:t>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540" w:type="dxa"/>
            <w:vAlign w:val="bottom"/>
            <w:tcBorders>
              <w:top w:val="single" w:sz="8" w:color="auto"/>
            </w:tcBorders>
            <w:gridSpan w:val="13"/>
          </w:tcPr>
          <w:p>
            <w:pPr>
              <w:spacing w:after="0" w:line="152" w:lineRule="exact"/>
              <w:rPr>
                <w:sz w:val="20"/>
                <w:szCs w:val="20"/>
                <w:color w:val="auto"/>
              </w:rPr>
            </w:pPr>
            <w:r>
              <w:rPr>
                <w:rFonts w:ascii="Arial" w:cs="Arial" w:eastAsia="Arial" w:hAnsi="Arial"/>
                <w:sz w:val="16"/>
                <w:szCs w:val="16"/>
                <w:color w:val="auto"/>
                <w:w w:val="99"/>
              </w:rPr>
              <w:t>Controlling Interest And Stockholders' (Deficit) Equity for the three and nine months ended September 30, 2023 and 2022</w:t>
            </w:r>
          </w:p>
        </w:tc>
        <w:tc>
          <w:tcPr>
            <w:tcW w:w="400" w:type="dxa"/>
            <w:vAlign w:val="bottom"/>
            <w:gridSpan w:val="2"/>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40" w:type="dxa"/>
            <w:vAlign w:val="bottom"/>
            <w:gridSpan w:val="10"/>
            <w:shd w:val="clear" w:color="auto" w:fill="CCEEFF"/>
          </w:tcPr>
          <w:p>
            <w:pPr>
              <w:spacing w:after="0" w:line="181" w:lineRule="exact"/>
              <w:rPr>
                <w:sz w:val="20"/>
                <w:szCs w:val="20"/>
                <w:color w:val="auto"/>
              </w:rPr>
            </w:pPr>
            <w:r>
              <w:rPr>
                <w:rFonts w:ascii="Arial" w:cs="Arial" w:eastAsia="Arial" w:hAnsi="Arial"/>
                <w:sz w:val="16"/>
                <w:szCs w:val="16"/>
                <w:color w:val="auto"/>
                <w:w w:val="93"/>
              </w:rPr>
              <w:t>Unaudited Condensed Consolidated Statements of Cash Flows for the nine months ended September 30, 2023 and 2022</w:t>
            </w:r>
          </w:p>
        </w:tc>
        <w:tc>
          <w:tcPr>
            <w:tcW w:w="900" w:type="dxa"/>
            <w:vAlign w:val="bottom"/>
            <w:gridSpan w:val="5"/>
            <w:shd w:val="clear" w:color="auto" w:fill="CCEEFF"/>
          </w:tcPr>
          <w:p>
            <w:pPr>
              <w:spacing w:after="0"/>
              <w:rPr>
                <w:sz w:val="17"/>
                <w:szCs w:val="17"/>
                <w:color w:val="auto"/>
              </w:rPr>
            </w:pPr>
          </w:p>
        </w:tc>
        <w:tc>
          <w:tcPr>
            <w:tcW w:w="580" w:type="dxa"/>
            <w:vAlign w:val="bottom"/>
            <w:gridSpan w:val="3"/>
            <w:shd w:val="clear" w:color="auto" w:fill="CCEEFF"/>
          </w:tcPr>
          <w:p>
            <w:pPr>
              <w:jc w:val="center"/>
              <w:ind w:left="338"/>
              <w:spacing w:after="0" w:line="181" w:lineRule="exact"/>
              <w:rPr>
                <w:sz w:val="20"/>
                <w:szCs w:val="20"/>
                <w:color w:val="auto"/>
              </w:rPr>
            </w:pPr>
            <w:r>
              <w:rPr>
                <w:rFonts w:ascii="Arial" w:cs="Arial" w:eastAsia="Arial" w:hAnsi="Arial"/>
                <w:sz w:val="16"/>
                <w:szCs w:val="16"/>
                <w:color w:val="auto"/>
                <w:w w:val="89"/>
              </w:rPr>
              <w:t>10</w:t>
            </w:r>
          </w:p>
        </w:tc>
        <w:tc>
          <w:tcPr>
            <w:tcW w:w="18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4420" w:type="dxa"/>
            <w:vAlign w:val="bottom"/>
            <w:tcBorders>
              <w:top w:val="single" w:sz="8" w:color="auto"/>
              <w:bottom w:val="single" w:sz="8" w:color="auto"/>
            </w:tcBorders>
            <w:gridSpan w:val="5"/>
          </w:tcPr>
          <w:p>
            <w:pPr>
              <w:spacing w:after="0" w:line="173" w:lineRule="exact"/>
              <w:rPr>
                <w:sz w:val="20"/>
                <w:szCs w:val="20"/>
                <w:color w:val="auto"/>
              </w:rPr>
            </w:pPr>
            <w:r>
              <w:rPr>
                <w:rFonts w:ascii="Arial" w:cs="Arial" w:eastAsia="Arial" w:hAnsi="Arial"/>
                <w:sz w:val="16"/>
                <w:szCs w:val="16"/>
                <w:color w:val="auto"/>
                <w:w w:val="91"/>
              </w:rPr>
              <w:t>Notes To Unaudited Condensed Consolidated Financial Statements</w:t>
            </w:r>
          </w:p>
        </w:tc>
        <w:tc>
          <w:tcPr>
            <w:tcW w:w="3460" w:type="dxa"/>
            <w:vAlign w:val="bottom"/>
            <w:tcBorders>
              <w:top w:val="single" w:sz="8" w:color="auto"/>
            </w:tcBorders>
            <w:gridSpan w:val="4"/>
          </w:tcPr>
          <w:p>
            <w:pPr>
              <w:spacing w:after="0"/>
              <w:rPr>
                <w:sz w:val="15"/>
                <w:szCs w:val="15"/>
                <w:color w:val="auto"/>
              </w:rPr>
            </w:pPr>
          </w:p>
        </w:tc>
        <w:tc>
          <w:tcPr>
            <w:tcW w:w="1060" w:type="dxa"/>
            <w:vAlign w:val="bottom"/>
            <w:tcBorders>
              <w:top w:val="single" w:sz="8" w:color="CCEEFF"/>
            </w:tcBorders>
            <w:gridSpan w:val="6"/>
          </w:tcPr>
          <w:p>
            <w:pPr>
              <w:spacing w:after="0"/>
              <w:rPr>
                <w:sz w:val="15"/>
                <w:szCs w:val="15"/>
                <w:color w:val="auto"/>
              </w:rPr>
            </w:pPr>
          </w:p>
        </w:tc>
        <w:tc>
          <w:tcPr>
            <w:tcW w:w="50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71"/>
              </w:rPr>
              <w:t>12</w:t>
            </w:r>
          </w:p>
        </w:tc>
        <w:tc>
          <w:tcPr>
            <w:tcW w:w="1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ITEM 2.</w:t>
            </w:r>
          </w:p>
        </w:tc>
        <w:tc>
          <w:tcPr>
            <w:tcW w:w="8940" w:type="dxa"/>
            <w:vAlign w:val="bottom"/>
            <w:gridSpan w:val="15"/>
            <w:shd w:val="clear" w:color="auto" w:fill="CCEEFF"/>
          </w:tcPr>
          <w:p>
            <w:pPr>
              <w:spacing w:after="0" w:line="181"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580" w:type="dxa"/>
            <w:vAlign w:val="bottom"/>
            <w:gridSpan w:val="3"/>
            <w:shd w:val="clear" w:color="auto" w:fill="CCEEFF"/>
          </w:tcPr>
          <w:p>
            <w:pPr>
              <w:jc w:val="center"/>
              <w:ind w:left="338"/>
              <w:spacing w:after="0" w:line="181" w:lineRule="exact"/>
              <w:rPr>
                <w:sz w:val="20"/>
                <w:szCs w:val="20"/>
                <w:color w:val="auto"/>
              </w:rPr>
            </w:pPr>
            <w:r>
              <w:rPr>
                <w:rFonts w:ascii="Arial" w:cs="Arial" w:eastAsia="Arial" w:hAnsi="Arial"/>
                <w:sz w:val="16"/>
                <w:szCs w:val="16"/>
                <w:color w:val="auto"/>
                <w:w w:val="89"/>
              </w:rPr>
              <w:t>53</w:t>
            </w:r>
          </w:p>
        </w:tc>
        <w:tc>
          <w:tcPr>
            <w:tcW w:w="18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96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200" w:type="dxa"/>
            <w:vAlign w:val="bottom"/>
            <w:gridSpan w:val="2"/>
          </w:tcPr>
          <w:p>
            <w:pPr>
              <w:spacing w:after="0" w:line="173" w:lineRule="exact"/>
              <w:rPr>
                <w:sz w:val="20"/>
                <w:szCs w:val="20"/>
                <w:color w:val="auto"/>
              </w:rPr>
            </w:pPr>
            <w:r>
              <w:rPr>
                <w:rFonts w:ascii="Arial" w:cs="Arial" w:eastAsia="Arial" w:hAnsi="Arial"/>
                <w:sz w:val="16"/>
                <w:szCs w:val="16"/>
                <w:color w:val="auto"/>
              </w:rPr>
              <w:t>ITEM 3.</w:t>
            </w:r>
          </w:p>
        </w:tc>
        <w:tc>
          <w:tcPr>
            <w:tcW w:w="8940" w:type="dxa"/>
            <w:vAlign w:val="bottom"/>
            <w:gridSpan w:val="15"/>
          </w:tcPr>
          <w:p>
            <w:pPr>
              <w:spacing w:after="0" w:line="173" w:lineRule="exact"/>
              <w:rPr>
                <w:sz w:val="20"/>
                <w:szCs w:val="20"/>
                <w:color w:val="auto"/>
              </w:rPr>
            </w:pPr>
            <w:r>
              <w:rPr>
                <w:rFonts w:ascii="Arial" w:cs="Arial" w:eastAsia="Arial" w:hAnsi="Arial"/>
                <w:sz w:val="16"/>
                <w:szCs w:val="16"/>
                <w:color w:val="auto"/>
              </w:rPr>
              <w:t>QUANTITATIVE AND QUALITATIVE DISCLOSURES ABOUT MARKET RISK</w:t>
            </w:r>
          </w:p>
        </w:tc>
        <w:tc>
          <w:tcPr>
            <w:tcW w:w="580" w:type="dxa"/>
            <w:vAlign w:val="bottom"/>
            <w:gridSpan w:val="3"/>
          </w:tcPr>
          <w:p>
            <w:pPr>
              <w:jc w:val="center"/>
              <w:ind w:left="338"/>
              <w:spacing w:after="0" w:line="173" w:lineRule="exact"/>
              <w:rPr>
                <w:sz w:val="20"/>
                <w:szCs w:val="20"/>
                <w:color w:val="auto"/>
              </w:rPr>
            </w:pPr>
            <w:r>
              <w:rPr>
                <w:rFonts w:ascii="Arial" w:cs="Arial" w:eastAsia="Arial" w:hAnsi="Arial"/>
                <w:sz w:val="16"/>
                <w:szCs w:val="16"/>
                <w:color w:val="auto"/>
                <w:w w:val="89"/>
              </w:rPr>
              <w:t>66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ITEM 4.</w:t>
            </w:r>
          </w:p>
        </w:tc>
        <w:tc>
          <w:tcPr>
            <w:tcW w:w="8940" w:type="dxa"/>
            <w:vAlign w:val="bottom"/>
            <w:gridSpan w:val="15"/>
            <w:shd w:val="clear" w:color="auto" w:fill="CCEEFF"/>
          </w:tcPr>
          <w:p>
            <w:pPr>
              <w:spacing w:after="0" w:line="181" w:lineRule="exact"/>
              <w:rPr>
                <w:sz w:val="20"/>
                <w:szCs w:val="20"/>
                <w:color w:val="auto"/>
              </w:rPr>
            </w:pPr>
            <w:r>
              <w:rPr>
                <w:rFonts w:ascii="Arial" w:cs="Arial" w:eastAsia="Arial" w:hAnsi="Arial"/>
                <w:sz w:val="16"/>
                <w:szCs w:val="16"/>
                <w:color w:val="auto"/>
              </w:rPr>
              <w:t>CONTROLS AND PROCEDURES</w:t>
            </w:r>
          </w:p>
        </w:tc>
        <w:tc>
          <w:tcPr>
            <w:tcW w:w="580" w:type="dxa"/>
            <w:vAlign w:val="bottom"/>
            <w:gridSpan w:val="3"/>
            <w:shd w:val="clear" w:color="auto" w:fill="CCEEFF"/>
          </w:tcPr>
          <w:p>
            <w:pPr>
              <w:jc w:val="center"/>
              <w:ind w:left="338"/>
              <w:spacing w:after="0" w:line="181" w:lineRule="exact"/>
              <w:rPr>
                <w:sz w:val="20"/>
                <w:szCs w:val="20"/>
                <w:color w:val="auto"/>
              </w:rPr>
            </w:pPr>
            <w:r>
              <w:rPr>
                <w:rFonts w:ascii="Arial" w:cs="Arial" w:eastAsia="Arial" w:hAnsi="Arial"/>
                <w:sz w:val="16"/>
                <w:szCs w:val="16"/>
                <w:color w:val="auto"/>
                <w:w w:val="89"/>
              </w:rPr>
              <w:t>66</w:t>
            </w:r>
          </w:p>
        </w:tc>
        <w:tc>
          <w:tcPr>
            <w:tcW w:w="18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180" w:type="dxa"/>
            <w:vAlign w:val="bottom"/>
            <w:gridSpan w:val="5"/>
            <w:shd w:val="clear" w:color="auto" w:fill="CCEEFF"/>
          </w:tcPr>
          <w:p>
            <w:pPr>
              <w:ind w:left="380"/>
              <w:spacing w:after="0"/>
              <w:rPr>
                <w:sz w:val="20"/>
                <w:szCs w:val="20"/>
                <w:color w:val="auto"/>
              </w:rPr>
            </w:pPr>
            <w:r>
              <w:rPr>
                <w:rFonts w:ascii="Arial" w:cs="Arial" w:eastAsia="Arial" w:hAnsi="Arial"/>
                <w:sz w:val="16"/>
                <w:szCs w:val="16"/>
                <w:b w:val="1"/>
                <w:bCs w:val="1"/>
                <w:color w:val="auto"/>
              </w:rPr>
              <w:t>PART II. OTHER INFORMATION</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gridSpan w:val="4"/>
          </w:tcPr>
          <w:p>
            <w:pPr>
              <w:spacing w:after="0" w:line="173" w:lineRule="exact"/>
              <w:rPr>
                <w:sz w:val="20"/>
                <w:szCs w:val="20"/>
                <w:color w:val="auto"/>
              </w:rPr>
            </w:pPr>
            <w:r>
              <w:rPr>
                <w:rFonts w:ascii="Arial" w:cs="Arial" w:eastAsia="Arial" w:hAnsi="Arial"/>
                <w:sz w:val="16"/>
                <w:szCs w:val="16"/>
                <w:color w:val="auto"/>
              </w:rPr>
              <w:t>ITEM 1.</w:t>
            </w:r>
          </w:p>
        </w:tc>
        <w:tc>
          <w:tcPr>
            <w:tcW w:w="2600" w:type="dxa"/>
            <w:vAlign w:val="bottom"/>
            <w:tcBorders>
              <w:top w:val="single" w:sz="8" w:color="CCEEFF"/>
            </w:tcBorders>
            <w:gridSpan w:val="6"/>
          </w:tcPr>
          <w:p>
            <w:pPr>
              <w:spacing w:after="0" w:line="173" w:lineRule="exact"/>
              <w:rPr>
                <w:sz w:val="20"/>
                <w:szCs w:val="20"/>
                <w:color w:val="auto"/>
              </w:rPr>
            </w:pPr>
            <w:r>
              <w:rPr>
                <w:rFonts w:ascii="Arial" w:cs="Arial" w:eastAsia="Arial" w:hAnsi="Arial"/>
                <w:sz w:val="16"/>
                <w:szCs w:val="16"/>
                <w:color w:val="auto"/>
              </w:rPr>
              <w:t>LEGAL PROCEEDINGS</w:t>
            </w:r>
          </w:p>
        </w:tc>
        <w:tc>
          <w:tcPr>
            <w:tcW w:w="2520" w:type="dxa"/>
            <w:vAlign w:val="bottom"/>
            <w:tcBorders>
              <w:top w:val="single" w:sz="8" w:color="auto"/>
            </w:tcBorders>
            <w:gridSpan w:val="2"/>
          </w:tcPr>
          <w:p>
            <w:pPr>
              <w:spacing w:after="0"/>
              <w:rPr>
                <w:sz w:val="15"/>
                <w:szCs w:val="15"/>
                <w:color w:val="auto"/>
              </w:rPr>
            </w:pPr>
          </w:p>
        </w:tc>
        <w:tc>
          <w:tcPr>
            <w:tcW w:w="4280" w:type="dxa"/>
            <w:vAlign w:val="bottom"/>
            <w:tcBorders>
              <w:top w:val="single" w:sz="8" w:color="CCEEFF"/>
            </w:tcBorders>
            <w:gridSpan w:val="2"/>
          </w:tcPr>
          <w:p>
            <w:pPr>
              <w:spacing w:after="0"/>
              <w:rPr>
                <w:sz w:val="15"/>
                <w:szCs w:val="15"/>
                <w:color w:val="auto"/>
              </w:rPr>
            </w:pPr>
          </w:p>
        </w:tc>
        <w:tc>
          <w:tcPr>
            <w:tcW w:w="160" w:type="dxa"/>
            <w:vAlign w:val="bottom"/>
            <w:tcBorders>
              <w:top w:val="single" w:sz="8" w:color="CCEEFF"/>
            </w:tcBorders>
          </w:tcPr>
          <w:p>
            <w:pPr>
              <w:jc w:val="right"/>
              <w:spacing w:after="0" w:line="173" w:lineRule="exact"/>
              <w:rPr>
                <w:sz w:val="20"/>
                <w:szCs w:val="20"/>
                <w:color w:val="auto"/>
              </w:rPr>
            </w:pPr>
            <w:r>
              <w:rPr>
                <w:rFonts w:ascii="Arial" w:cs="Arial" w:eastAsia="Arial" w:hAnsi="Arial"/>
                <w:sz w:val="16"/>
                <w:szCs w:val="16"/>
                <w:color w:val="auto"/>
                <w:w w:val="78"/>
              </w:rPr>
              <w:t>69</w:t>
            </w:r>
          </w:p>
        </w:tc>
        <w:tc>
          <w:tcPr>
            <w:tcW w:w="4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w w:val="98"/>
              </w:rPr>
              <w:t>ITEM 1A.</w:t>
            </w:r>
          </w:p>
        </w:tc>
        <w:tc>
          <w:tcPr>
            <w:tcW w:w="520" w:type="dxa"/>
            <w:vAlign w:val="bottom"/>
            <w:gridSpan w:val="2"/>
            <w:shd w:val="clear" w:color="auto" w:fill="CCEEFF"/>
          </w:tcPr>
          <w:p>
            <w:pPr>
              <w:spacing w:after="0"/>
              <w:rPr>
                <w:sz w:val="15"/>
                <w:szCs w:val="15"/>
                <w:color w:val="auto"/>
              </w:rPr>
            </w:pPr>
          </w:p>
        </w:tc>
        <w:tc>
          <w:tcPr>
            <w:tcW w:w="9400" w:type="dxa"/>
            <w:vAlign w:val="bottom"/>
            <w:gridSpan w:val="10"/>
            <w:shd w:val="clear" w:color="auto" w:fill="CCEEFF"/>
          </w:tcPr>
          <w:p>
            <w:pPr>
              <w:spacing w:after="0" w:line="181" w:lineRule="exact"/>
              <w:rPr>
                <w:sz w:val="20"/>
                <w:szCs w:val="20"/>
                <w:color w:val="auto"/>
              </w:rPr>
            </w:pPr>
            <w:r>
              <w:rPr>
                <w:rFonts w:ascii="Arial" w:cs="Arial" w:eastAsia="Arial" w:hAnsi="Arial"/>
                <w:sz w:val="16"/>
                <w:szCs w:val="16"/>
                <w:color w:val="auto"/>
              </w:rPr>
              <w:t>RISK FACTORS</w:t>
            </w: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78"/>
              </w:rPr>
              <w:t>69</w:t>
            </w: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33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gridSpan w:val="2"/>
          </w:tcPr>
          <w:p>
            <w:pPr>
              <w:spacing w:after="0" w:line="173" w:lineRule="exact"/>
              <w:rPr>
                <w:sz w:val="20"/>
                <w:szCs w:val="20"/>
                <w:color w:val="auto"/>
              </w:rPr>
            </w:pPr>
            <w:r>
              <w:rPr>
                <w:rFonts w:ascii="Arial" w:cs="Arial" w:eastAsia="Arial" w:hAnsi="Arial"/>
                <w:sz w:val="16"/>
                <w:szCs w:val="16"/>
                <w:color w:val="auto"/>
              </w:rPr>
              <w:t>ITEM 2.</w:t>
            </w:r>
          </w:p>
        </w:tc>
        <w:tc>
          <w:tcPr>
            <w:tcW w:w="520" w:type="dxa"/>
            <w:vAlign w:val="bottom"/>
            <w:gridSpan w:val="2"/>
          </w:tcPr>
          <w:p>
            <w:pPr>
              <w:spacing w:after="0"/>
              <w:rPr>
                <w:sz w:val="15"/>
                <w:szCs w:val="15"/>
                <w:color w:val="auto"/>
              </w:rPr>
            </w:pPr>
          </w:p>
        </w:tc>
        <w:tc>
          <w:tcPr>
            <w:tcW w:w="9400" w:type="dxa"/>
            <w:vAlign w:val="bottom"/>
            <w:gridSpan w:val="10"/>
          </w:tcPr>
          <w:p>
            <w:pPr>
              <w:spacing w:after="0" w:line="173" w:lineRule="exact"/>
              <w:rPr>
                <w:sz w:val="20"/>
                <w:szCs w:val="20"/>
                <w:color w:val="auto"/>
              </w:rPr>
            </w:pPr>
            <w:r>
              <w:rPr>
                <w:rFonts w:ascii="Arial" w:cs="Arial" w:eastAsia="Arial" w:hAnsi="Arial"/>
                <w:sz w:val="16"/>
                <w:szCs w:val="16"/>
                <w:color w:val="auto"/>
              </w:rPr>
              <w:t>UNREGISTERED SALES OF EQUITY SECURITIES AND USE OF PROCEEDS, AND ISSUER PURCHASES OF EQUITY</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78"/>
              </w:rPr>
              <w:t>69</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top w:val="single" w:sz="8" w:color="auto"/>
              <w:bottom w:val="single" w:sz="8" w:color="auto"/>
            </w:tcBorders>
            <w:gridSpan w:val="2"/>
          </w:tcPr>
          <w:p>
            <w:pPr>
              <w:spacing w:after="0" w:line="152" w:lineRule="exact"/>
              <w:rPr>
                <w:sz w:val="20"/>
                <w:szCs w:val="20"/>
                <w:color w:val="auto"/>
              </w:rPr>
            </w:pPr>
            <w:r>
              <w:rPr>
                <w:rFonts w:ascii="Arial" w:cs="Arial" w:eastAsia="Arial" w:hAnsi="Arial"/>
                <w:sz w:val="16"/>
                <w:szCs w:val="16"/>
                <w:color w:val="auto"/>
                <w:w w:val="95"/>
              </w:rPr>
              <w:t>SECURITIES</w:t>
            </w:r>
          </w:p>
        </w:tc>
        <w:tc>
          <w:tcPr>
            <w:tcW w:w="7540" w:type="dxa"/>
            <w:vAlign w:val="bottom"/>
            <w:tcBorders>
              <w:top w:val="single" w:sz="8" w:color="auto"/>
            </w:tcBorders>
            <w:gridSpan w:val="7"/>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ITEM 3.</w:t>
            </w:r>
          </w:p>
        </w:tc>
        <w:tc>
          <w:tcPr>
            <w:tcW w:w="9400" w:type="dxa"/>
            <w:vAlign w:val="bottom"/>
            <w:gridSpan w:val="10"/>
            <w:shd w:val="clear" w:color="auto" w:fill="CCEEFF"/>
          </w:tcPr>
          <w:p>
            <w:pPr>
              <w:spacing w:after="0" w:line="181" w:lineRule="exact"/>
              <w:rPr>
                <w:sz w:val="20"/>
                <w:szCs w:val="20"/>
                <w:color w:val="auto"/>
              </w:rPr>
            </w:pPr>
            <w:r>
              <w:rPr>
                <w:rFonts w:ascii="Arial" w:cs="Arial" w:eastAsia="Arial" w:hAnsi="Arial"/>
                <w:sz w:val="16"/>
                <w:szCs w:val="16"/>
                <w:color w:val="auto"/>
              </w:rPr>
              <w:t>DEFAULTS UPON SENIOR SECURITIES</w:t>
            </w: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78"/>
              </w:rPr>
              <w:t>69</w:t>
            </w: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33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200" w:type="dxa"/>
            <w:vAlign w:val="bottom"/>
            <w:gridSpan w:val="4"/>
          </w:tcPr>
          <w:p>
            <w:pPr>
              <w:spacing w:after="0" w:line="173" w:lineRule="exact"/>
              <w:rPr>
                <w:sz w:val="20"/>
                <w:szCs w:val="20"/>
                <w:color w:val="auto"/>
              </w:rPr>
            </w:pPr>
            <w:r>
              <w:rPr>
                <w:rFonts w:ascii="Arial" w:cs="Arial" w:eastAsia="Arial" w:hAnsi="Arial"/>
                <w:sz w:val="16"/>
                <w:szCs w:val="16"/>
                <w:color w:val="auto"/>
              </w:rPr>
              <w:t>ITEM 4.</w:t>
            </w:r>
          </w:p>
        </w:tc>
        <w:tc>
          <w:tcPr>
            <w:tcW w:w="9400" w:type="dxa"/>
            <w:vAlign w:val="bottom"/>
            <w:gridSpan w:val="10"/>
          </w:tcPr>
          <w:p>
            <w:pPr>
              <w:spacing w:after="0" w:line="173" w:lineRule="exact"/>
              <w:rPr>
                <w:sz w:val="20"/>
                <w:szCs w:val="20"/>
                <w:color w:val="auto"/>
              </w:rPr>
            </w:pPr>
            <w:r>
              <w:rPr>
                <w:rFonts w:ascii="Arial" w:cs="Arial" w:eastAsia="Arial" w:hAnsi="Arial"/>
                <w:sz w:val="16"/>
                <w:szCs w:val="16"/>
                <w:color w:val="auto"/>
              </w:rPr>
              <w:t>MINE SAFETY DISCLOSURES</w:t>
            </w:r>
          </w:p>
        </w:tc>
        <w:tc>
          <w:tcPr>
            <w:tcW w:w="160" w:type="dxa"/>
            <w:vAlign w:val="bottom"/>
          </w:tcPr>
          <w:p>
            <w:pPr>
              <w:jc w:val="right"/>
              <w:spacing w:after="0" w:line="173" w:lineRule="exact"/>
              <w:rPr>
                <w:sz w:val="20"/>
                <w:szCs w:val="20"/>
                <w:color w:val="auto"/>
              </w:rPr>
            </w:pPr>
            <w:r>
              <w:rPr>
                <w:rFonts w:ascii="Arial" w:cs="Arial" w:eastAsia="Arial" w:hAnsi="Arial"/>
                <w:sz w:val="16"/>
                <w:szCs w:val="16"/>
                <w:color w:val="auto"/>
                <w:w w:val="78"/>
              </w:rPr>
              <w:t>69</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ITEM 5.</w:t>
            </w:r>
          </w:p>
        </w:tc>
        <w:tc>
          <w:tcPr>
            <w:tcW w:w="9400" w:type="dxa"/>
            <w:vAlign w:val="bottom"/>
            <w:gridSpan w:val="10"/>
            <w:shd w:val="clear" w:color="auto" w:fill="CCEEFF"/>
          </w:tcPr>
          <w:p>
            <w:pPr>
              <w:spacing w:after="0" w:line="181" w:lineRule="exact"/>
              <w:rPr>
                <w:sz w:val="20"/>
                <w:szCs w:val="20"/>
                <w:color w:val="auto"/>
              </w:rPr>
            </w:pPr>
            <w:r>
              <w:rPr>
                <w:rFonts w:ascii="Arial" w:cs="Arial" w:eastAsia="Arial" w:hAnsi="Arial"/>
                <w:sz w:val="16"/>
                <w:szCs w:val="16"/>
                <w:color w:val="auto"/>
              </w:rPr>
              <w:t>OTHER INFORMATION</w:t>
            </w: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78"/>
              </w:rPr>
              <w:t>70</w:t>
            </w: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33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200" w:type="dxa"/>
            <w:vAlign w:val="bottom"/>
            <w:gridSpan w:val="4"/>
          </w:tcPr>
          <w:p>
            <w:pPr>
              <w:spacing w:after="0" w:line="173" w:lineRule="exact"/>
              <w:rPr>
                <w:sz w:val="20"/>
                <w:szCs w:val="20"/>
                <w:color w:val="auto"/>
              </w:rPr>
            </w:pPr>
            <w:r>
              <w:rPr>
                <w:rFonts w:ascii="Arial" w:cs="Arial" w:eastAsia="Arial" w:hAnsi="Arial"/>
                <w:sz w:val="16"/>
                <w:szCs w:val="16"/>
                <w:color w:val="auto"/>
              </w:rPr>
              <w:t>ITEM 6.</w:t>
            </w:r>
          </w:p>
        </w:tc>
        <w:tc>
          <w:tcPr>
            <w:tcW w:w="9400" w:type="dxa"/>
            <w:vAlign w:val="bottom"/>
            <w:gridSpan w:val="10"/>
          </w:tcPr>
          <w:p>
            <w:pPr>
              <w:spacing w:after="0" w:line="173" w:lineRule="exact"/>
              <w:rPr>
                <w:sz w:val="20"/>
                <w:szCs w:val="20"/>
                <w:color w:val="auto"/>
              </w:rPr>
            </w:pPr>
            <w:r>
              <w:rPr>
                <w:rFonts w:ascii="Arial" w:cs="Arial" w:eastAsia="Arial" w:hAnsi="Arial"/>
                <w:sz w:val="16"/>
                <w:szCs w:val="16"/>
                <w:color w:val="auto"/>
              </w:rPr>
              <w:t>EXHIBITS</w:t>
            </w:r>
          </w:p>
        </w:tc>
        <w:tc>
          <w:tcPr>
            <w:tcW w:w="160" w:type="dxa"/>
            <w:vAlign w:val="bottom"/>
          </w:tcPr>
          <w:p>
            <w:pPr>
              <w:jc w:val="right"/>
              <w:spacing w:after="0" w:line="173" w:lineRule="exact"/>
              <w:rPr>
                <w:sz w:val="20"/>
                <w:szCs w:val="20"/>
                <w:color w:val="auto"/>
              </w:rPr>
            </w:pPr>
            <w:r>
              <w:rPr>
                <w:rFonts w:ascii="Arial" w:cs="Arial" w:eastAsia="Arial" w:hAnsi="Arial"/>
                <w:sz w:val="16"/>
                <w:szCs w:val="16"/>
                <w:color w:val="auto"/>
                <w:w w:val="78"/>
              </w:rPr>
              <w:t>70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SIGNATURES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78"/>
              </w:rPr>
              <w:t>72</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29"/>
        </w:trPr>
        <w:tc>
          <w:tcPr>
            <w:tcW w:w="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220" w:type="dxa"/>
            <w:vAlign w:val="bottom"/>
            <w:tcBorders>
              <w:top w:val="single" w:sz="8" w:color="CCEEFF"/>
              <w:bottom w:val="single" w:sz="8" w:color="9A9A9A"/>
            </w:tcBorders>
          </w:tcPr>
          <w:p>
            <w:pPr>
              <w:spacing w:after="0"/>
              <w:rPr>
                <w:sz w:val="24"/>
                <w:szCs w:val="24"/>
                <w:color w:val="auto"/>
              </w:rPr>
            </w:pPr>
          </w:p>
        </w:tc>
        <w:tc>
          <w:tcPr>
            <w:tcW w:w="3360" w:type="dxa"/>
            <w:vAlign w:val="bottom"/>
            <w:tcBorders>
              <w:top w:val="single" w:sz="8" w:color="CCEEFF"/>
              <w:bottom w:val="single" w:sz="8" w:color="9A9A9A"/>
            </w:tcBorders>
          </w:tcPr>
          <w:p>
            <w:pPr>
              <w:spacing w:after="0"/>
              <w:rPr>
                <w:sz w:val="24"/>
                <w:szCs w:val="24"/>
                <w:color w:val="auto"/>
              </w:rPr>
            </w:pPr>
          </w:p>
        </w:tc>
        <w:tc>
          <w:tcPr>
            <w:tcW w:w="9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OPAL FUELS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U.S. dollars, except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Arial" w:cs="Arial" w:eastAsia="Arial" w:hAnsi="Arial"/>
                <w:sz w:val="15"/>
                <w:szCs w:val="15"/>
                <w:b w:val="1"/>
                <w:bCs w:val="1"/>
                <w:color w:val="auto"/>
                <w:w w:val="98"/>
              </w:rPr>
              <w:t>December 31,</w:t>
            </w:r>
          </w:p>
        </w:tc>
        <w:tc>
          <w:tcPr>
            <w:tcW w:w="0" w:type="dxa"/>
            <w:vAlign w:val="bottom"/>
          </w:tcPr>
          <w:p>
            <w:pPr>
              <w:spacing w:after="0"/>
              <w:rPr>
                <w:sz w:val="1"/>
                <w:szCs w:val="1"/>
                <w:color w:val="auto"/>
              </w:rPr>
            </w:pPr>
          </w:p>
        </w:tc>
      </w:tr>
      <w:tr>
        <w:trPr>
          <w:trHeight w:val="194"/>
        </w:trPr>
        <w:tc>
          <w:tcPr>
            <w:tcW w:w="8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160" w:type="dxa"/>
            <w:vAlign w:val="bottom"/>
          </w:tcPr>
          <w:p>
            <w:pPr>
              <w:ind w:left="140"/>
              <w:spacing w:after="0" w:line="164" w:lineRule="exact"/>
              <w:rPr>
                <w:sz w:val="20"/>
                <w:szCs w:val="20"/>
                <w:color w:val="auto"/>
              </w:rPr>
            </w:pPr>
            <w:r>
              <w:rPr>
                <w:rFonts w:ascii="Arial" w:cs="Arial" w:eastAsia="Arial" w:hAnsi="Arial"/>
                <w:sz w:val="15"/>
                <w:szCs w:val="15"/>
                <w:color w:val="auto"/>
                <w:w w:val="92"/>
              </w:rPr>
              <w:t>Cash and cash equivalents (includes $1,302 and $12,506 at September 30, 2023 and December 31, 2022, respectively, related to</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15,000</w:t>
            </w:r>
          </w:p>
        </w:tc>
        <w:tc>
          <w:tcPr>
            <w:tcW w:w="12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40,394</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8160" w:type="dxa"/>
            <w:vAlign w:val="bottom"/>
            <w:shd w:val="clear" w:color="auto" w:fill="CCEEFF"/>
          </w:tcPr>
          <w:p>
            <w:pPr>
              <w:ind w:left="140"/>
              <w:spacing w:after="0" w:line="164" w:lineRule="exact"/>
              <w:rPr>
                <w:sz w:val="20"/>
                <w:szCs w:val="20"/>
                <w:color w:val="auto"/>
              </w:rPr>
            </w:pPr>
            <w:r>
              <w:rPr>
                <w:rFonts w:ascii="Arial" w:cs="Arial" w:eastAsia="Arial" w:hAnsi="Arial"/>
                <w:sz w:val="15"/>
                <w:szCs w:val="15"/>
                <w:color w:val="auto"/>
                <w:w w:val="89"/>
              </w:rPr>
              <w:t>Accounts receivable, net (includes $79 and $966 at September 30, 2023 and December 31, 2022, respectively, related to consolidated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VIEs)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31,000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31,083</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Accounts receivable, related party</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12,421</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8160" w:type="dxa"/>
            <w:vAlign w:val="bottom"/>
            <w:shd w:val="clear" w:color="auto" w:fill="CCEEFF"/>
          </w:tcPr>
          <w:p>
            <w:pPr>
              <w:ind w:left="140"/>
              <w:spacing w:after="0" w:line="164" w:lineRule="exact"/>
              <w:rPr>
                <w:sz w:val="20"/>
                <w:szCs w:val="20"/>
                <w:color w:val="auto"/>
              </w:rPr>
            </w:pPr>
            <w:r>
              <w:rPr>
                <w:rFonts w:ascii="Arial" w:cs="Arial" w:eastAsia="Arial" w:hAnsi="Arial"/>
                <w:sz w:val="15"/>
                <w:szCs w:val="15"/>
                <w:color w:val="auto"/>
                <w:w w:val="95"/>
              </w:rPr>
              <w:t>Restricted cash - current (includes $1,232 and $6,971 at September 30, 2023 and December 31, 2022, respectively, related to</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1,232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32,402</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Short term investments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18,028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64,976</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Fuel tax credits receivable</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4,386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4,144</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Contract assets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14,404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9,771</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Parts inventory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11,897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7,311</w:t>
            </w:r>
          </w:p>
        </w:tc>
        <w:tc>
          <w:tcPr>
            <w:tcW w:w="0" w:type="dxa"/>
            <w:vAlign w:val="bottom"/>
          </w:tcPr>
          <w:p>
            <w:pPr>
              <w:spacing w:after="0"/>
              <w:rPr>
                <w:sz w:val="1"/>
                <w:szCs w:val="1"/>
                <w:color w:val="auto"/>
              </w:rPr>
            </w:pPr>
          </w:p>
        </w:tc>
      </w:tr>
      <w:tr>
        <w:trPr>
          <w:trHeight w:val="164"/>
        </w:trPr>
        <w:tc>
          <w:tcPr>
            <w:tcW w:w="8160" w:type="dxa"/>
            <w:vAlign w:val="bottom"/>
          </w:tcPr>
          <w:p>
            <w:pPr>
              <w:ind w:left="140"/>
              <w:spacing w:after="0" w:line="164" w:lineRule="exact"/>
              <w:rPr>
                <w:sz w:val="20"/>
                <w:szCs w:val="20"/>
                <w:color w:val="auto"/>
              </w:rPr>
            </w:pPr>
            <w:r>
              <w:rPr>
                <w:rFonts w:ascii="Arial" w:cs="Arial" w:eastAsia="Arial" w:hAnsi="Arial"/>
                <w:sz w:val="15"/>
                <w:szCs w:val="15"/>
                <w:color w:val="auto"/>
                <w:w w:val="93"/>
              </w:rPr>
              <w:t>Environmental credits held for sale (includes $29 and $0 at September 30, 2023 and December 31, 2022, respectively, related to</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4,339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1,674</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8160" w:type="dxa"/>
            <w:vAlign w:val="bottom"/>
            <w:shd w:val="clear" w:color="auto" w:fill="CCEEFF"/>
          </w:tcPr>
          <w:p>
            <w:pPr>
              <w:ind w:left="140"/>
              <w:spacing w:after="0" w:line="164" w:lineRule="exact"/>
              <w:rPr>
                <w:sz w:val="20"/>
                <w:szCs w:val="20"/>
                <w:color w:val="auto"/>
              </w:rPr>
            </w:pPr>
            <w:r>
              <w:rPr>
                <w:rFonts w:ascii="Arial" w:cs="Arial" w:eastAsia="Arial" w:hAnsi="Arial"/>
                <w:sz w:val="15"/>
                <w:szCs w:val="15"/>
                <w:color w:val="auto"/>
                <w:w w:val="87"/>
              </w:rPr>
              <w:t>Prepaid expense and other current assets (includes $193 and $415 at September 30, 2023 and December 31, 2022, respectively, related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 consolidated VIEs)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5,013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7,625</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Derivative financial assets, current portion</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105,785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211,983</w:t>
            </w:r>
          </w:p>
        </w:tc>
        <w:tc>
          <w:tcPr>
            <w:tcW w:w="0" w:type="dxa"/>
            <w:vAlign w:val="bottom"/>
          </w:tcPr>
          <w:p>
            <w:pPr>
              <w:spacing w:after="0"/>
              <w:rPr>
                <w:sz w:val="1"/>
                <w:szCs w:val="1"/>
                <w:color w:val="auto"/>
              </w:rPr>
            </w:pPr>
          </w:p>
        </w:tc>
      </w:tr>
      <w:tr>
        <w:trPr>
          <w:trHeight w:val="184"/>
        </w:trPr>
        <w:tc>
          <w:tcPr>
            <w:tcW w:w="8160" w:type="dxa"/>
            <w:vAlign w:val="bottom"/>
          </w:tcPr>
          <w:p>
            <w:pPr>
              <w:ind w:left="140"/>
              <w:spacing w:after="0"/>
              <w:rPr>
                <w:sz w:val="20"/>
                <w:szCs w:val="20"/>
                <w:color w:val="auto"/>
              </w:rPr>
            </w:pPr>
            <w:r>
              <w:rPr>
                <w:rFonts w:ascii="Arial" w:cs="Arial" w:eastAsia="Arial" w:hAnsi="Arial"/>
                <w:sz w:val="15"/>
                <w:szCs w:val="15"/>
                <w:color w:val="auto"/>
              </w:rPr>
              <w:t>Capital spares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3,079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3,443</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8160" w:type="dxa"/>
            <w:vAlign w:val="bottom"/>
            <w:shd w:val="clear" w:color="auto" w:fill="CCEEFF"/>
          </w:tcPr>
          <w:p>
            <w:pPr>
              <w:ind w:left="140"/>
              <w:spacing w:after="0" w:line="164" w:lineRule="exact"/>
              <w:rPr>
                <w:sz w:val="20"/>
                <w:szCs w:val="20"/>
                <w:color w:val="auto"/>
              </w:rPr>
            </w:pPr>
            <w:r>
              <w:rPr>
                <w:rFonts w:ascii="Arial" w:cs="Arial" w:eastAsia="Arial" w:hAnsi="Arial"/>
                <w:sz w:val="15"/>
                <w:szCs w:val="15"/>
                <w:color w:val="auto"/>
                <w:w w:val="93"/>
              </w:rPr>
              <w:t>Property, plant, and equipment, net (includes $26,684 and $73,140 at September 30, 2023 and December 31, 2022, respectively,</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related to consolidated VIEs)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303,690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297,323</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Operating right-of-use assets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12,368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11,744</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Investment in other entities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199,466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51,765</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Note receivable - variable fee component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1,942</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Derivative financial assets, non-current portion</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954</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Deferred financing costs</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3,013</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long-term assets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1,489</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Intangible assets,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2,167</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8160" w:type="dxa"/>
            <w:vAlign w:val="bottom"/>
            <w:shd w:val="clear" w:color="auto" w:fill="CCEEFF"/>
          </w:tcPr>
          <w:p>
            <w:pPr>
              <w:ind w:left="140"/>
              <w:spacing w:after="0" w:line="164" w:lineRule="exact"/>
              <w:rPr>
                <w:sz w:val="20"/>
                <w:szCs w:val="20"/>
                <w:color w:val="auto"/>
              </w:rPr>
            </w:pPr>
            <w:r>
              <w:rPr>
                <w:rFonts w:ascii="Arial" w:cs="Arial" w:eastAsia="Arial" w:hAnsi="Arial"/>
                <w:sz w:val="15"/>
                <w:szCs w:val="15"/>
                <w:color w:val="auto"/>
                <w:w w:val="92"/>
              </w:rPr>
              <w:t>Restricted cash - non-current (includes $2,843 and $2,923 at September 30, 2023 and December 31, 2022, respectively, related to</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5,356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4,425</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54,608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54,608</w:t>
            </w:r>
          </w:p>
        </w:tc>
        <w:tc>
          <w:tcPr>
            <w:tcW w:w="0" w:type="dxa"/>
            <w:vAlign w:val="bottom"/>
          </w:tcPr>
          <w:p>
            <w:pPr>
              <w:spacing w:after="0"/>
              <w:rPr>
                <w:sz w:val="1"/>
                <w:szCs w:val="1"/>
                <w:color w:val="auto"/>
              </w:rPr>
            </w:pP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690,455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644,856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160" w:type="dxa"/>
            <w:vAlign w:val="bottom"/>
          </w:tcPr>
          <w:p>
            <w:pPr>
              <w:ind w:left="140"/>
              <w:spacing w:after="0" w:line="164" w:lineRule="exact"/>
              <w:rPr>
                <w:sz w:val="20"/>
                <w:szCs w:val="20"/>
                <w:color w:val="auto"/>
              </w:rPr>
            </w:pPr>
            <w:r>
              <w:rPr>
                <w:rFonts w:ascii="Arial" w:cs="Arial" w:eastAsia="Arial" w:hAnsi="Arial"/>
                <w:sz w:val="15"/>
                <w:szCs w:val="15"/>
                <w:color w:val="auto"/>
                <w:w w:val="92"/>
              </w:rPr>
              <w:t>Accounts payable (includes $603 and $4,896 at September 30, 2023 and December 31, 2022, respectively, related to consolidated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300"/>
              <w:spacing w:after="0"/>
              <w:rPr>
                <w:sz w:val="20"/>
                <w:szCs w:val="20"/>
                <w:color w:val="auto"/>
              </w:rPr>
            </w:pPr>
            <w:r>
              <w:rPr>
                <w:rFonts w:ascii="Arial" w:cs="Arial" w:eastAsia="Arial" w:hAnsi="Arial"/>
                <w:sz w:val="15"/>
                <w:szCs w:val="15"/>
                <w:color w:val="auto"/>
              </w:rPr>
              <w:t>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11,309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22,679</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8160" w:type="dxa"/>
            <w:vAlign w:val="bottom"/>
            <w:shd w:val="clear" w:color="auto" w:fill="CCEEFF"/>
          </w:tcPr>
          <w:p>
            <w:pPr>
              <w:ind w:left="140"/>
              <w:spacing w:after="0" w:line="164" w:lineRule="exact"/>
              <w:rPr>
                <w:sz w:val="20"/>
                <w:szCs w:val="20"/>
                <w:color w:val="auto"/>
              </w:rPr>
            </w:pPr>
            <w:r>
              <w:rPr>
                <w:rFonts w:ascii="Arial" w:cs="Arial" w:eastAsia="Arial" w:hAnsi="Arial"/>
                <w:sz w:val="15"/>
                <w:szCs w:val="15"/>
                <w:color w:val="auto"/>
                <w:w w:val="91"/>
              </w:rPr>
              <w:t>Accounts payable, related party (includes $1,035 and $433 at September 30, 2023 and December 31, 2022, respectively, related to</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consolidated VIEs)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1,346</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Fuel tax credits payable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3,720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3,320</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payroll</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8,313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8,979</w:t>
            </w:r>
          </w:p>
        </w:tc>
        <w:tc>
          <w:tcPr>
            <w:tcW w:w="0" w:type="dxa"/>
            <w:vAlign w:val="bottom"/>
          </w:tcPr>
          <w:p>
            <w:pPr>
              <w:spacing w:after="0"/>
              <w:rPr>
                <w:sz w:val="1"/>
                <w:szCs w:val="1"/>
                <w:color w:val="auto"/>
              </w:rPr>
            </w:pPr>
          </w:p>
        </w:tc>
      </w:tr>
      <w:tr>
        <w:trPr>
          <w:trHeight w:val="164"/>
        </w:trPr>
        <w:tc>
          <w:tcPr>
            <w:tcW w:w="8160" w:type="dxa"/>
            <w:vAlign w:val="bottom"/>
          </w:tcPr>
          <w:p>
            <w:pPr>
              <w:ind w:left="140"/>
              <w:spacing w:after="0" w:line="164" w:lineRule="exact"/>
              <w:rPr>
                <w:sz w:val="20"/>
                <w:szCs w:val="20"/>
                <w:color w:val="auto"/>
              </w:rPr>
            </w:pPr>
            <w:r>
              <w:rPr>
                <w:rFonts w:ascii="Arial" w:cs="Arial" w:eastAsia="Arial" w:hAnsi="Arial"/>
                <w:sz w:val="15"/>
                <w:szCs w:val="15"/>
                <w:color w:val="auto"/>
                <w:w w:val="88"/>
              </w:rPr>
              <w:t>Accrued capital expenses (includes $0 and $7,821 at September 30, 2023 and December 31, 2022, respectively, related to consolidated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300"/>
              <w:spacing w:after="0"/>
              <w:rPr>
                <w:sz w:val="20"/>
                <w:szCs w:val="20"/>
                <w:color w:val="auto"/>
              </w:rPr>
            </w:pPr>
            <w:r>
              <w:rPr>
                <w:rFonts w:ascii="Arial" w:cs="Arial" w:eastAsia="Arial" w:hAnsi="Arial"/>
                <w:sz w:val="15"/>
                <w:szCs w:val="15"/>
                <w:color w:val="auto"/>
              </w:rPr>
              <w:t>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7,355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11,922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7"/>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0"/>
              </w:rPr>
              <w:t>Accrued expenses and other current liabilities (includes $602 and $646 at September 30, 2023 and December 31, 2022, respectively,</w:t>
            </w:r>
          </w:p>
        </w:tc>
        <w:tc>
          <w:tcPr>
            <w:tcW w:w="4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13,779</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9,573</w:t>
            </w:r>
          </w:p>
        </w:tc>
        <w:tc>
          <w:tcPr>
            <w:tcW w:w="0" w:type="dxa"/>
            <w:vAlign w:val="bottom"/>
          </w:tcPr>
          <w:p>
            <w:pPr>
              <w:spacing w:after="0"/>
              <w:rPr>
                <w:sz w:val="1"/>
                <w:szCs w:val="1"/>
                <w:color w:val="auto"/>
              </w:rPr>
            </w:pPr>
          </w:p>
        </w:tc>
      </w:tr>
      <w:tr>
        <w:trPr>
          <w:trHeight w:val="205"/>
        </w:trPr>
        <w:tc>
          <w:tcPr>
            <w:tcW w:w="81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related to consolidated VIEs)</w:t>
            </w:r>
          </w:p>
        </w:tc>
        <w:tc>
          <w:tcPr>
            <w:tcW w:w="4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Contract liabilities</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7,429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8,013</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Senior Secured Credit Facility - term loan, current portion, net of debt issuance costs</w:t>
            </w:r>
          </w:p>
        </w:tc>
        <w:tc>
          <w:tcPr>
            <w:tcW w:w="4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15,250</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Senior Secured Credit Facility - working capital facility, current portion</w:t>
            </w:r>
          </w:p>
        </w:tc>
        <w:tc>
          <w:tcPr>
            <w:tcW w:w="4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7,500</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OPAL Term Loan, current portion</w:t>
            </w:r>
          </w:p>
        </w:tc>
        <w:tc>
          <w:tcPr>
            <w:tcW w:w="4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27,732</w:t>
            </w:r>
          </w:p>
        </w:tc>
        <w:tc>
          <w:tcPr>
            <w:tcW w:w="0" w:type="dxa"/>
            <w:vAlign w:val="bottom"/>
          </w:tcPr>
          <w:p>
            <w:pPr>
              <w:spacing w:after="0"/>
              <w:rPr>
                <w:sz w:val="1"/>
                <w:szCs w:val="1"/>
                <w:color w:val="auto"/>
              </w:rPr>
            </w:pPr>
          </w:p>
        </w:tc>
      </w:tr>
      <w:tr>
        <w:trPr>
          <w:trHeight w:val="177"/>
        </w:trPr>
        <w:tc>
          <w:tcPr>
            <w:tcW w:w="8160" w:type="dxa"/>
            <w:vAlign w:val="bottom"/>
          </w:tcPr>
          <w:p>
            <w:pPr>
              <w:ind w:left="140"/>
              <w:spacing w:after="0"/>
              <w:rPr>
                <w:sz w:val="20"/>
                <w:szCs w:val="20"/>
                <w:color w:val="auto"/>
              </w:rPr>
            </w:pPr>
            <w:r>
              <w:rPr>
                <w:rFonts w:ascii="Arial" w:cs="Arial" w:eastAsia="Arial" w:hAnsi="Arial"/>
                <w:sz w:val="15"/>
                <w:szCs w:val="15"/>
                <w:color w:val="auto"/>
                <w:w w:val="93"/>
              </w:rPr>
              <w:t>Sunoma Loan, current portion (includes $1,739 and $380 at September 30, 2023 and December 31, 2022, respectively, related to</w:t>
            </w: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1,739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197"/>
        </w:trPr>
        <w:tc>
          <w:tcPr>
            <w:tcW w:w="8160" w:type="dxa"/>
            <w:vAlign w:val="bottom"/>
          </w:tcPr>
          <w:p>
            <w:pPr>
              <w:ind w:left="300"/>
              <w:spacing w:after="0"/>
              <w:rPr>
                <w:sz w:val="20"/>
                <w:szCs w:val="20"/>
                <w:color w:val="auto"/>
              </w:rPr>
            </w:pPr>
            <w:r>
              <w:rPr>
                <w:rFonts w:ascii="Arial" w:cs="Arial" w:eastAsia="Arial" w:hAnsi="Arial"/>
                <w:sz w:val="15"/>
                <w:szCs w:val="15"/>
                <w:color w:val="auto"/>
              </w:rPr>
              <w:t>consolidated VIEs)</w:t>
            </w: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Convertible Note Payable</w:t>
            </w:r>
          </w:p>
        </w:tc>
        <w:tc>
          <w:tcPr>
            <w:tcW w:w="4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28,528</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Municipality Loan</w:t>
            </w:r>
          </w:p>
        </w:tc>
        <w:tc>
          <w:tcPr>
            <w:tcW w:w="4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Derivative financial liability, current portion</w:t>
            </w:r>
          </w:p>
        </w:tc>
        <w:tc>
          <w:tcPr>
            <w:tcW w:w="4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4,596</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Operating lease liabilities - current portion</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630</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current liabilities</w:t>
            </w:r>
          </w:p>
        </w:tc>
        <w:tc>
          <w:tcPr>
            <w:tcW w:w="4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1,085</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Asset retirement obligation, current portion</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1,296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1,296</w:t>
            </w:r>
          </w:p>
        </w:tc>
        <w:tc>
          <w:tcPr>
            <w:tcW w:w="0" w:type="dxa"/>
            <w:vAlign w:val="bottom"/>
          </w:tcPr>
          <w:p>
            <w:pPr>
              <w:spacing w:after="0"/>
              <w:rPr>
                <w:sz w:val="1"/>
                <w:szCs w:val="1"/>
                <w:color w:val="auto"/>
              </w:rPr>
            </w:pPr>
          </w:p>
        </w:tc>
      </w:tr>
      <w:tr>
        <w:trPr>
          <w:trHeight w:val="30"/>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current liabilities</w:t>
            </w: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56,930</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152,905</w:t>
            </w:r>
          </w:p>
        </w:tc>
        <w:tc>
          <w:tcPr>
            <w:tcW w:w="0" w:type="dxa"/>
            <w:vAlign w:val="bottom"/>
          </w:tcPr>
          <w:p>
            <w:pPr>
              <w:spacing w:after="0"/>
              <w:rPr>
                <w:sz w:val="1"/>
                <w:szCs w:val="1"/>
                <w:color w:val="auto"/>
              </w:rPr>
            </w:pPr>
          </w:p>
        </w:tc>
      </w:tr>
      <w:tr>
        <w:trPr>
          <w:trHeight w:val="184"/>
        </w:trPr>
        <w:tc>
          <w:tcPr>
            <w:tcW w:w="8160" w:type="dxa"/>
            <w:vAlign w:val="bottom"/>
          </w:tcPr>
          <w:p>
            <w:pPr>
              <w:ind w:left="140"/>
              <w:spacing w:after="0"/>
              <w:rPr>
                <w:sz w:val="20"/>
                <w:szCs w:val="20"/>
                <w:color w:val="auto"/>
              </w:rPr>
            </w:pPr>
            <w:r>
              <w:rPr>
                <w:rFonts w:ascii="Arial" w:cs="Arial" w:eastAsia="Arial" w:hAnsi="Arial"/>
                <w:sz w:val="15"/>
                <w:szCs w:val="15"/>
                <w:color w:val="auto"/>
              </w:rPr>
              <w:t>Asset retirement obligation, non-current portion</w:t>
            </w: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5,267</w:t>
            </w: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4,960</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OPAL Term Loan, net of debt issuance costs</w:t>
            </w: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153,626</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66,600</w:t>
            </w:r>
          </w:p>
        </w:tc>
        <w:tc>
          <w:tcPr>
            <w:tcW w:w="0" w:type="dxa"/>
            <w:vAlign w:val="bottom"/>
          </w:tcPr>
          <w:p>
            <w:pPr>
              <w:spacing w:after="0"/>
              <w:rPr>
                <w:sz w:val="1"/>
                <w:szCs w:val="1"/>
                <w:color w:val="auto"/>
              </w:rPr>
            </w:pPr>
          </w:p>
        </w:tc>
      </w:tr>
      <w:tr>
        <w:trPr>
          <w:trHeight w:val="177"/>
        </w:trPr>
        <w:tc>
          <w:tcPr>
            <w:tcW w:w="8160" w:type="dxa"/>
            <w:vAlign w:val="bottom"/>
          </w:tcPr>
          <w:p>
            <w:pPr>
              <w:ind w:left="140"/>
              <w:spacing w:after="0"/>
              <w:rPr>
                <w:sz w:val="20"/>
                <w:szCs w:val="20"/>
                <w:color w:val="auto"/>
              </w:rPr>
            </w:pPr>
            <w:r>
              <w:rPr>
                <w:rFonts w:ascii="Arial" w:cs="Arial" w:eastAsia="Arial" w:hAnsi="Arial"/>
                <w:sz w:val="15"/>
                <w:szCs w:val="15"/>
                <w:color w:val="auto"/>
                <w:w w:val="88"/>
              </w:rPr>
              <w:t>Sunoma Loan, net of debt issuance costs (includes $20,402 and $21,712 at September 30, 2023 and December 31, 2022, respectively,</w:t>
            </w: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20,402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21,712</w:t>
            </w:r>
          </w:p>
        </w:tc>
        <w:tc>
          <w:tcPr>
            <w:tcW w:w="0" w:type="dxa"/>
            <w:vAlign w:val="bottom"/>
          </w:tcPr>
          <w:p>
            <w:pPr>
              <w:spacing w:after="0"/>
              <w:rPr>
                <w:sz w:val="1"/>
                <w:szCs w:val="1"/>
                <w:color w:val="auto"/>
              </w:rPr>
            </w:pPr>
          </w:p>
        </w:tc>
      </w:tr>
      <w:tr>
        <w:trPr>
          <w:trHeight w:val="197"/>
        </w:trPr>
        <w:tc>
          <w:tcPr>
            <w:tcW w:w="8160" w:type="dxa"/>
            <w:vAlign w:val="bottom"/>
          </w:tcPr>
          <w:p>
            <w:pPr>
              <w:ind w:left="300"/>
              <w:spacing w:after="0"/>
              <w:rPr>
                <w:sz w:val="20"/>
                <w:szCs w:val="20"/>
                <w:color w:val="auto"/>
              </w:rPr>
            </w:pPr>
            <w:r>
              <w:rPr>
                <w:rFonts w:ascii="Arial" w:cs="Arial" w:eastAsia="Arial" w:hAnsi="Arial"/>
                <w:sz w:val="15"/>
                <w:szCs w:val="15"/>
                <w:color w:val="auto"/>
              </w:rPr>
              <w:t>related to consolidated VIEs)</w:t>
            </w: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Operating lease liabilities - non-current portion</w:t>
            </w: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11,899</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11,245</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Earn out liabilities</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4,291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8,790</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long-term liabilities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0" w:type="dxa"/>
            <w:vAlign w:val="bottom"/>
          </w:tcPr>
          <w:p>
            <w:pPr>
              <w:spacing w:after="0"/>
              <w:rPr>
                <w:sz w:val="1"/>
                <w:szCs w:val="1"/>
                <w:color w:val="auto"/>
              </w:rPr>
            </w:pPr>
          </w:p>
        </w:tc>
      </w:tr>
      <w:tr>
        <w:trPr>
          <w:trHeight w:val="184"/>
        </w:trPr>
        <w:tc>
          <w:tcPr>
            <w:tcW w:w="8160" w:type="dxa"/>
            <w:vAlign w:val="bottom"/>
          </w:tcPr>
          <w:p>
            <w:pPr>
              <w:ind w:left="300"/>
              <w:spacing w:after="0"/>
              <w:rPr>
                <w:sz w:val="20"/>
                <w:szCs w:val="20"/>
                <w:color w:val="auto"/>
              </w:rPr>
            </w:pPr>
            <w:r>
              <w:rPr>
                <w:rFonts w:ascii="Arial" w:cs="Arial" w:eastAsia="Arial" w:hAnsi="Arial"/>
                <w:sz w:val="15"/>
                <w:szCs w:val="15"/>
                <w:color w:val="auto"/>
              </w:rPr>
              <w:t>Total liabilities</w:t>
            </w: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253,578</w:t>
            </w: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267,037</w:t>
            </w:r>
          </w:p>
        </w:tc>
        <w:tc>
          <w:tcPr>
            <w:tcW w:w="0" w:type="dxa"/>
            <w:vAlign w:val="bottom"/>
          </w:tcPr>
          <w:p>
            <w:pPr>
              <w:spacing w:after="0"/>
              <w:rPr>
                <w:sz w:val="1"/>
                <w:szCs w:val="1"/>
                <w:color w:val="auto"/>
              </w:rPr>
            </w:pPr>
          </w:p>
        </w:tc>
      </w:tr>
      <w:tr>
        <w:trPr>
          <w:trHeight w:val="30"/>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160" w:type="dxa"/>
            <w:vAlign w:val="bottom"/>
          </w:tcPr>
          <w:p>
            <w:pPr>
              <w:ind w:left="20"/>
              <w:spacing w:after="0"/>
              <w:rPr>
                <w:sz w:val="20"/>
                <w:szCs w:val="20"/>
                <w:color w:val="auto"/>
              </w:rPr>
            </w:pPr>
            <w:r>
              <w:rPr>
                <w:rFonts w:ascii="Arial" w:cs="Arial" w:eastAsia="Arial" w:hAnsi="Arial"/>
                <w:sz w:val="15"/>
                <w:szCs w:val="15"/>
                <w:color w:val="auto"/>
              </w:rPr>
              <w:t>Redeemable preferred non-controlling interests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130,000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138,142</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Redeemable non-controlling interests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1,158,937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1,013,833</w:t>
            </w:r>
          </w:p>
        </w:tc>
        <w:tc>
          <w:tcPr>
            <w:tcW w:w="0" w:type="dxa"/>
            <w:vAlign w:val="bottom"/>
          </w:tcPr>
          <w:p>
            <w:pPr>
              <w:spacing w:after="0"/>
              <w:rPr>
                <w:sz w:val="1"/>
                <w:szCs w:val="1"/>
                <w:color w:val="auto"/>
              </w:rPr>
            </w:pP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Stockholders' deficit</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2"/>
              </w:rPr>
              <w:t>Class A common stock, $0.0001 par value, 340,000,000 shares authorized as of September 30, 2023; 29,332,333 and 29,477,766</w:t>
            </w:r>
          </w:p>
        </w:tc>
        <w:tc>
          <w:tcPr>
            <w:tcW w:w="4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5"/>
        </w:trPr>
        <w:tc>
          <w:tcPr>
            <w:tcW w:w="81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shares, issued and outstanding at September 30, 2023 and December 31, 2022, respectively</w:t>
            </w:r>
          </w:p>
        </w:tc>
        <w:tc>
          <w:tcPr>
            <w:tcW w:w="4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160" w:type="dxa"/>
            <w:vAlign w:val="bottom"/>
          </w:tcPr>
          <w:p>
            <w:pPr>
              <w:ind w:left="140"/>
              <w:spacing w:after="0"/>
              <w:rPr>
                <w:sz w:val="20"/>
                <w:szCs w:val="20"/>
                <w:color w:val="auto"/>
              </w:rPr>
            </w:pPr>
            <w:r>
              <w:rPr>
                <w:rFonts w:ascii="Arial" w:cs="Arial" w:eastAsia="Arial" w:hAnsi="Arial"/>
                <w:sz w:val="15"/>
                <w:szCs w:val="15"/>
                <w:color w:val="auto"/>
                <w:w w:val="89"/>
              </w:rPr>
              <w:t>Class B common stock, $0.0001 par value, 160,000,000 shares authorized as of September 30, 2023; None issued and outstanding as</w:t>
            </w:r>
          </w:p>
        </w:tc>
        <w:tc>
          <w:tcPr>
            <w:tcW w:w="4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8160" w:type="dxa"/>
            <w:vAlign w:val="bottom"/>
          </w:tcPr>
          <w:p>
            <w:pPr>
              <w:ind w:left="300"/>
              <w:spacing w:after="0"/>
              <w:rPr>
                <w:sz w:val="20"/>
                <w:szCs w:val="20"/>
                <w:color w:val="auto"/>
              </w:rPr>
            </w:pPr>
            <w:r>
              <w:rPr>
                <w:rFonts w:ascii="Arial" w:cs="Arial" w:eastAsia="Arial" w:hAnsi="Arial"/>
                <w:sz w:val="15"/>
                <w:szCs w:val="15"/>
                <w:color w:val="auto"/>
              </w:rPr>
              <w:t>of September 30, 2023 and December 31, 2022</w:t>
            </w:r>
          </w:p>
        </w:tc>
        <w:tc>
          <w:tcPr>
            <w:tcW w:w="4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89"/>
              </w:rPr>
              <w:t>Class C common stock, $0.0001 par value, 160,000,000 shares authorized as of September 30, 2023; None issued and outstanding as</w:t>
            </w:r>
          </w:p>
        </w:tc>
        <w:tc>
          <w:tcPr>
            <w:tcW w:w="46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1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of September 30, 2023 and December 31, 2022</w:t>
            </w:r>
          </w:p>
        </w:tc>
        <w:tc>
          <w:tcPr>
            <w:tcW w:w="46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160" w:type="dxa"/>
            <w:vAlign w:val="bottom"/>
          </w:tcPr>
          <w:p>
            <w:pPr>
              <w:ind w:left="140"/>
              <w:spacing w:after="0"/>
              <w:rPr>
                <w:sz w:val="20"/>
                <w:szCs w:val="20"/>
                <w:color w:val="auto"/>
              </w:rPr>
            </w:pPr>
            <w:r>
              <w:rPr>
                <w:rFonts w:ascii="Arial" w:cs="Arial" w:eastAsia="Arial" w:hAnsi="Arial"/>
                <w:sz w:val="15"/>
                <w:szCs w:val="15"/>
                <w:color w:val="auto"/>
                <w:w w:val="90"/>
              </w:rPr>
              <w:t>Class D common stock, $0.0001 par value, 160,000,000 shares authorized as of September 30, 2023; 144,399,037 and 144,399,037</w:t>
            </w: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7"/>
        </w:trPr>
        <w:tc>
          <w:tcPr>
            <w:tcW w:w="8160" w:type="dxa"/>
            <w:vAlign w:val="bottom"/>
          </w:tcPr>
          <w:p>
            <w:pPr>
              <w:ind w:left="300"/>
              <w:spacing w:after="0"/>
              <w:rPr>
                <w:sz w:val="20"/>
                <w:szCs w:val="20"/>
                <w:color w:val="auto"/>
              </w:rPr>
            </w:pPr>
            <w:r>
              <w:rPr>
                <w:rFonts w:ascii="Arial" w:cs="Arial" w:eastAsia="Arial" w:hAnsi="Arial"/>
                <w:sz w:val="15"/>
                <w:szCs w:val="15"/>
                <w:color w:val="auto"/>
              </w:rPr>
              <w:t>shares issued and outstanding at September 30, 2023 and December 31, 2022</w:t>
            </w: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Additional paid-in capital</w:t>
            </w:r>
          </w:p>
        </w:tc>
        <w:tc>
          <w:tcPr>
            <w:tcW w:w="4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Accumulated deficit</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(841,417)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(800,813)</w:t>
            </w: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Accumulated other comprehensive income</w:t>
            </w: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w w:val="93"/>
              </w:rPr>
              <w:t>Class A common stock in treasury, at cost; 1,635,783 and 0 shares at September 30, 2023 and December 31, 2022, respectively</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(11,614)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Stockholders' deficit attributable to the Company</w:t>
            </w: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(852,944)</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(800,601)</w:t>
            </w:r>
          </w:p>
        </w:tc>
        <w:tc>
          <w:tcPr>
            <w:tcW w:w="0" w:type="dxa"/>
            <w:vAlign w:val="bottom"/>
          </w:tcPr>
          <w:p>
            <w:pPr>
              <w:spacing w:after="0"/>
              <w:rPr>
                <w:sz w:val="1"/>
                <w:szCs w:val="1"/>
                <w:color w:val="auto"/>
              </w:rPr>
            </w:pPr>
          </w:p>
        </w:tc>
      </w:tr>
      <w:tr>
        <w:trPr>
          <w:trHeight w:val="184"/>
        </w:trPr>
        <w:tc>
          <w:tcPr>
            <w:tcW w:w="8160" w:type="dxa"/>
            <w:vAlign w:val="bottom"/>
          </w:tcPr>
          <w:p>
            <w:pPr>
              <w:ind w:left="140"/>
              <w:spacing w:after="0"/>
              <w:rPr>
                <w:sz w:val="20"/>
                <w:szCs w:val="20"/>
                <w:color w:val="auto"/>
              </w:rPr>
            </w:pPr>
            <w:r>
              <w:rPr>
                <w:rFonts w:ascii="Arial" w:cs="Arial" w:eastAsia="Arial" w:hAnsi="Arial"/>
                <w:sz w:val="15"/>
                <w:szCs w:val="15"/>
                <w:color w:val="auto"/>
              </w:rPr>
              <w:t>Non-redeemable non-controlling interests</w:t>
            </w: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884</w:t>
            </w: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26,445</w:t>
            </w:r>
          </w:p>
        </w:tc>
        <w:tc>
          <w:tcPr>
            <w:tcW w:w="0" w:type="dxa"/>
            <w:vAlign w:val="bottom"/>
          </w:tcPr>
          <w:p>
            <w:pPr>
              <w:spacing w:after="0"/>
              <w:rPr>
                <w:sz w:val="1"/>
                <w:szCs w:val="1"/>
                <w:color w:val="auto"/>
              </w:rPr>
            </w:pPr>
          </w:p>
        </w:tc>
      </w:tr>
      <w:tr>
        <w:trPr>
          <w:trHeight w:val="30"/>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Stockholders' deficit</w:t>
            </w: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(852,060)</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(774,156)</w:t>
            </w:r>
          </w:p>
        </w:tc>
        <w:tc>
          <w:tcPr>
            <w:tcW w:w="0" w:type="dxa"/>
            <w:vAlign w:val="bottom"/>
          </w:tcPr>
          <w:p>
            <w:pPr>
              <w:spacing w:after="0"/>
              <w:rPr>
                <w:sz w:val="1"/>
                <w:szCs w:val="1"/>
                <w:color w:val="auto"/>
              </w:rPr>
            </w:pPr>
          </w:p>
        </w:tc>
      </w:tr>
      <w:tr>
        <w:trPr>
          <w:trHeight w:val="211"/>
        </w:trPr>
        <w:tc>
          <w:tcPr>
            <w:tcW w:w="8160" w:type="dxa"/>
            <w:vAlign w:val="bottom"/>
          </w:tcPr>
          <w:p>
            <w:pPr>
              <w:ind w:left="300"/>
              <w:spacing w:after="0"/>
              <w:rPr>
                <w:sz w:val="20"/>
                <w:szCs w:val="20"/>
                <w:color w:val="auto"/>
              </w:rPr>
            </w:pPr>
            <w:r>
              <w:rPr>
                <w:rFonts w:ascii="Arial" w:cs="Arial" w:eastAsia="Arial" w:hAnsi="Arial"/>
                <w:sz w:val="15"/>
                <w:szCs w:val="15"/>
                <w:color w:val="auto"/>
                <w:w w:val="93"/>
              </w:rPr>
              <w:t>Total liabilities, Redeemable preferred non-controlling interests, Redeemable non-controlling interests and Stockholders' deficit</w:t>
            </w:r>
          </w:p>
        </w:tc>
        <w:tc>
          <w:tcPr>
            <w:tcW w:w="46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690,455</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644,856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OPAL FUELS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U.S. dollars, except per unit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right"/>
              <w:ind w:right="526"/>
              <w:spacing w:after="0"/>
              <w:rPr>
                <w:sz w:val="20"/>
                <w:szCs w:val="20"/>
                <w:color w:val="auto"/>
              </w:rPr>
            </w:pPr>
            <w:r>
              <w:rPr>
                <w:rFonts w:ascii="Arial" w:cs="Arial" w:eastAsia="Arial" w:hAnsi="Arial"/>
                <w:sz w:val="15"/>
                <w:szCs w:val="15"/>
                <w:b w:val="1"/>
                <w:bCs w:val="1"/>
                <w:color w:val="auto"/>
              </w:rPr>
              <w:t>Nine Months Ended</w:t>
            </w:r>
          </w:p>
        </w:tc>
      </w:tr>
      <w:tr>
        <w:trPr>
          <w:trHeight w:val="207"/>
        </w:trPr>
        <w:tc>
          <w:tcPr>
            <w:tcW w:w="6280" w:type="dxa"/>
            <w:vAlign w:val="bottom"/>
          </w:tcPr>
          <w:p>
            <w:pPr>
              <w:spacing w:after="0"/>
              <w:rPr>
                <w:sz w:val="17"/>
                <w:szCs w:val="17"/>
                <w:color w:val="auto"/>
              </w:rPr>
            </w:pPr>
          </w:p>
        </w:tc>
        <w:tc>
          <w:tcPr>
            <w:tcW w:w="2500" w:type="dxa"/>
            <w:vAlign w:val="bottom"/>
            <w:gridSpan w:val="6"/>
          </w:tcPr>
          <w:p>
            <w:pPr>
              <w:ind w:left="60"/>
              <w:spacing w:after="0"/>
              <w:rPr>
                <w:sz w:val="20"/>
                <w:szCs w:val="20"/>
                <w:color w:val="auto"/>
              </w:rPr>
            </w:pPr>
            <w:r>
              <w:rPr>
                <w:rFonts w:ascii="Arial" w:cs="Arial" w:eastAsia="Arial" w:hAnsi="Arial"/>
                <w:sz w:val="15"/>
                <w:szCs w:val="15"/>
                <w:b w:val="1"/>
                <w:bCs w:val="1"/>
                <w:color w:val="auto"/>
                <w:w w:val="94"/>
              </w:rPr>
              <w:t>Three Months Ended September 30,</w:t>
            </w:r>
          </w:p>
        </w:tc>
        <w:tc>
          <w:tcPr>
            <w:tcW w:w="2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60" w:type="dxa"/>
            <w:vAlign w:val="bottom"/>
          </w:tcPr>
          <w:p>
            <w:pPr>
              <w:spacing w:after="0"/>
              <w:rPr>
                <w:sz w:val="17"/>
                <w:szCs w:val="17"/>
                <w:color w:val="auto"/>
              </w:rPr>
            </w:pPr>
          </w:p>
        </w:tc>
      </w:tr>
      <w:tr>
        <w:trPr>
          <w:trHeight w:val="187"/>
        </w:trPr>
        <w:tc>
          <w:tcPr>
            <w:tcW w:w="6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386"/>
              <w:spacing w:after="0"/>
              <w:rPr>
                <w:sz w:val="20"/>
                <w:szCs w:val="20"/>
                <w:color w:val="auto"/>
              </w:rPr>
            </w:pPr>
            <w:r>
              <w:rPr>
                <w:rFonts w:ascii="Arial" w:cs="Arial" w:eastAsia="Arial" w:hAnsi="Arial"/>
                <w:sz w:val="15"/>
                <w:szCs w:val="15"/>
                <w:b w:val="1"/>
                <w:bCs w:val="1"/>
                <w:color w:val="auto"/>
                <w:w w:val="83"/>
              </w:rPr>
              <w:t>2022</w:t>
            </w:r>
          </w:p>
        </w:tc>
      </w:tr>
      <w:tr>
        <w:trPr>
          <w:trHeight w:val="30"/>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77"/>
        </w:trPr>
        <w:tc>
          <w:tcPr>
            <w:tcW w:w="6280" w:type="dxa"/>
            <w:vAlign w:val="bottom"/>
          </w:tcPr>
          <w:p>
            <w:pPr>
              <w:ind w:left="140"/>
              <w:spacing w:after="0"/>
              <w:rPr>
                <w:sz w:val="20"/>
                <w:szCs w:val="20"/>
                <w:color w:val="auto"/>
              </w:rPr>
            </w:pPr>
            <w:r>
              <w:rPr>
                <w:rFonts w:ascii="Arial" w:cs="Arial" w:eastAsia="Arial" w:hAnsi="Arial"/>
                <w:sz w:val="15"/>
                <w:szCs w:val="15"/>
                <w:color w:val="auto"/>
                <w:w w:val="92"/>
              </w:rPr>
              <w:t>RNG fuel (includes revenues from related party of $18,782 and $15,481 for the three months ended</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20,088</w:t>
            </w:r>
          </w:p>
        </w:tc>
        <w:tc>
          <w:tcPr>
            <w:tcW w:w="80" w:type="dxa"/>
            <w:vAlign w:val="bottom"/>
          </w:tcPr>
          <w:p>
            <w:pPr>
              <w:spacing w:after="0"/>
              <w:rPr>
                <w:sz w:val="15"/>
                <w:szCs w:val="15"/>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18,293</w:t>
            </w:r>
          </w:p>
        </w:tc>
        <w:tc>
          <w:tcPr>
            <w:tcW w:w="100" w:type="dxa"/>
            <w:vAlign w:val="bottom"/>
          </w:tcPr>
          <w:p>
            <w:pPr>
              <w:spacing w:after="0"/>
              <w:rPr>
                <w:sz w:val="15"/>
                <w:szCs w:val="15"/>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37,468</w:t>
            </w:r>
          </w:p>
        </w:tc>
        <w:tc>
          <w:tcPr>
            <w:tcW w:w="100" w:type="dxa"/>
            <w:vAlign w:val="bottom"/>
          </w:tcPr>
          <w:p>
            <w:pPr>
              <w:spacing w:after="0"/>
              <w:rPr>
                <w:sz w:val="15"/>
                <w:szCs w:val="15"/>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48,815</w:t>
            </w:r>
          </w:p>
        </w:tc>
      </w:tr>
      <w:tr>
        <w:trPr>
          <w:trHeight w:val="173"/>
        </w:trPr>
        <w:tc>
          <w:tcPr>
            <w:tcW w:w="6280" w:type="dxa"/>
            <w:vAlign w:val="bottom"/>
          </w:tcPr>
          <w:p>
            <w:pPr>
              <w:ind w:left="300"/>
              <w:spacing w:after="0"/>
              <w:rPr>
                <w:sz w:val="20"/>
                <w:szCs w:val="20"/>
                <w:color w:val="auto"/>
              </w:rPr>
            </w:pPr>
            <w:r>
              <w:rPr>
                <w:rFonts w:ascii="Arial" w:cs="Arial" w:eastAsia="Arial" w:hAnsi="Arial"/>
                <w:sz w:val="15"/>
                <w:szCs w:val="15"/>
                <w:color w:val="auto"/>
                <w:w w:val="96"/>
              </w:rPr>
              <w:t>September 30, 2023 and 2022, respectively; $32,909 and $36,326 for the nine months ended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7"/>
        </w:trPr>
        <w:tc>
          <w:tcPr>
            <w:tcW w:w="6280" w:type="dxa"/>
            <w:vAlign w:val="bottom"/>
          </w:tcPr>
          <w:p>
            <w:pPr>
              <w:ind w:left="300"/>
              <w:spacing w:after="0"/>
              <w:rPr>
                <w:sz w:val="20"/>
                <w:szCs w:val="20"/>
                <w:color w:val="auto"/>
              </w:rPr>
            </w:pPr>
            <w:r>
              <w:rPr>
                <w:rFonts w:ascii="Arial" w:cs="Arial" w:eastAsia="Arial" w:hAnsi="Arial"/>
                <w:sz w:val="15"/>
                <w:szCs w:val="15"/>
                <w:color w:val="auto"/>
              </w:rPr>
              <w:t>September 30, 2023 and 2022, respectively)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5"/>
        </w:trPr>
        <w:tc>
          <w:tcPr>
            <w:tcW w:w="62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0"/>
              </w:rPr>
              <w:t>Fuel station services (includes revenues from related party of $6,942 and $3,855 for the three months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37,305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88,089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87,376</w:t>
            </w:r>
          </w:p>
        </w:tc>
      </w:tr>
      <w:tr>
        <w:trPr>
          <w:trHeight w:val="173"/>
        </w:trPr>
        <w:tc>
          <w:tcPr>
            <w:tcW w:w="62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89"/>
              </w:rPr>
              <w:t>ended September 30, 2023 and 2022, respectively; $10,875 and $12,698 for the nine months ended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5"/>
        </w:trPr>
        <w:tc>
          <w:tcPr>
            <w:tcW w:w="6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September 30, 2023 and 2022, respectively)</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7"/>
        </w:trPr>
        <w:tc>
          <w:tcPr>
            <w:tcW w:w="6280" w:type="dxa"/>
            <w:vAlign w:val="bottom"/>
          </w:tcPr>
          <w:p>
            <w:pPr>
              <w:ind w:left="140"/>
              <w:spacing w:after="0"/>
              <w:rPr>
                <w:sz w:val="20"/>
                <w:szCs w:val="20"/>
                <w:color w:val="auto"/>
              </w:rPr>
            </w:pPr>
            <w:r>
              <w:rPr>
                <w:rFonts w:ascii="Arial" w:cs="Arial" w:eastAsia="Arial" w:hAnsi="Arial"/>
                <w:sz w:val="15"/>
                <w:szCs w:val="15"/>
                <w:color w:val="auto"/>
                <w:w w:val="94"/>
              </w:rPr>
              <w:t>Renewable Power (includes revenues from related party of $1,732 and $927 for the three months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13,708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12,486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43,543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32,623</w:t>
            </w:r>
          </w:p>
        </w:tc>
      </w:tr>
      <w:tr>
        <w:trPr>
          <w:trHeight w:val="173"/>
        </w:trPr>
        <w:tc>
          <w:tcPr>
            <w:tcW w:w="6280" w:type="dxa"/>
            <w:vAlign w:val="bottom"/>
          </w:tcPr>
          <w:p>
            <w:pPr>
              <w:ind w:left="300"/>
              <w:spacing w:after="0"/>
              <w:rPr>
                <w:sz w:val="20"/>
                <w:szCs w:val="20"/>
                <w:color w:val="auto"/>
              </w:rPr>
            </w:pPr>
            <w:r>
              <w:rPr>
                <w:rFonts w:ascii="Arial" w:cs="Arial" w:eastAsia="Arial" w:hAnsi="Arial"/>
                <w:sz w:val="15"/>
                <w:szCs w:val="15"/>
                <w:color w:val="auto"/>
                <w:w w:val="91"/>
              </w:rPr>
              <w:t>ended September 30, 2023 and 2022, respectively; $5,006 and $3,196, for the nine months ended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8"/>
        </w:trPr>
        <w:tc>
          <w:tcPr>
            <w:tcW w:w="628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September 30, 2023 and 2022, respectively)</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222"/>
        </w:trPr>
        <w:tc>
          <w:tcPr>
            <w:tcW w:w="6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revenues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71,101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66,550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169,100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168,814</w:t>
            </w:r>
          </w:p>
        </w:tc>
      </w:tr>
      <w:tr>
        <w:trPr>
          <w:trHeight w:val="172"/>
        </w:trPr>
        <w:tc>
          <w:tcPr>
            <w:tcW w:w="628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30"/>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Cost of sales - RNG fuel</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8,896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10,872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24,303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27,043</w:t>
            </w:r>
          </w:p>
        </w:tc>
      </w:tr>
      <w:tr>
        <w:trPr>
          <w:trHeight w:val="192"/>
        </w:trPr>
        <w:tc>
          <w:tcPr>
            <w:tcW w:w="6280" w:type="dxa"/>
            <w:vAlign w:val="bottom"/>
          </w:tcPr>
          <w:p>
            <w:pPr>
              <w:ind w:left="140"/>
              <w:spacing w:after="0"/>
              <w:rPr>
                <w:sz w:val="20"/>
                <w:szCs w:val="20"/>
                <w:color w:val="auto"/>
              </w:rPr>
            </w:pPr>
            <w:r>
              <w:rPr>
                <w:rFonts w:ascii="Arial" w:cs="Arial" w:eastAsia="Arial" w:hAnsi="Arial"/>
                <w:sz w:val="15"/>
                <w:szCs w:val="15"/>
                <w:color w:val="auto"/>
              </w:rPr>
              <w:t>Cost of sales - Fuel station services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31,887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30,837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79,655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74,130</w:t>
            </w:r>
          </w:p>
        </w:tc>
      </w:tr>
      <w:tr>
        <w:trPr>
          <w:trHeight w:val="30"/>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Cost of sales - Renewable Power</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11,112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7,645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28,251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23,593</w:t>
            </w:r>
          </w:p>
        </w:tc>
      </w:tr>
      <w:tr>
        <w:trPr>
          <w:trHeight w:val="192"/>
        </w:trPr>
        <w:tc>
          <w:tcPr>
            <w:tcW w:w="6280" w:type="dxa"/>
            <w:vAlign w:val="bottom"/>
          </w:tcPr>
          <w:p>
            <w:pPr>
              <w:ind w:left="140"/>
              <w:spacing w:after="0"/>
              <w:rPr>
                <w:sz w:val="20"/>
                <w:szCs w:val="20"/>
                <w:color w:val="auto"/>
              </w:rPr>
            </w:pPr>
            <w:r>
              <w:rPr>
                <w:rFonts w:ascii="Arial" w:cs="Arial" w:eastAsia="Arial" w:hAnsi="Arial"/>
                <w:sz w:val="15"/>
                <w:szCs w:val="15"/>
                <w:color w:val="auto"/>
              </w:rPr>
              <w:t>Selling, general, and administrative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13,594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15,751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41,729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34,561</w:t>
            </w:r>
          </w:p>
        </w:tc>
      </w:tr>
      <w:tr>
        <w:trPr>
          <w:trHeight w:val="30"/>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2"/>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Depreciation, amortization, and accretion</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3,739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10,934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10,101</w:t>
            </w:r>
          </w:p>
        </w:tc>
      </w:tr>
      <w:tr>
        <w:trPr>
          <w:trHeight w:val="184"/>
        </w:trPr>
        <w:tc>
          <w:tcPr>
            <w:tcW w:w="6280" w:type="dxa"/>
            <w:vAlign w:val="bottom"/>
          </w:tcPr>
          <w:p>
            <w:pPr>
              <w:ind w:left="300"/>
              <w:spacing w:after="0"/>
              <w:rPr>
                <w:sz w:val="20"/>
                <w:szCs w:val="20"/>
                <w:color w:val="auto"/>
              </w:rPr>
            </w:pPr>
            <w:r>
              <w:rPr>
                <w:rFonts w:ascii="Arial" w:cs="Arial" w:eastAsia="Arial" w:hAnsi="Arial"/>
                <w:sz w:val="15"/>
                <w:szCs w:val="15"/>
                <w:color w:val="auto"/>
              </w:rPr>
              <w:t>Total expenses</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69,228</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68,485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184,872</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169,428</w:t>
            </w:r>
          </w:p>
        </w:tc>
      </w:tr>
      <w:tr>
        <w:trPr>
          <w:trHeight w:val="30"/>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4"/>
        </w:trPr>
        <w:tc>
          <w:tcPr>
            <w:tcW w:w="6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Operating income (loss)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1,873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(15,772)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(614)</w:t>
            </w:r>
          </w:p>
        </w:tc>
      </w:tr>
      <w:tr>
        <w:trPr>
          <w:trHeight w:val="172"/>
        </w:trPr>
        <w:tc>
          <w:tcPr>
            <w:tcW w:w="6280" w:type="dxa"/>
            <w:vAlign w:val="bottom"/>
          </w:tcPr>
          <w:p>
            <w:pPr>
              <w:ind w:left="20"/>
              <w:spacing w:after="0"/>
              <w:rPr>
                <w:sz w:val="20"/>
                <w:szCs w:val="20"/>
                <w:color w:val="auto"/>
              </w:rPr>
            </w:pPr>
            <w:r>
              <w:rPr>
                <w:rFonts w:ascii="Arial" w:cs="Arial" w:eastAsia="Arial" w:hAnsi="Arial"/>
                <w:sz w:val="15"/>
                <w:szCs w:val="15"/>
                <w:b w:val="1"/>
                <w:bCs w:val="1"/>
                <w:color w:val="auto"/>
              </w:rPr>
              <w:t>Other (expense) income:</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30"/>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Interest and financing expense, net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(4,482)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(7,212)</w:t>
            </w:r>
          </w:p>
        </w:tc>
      </w:tr>
      <w:tr>
        <w:trPr>
          <w:trHeight w:val="192"/>
        </w:trPr>
        <w:tc>
          <w:tcPr>
            <w:tcW w:w="6280" w:type="dxa"/>
            <w:vAlign w:val="bottom"/>
          </w:tcPr>
          <w:p>
            <w:pPr>
              <w:ind w:left="140"/>
              <w:spacing w:after="0"/>
              <w:rPr>
                <w:sz w:val="20"/>
                <w:szCs w:val="20"/>
                <w:color w:val="auto"/>
              </w:rPr>
            </w:pPr>
            <w:r>
              <w:rPr>
                <w:rFonts w:ascii="Arial" w:cs="Arial" w:eastAsia="Arial" w:hAnsi="Arial"/>
                <w:sz w:val="15"/>
                <w:szCs w:val="15"/>
                <w:color w:val="auto"/>
              </w:rPr>
              <w:t>Loss on debt extinguishment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Change in fair value of derivative instruments, net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(1,908)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4,955</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(1,580)</w:t>
            </w:r>
          </w:p>
        </w:tc>
      </w:tr>
      <w:tr>
        <w:trPr>
          <w:trHeight w:val="192"/>
        </w:trPr>
        <w:tc>
          <w:tcPr>
            <w:tcW w:w="6280" w:type="dxa"/>
            <w:vAlign w:val="bottom"/>
          </w:tcPr>
          <w:p>
            <w:pPr>
              <w:ind w:left="140"/>
              <w:spacing w:after="0"/>
              <w:rPr>
                <w:sz w:val="20"/>
                <w:szCs w:val="20"/>
                <w:color w:val="auto"/>
              </w:rPr>
            </w:pPr>
            <w:r>
              <w:rPr>
                <w:rFonts w:ascii="Arial" w:cs="Arial" w:eastAsia="Arial" w:hAnsi="Arial"/>
                <w:sz w:val="15"/>
                <w:szCs w:val="15"/>
                <w:color w:val="auto"/>
              </w:rPr>
              <w:t>Other income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6,308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123,645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6,308</w:t>
            </w:r>
          </w:p>
        </w:tc>
      </w:tr>
      <w:tr>
        <w:trPr>
          <w:trHeight w:val="30"/>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2"/>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Income from equity method investments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1,726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3,694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3,658</w:t>
            </w:r>
          </w:p>
        </w:tc>
      </w:tr>
      <w:tr>
        <w:trPr>
          <w:trHeight w:val="184"/>
        </w:trPr>
        <w:tc>
          <w:tcPr>
            <w:tcW w:w="6280" w:type="dxa"/>
            <w:vAlign w:val="bottom"/>
          </w:tcPr>
          <w:p>
            <w:pPr>
              <w:ind w:left="140"/>
              <w:spacing w:after="0"/>
              <w:rPr>
                <w:sz w:val="20"/>
                <w:szCs w:val="20"/>
                <w:color w:val="auto"/>
              </w:rPr>
            </w:pPr>
            <w:r>
              <w:rPr>
                <w:rFonts w:ascii="Arial" w:cs="Arial" w:eastAsia="Arial" w:hAnsi="Arial"/>
                <w:sz w:val="15"/>
                <w:szCs w:val="15"/>
                <w:color w:val="auto"/>
              </w:rPr>
              <w:t>Income before provision for income taxes</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5,369</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106,931</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560</w:t>
            </w:r>
          </w:p>
        </w:tc>
      </w:tr>
      <w:tr>
        <w:trPr>
          <w:trHeight w:val="30"/>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4"/>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income taxes</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4"/>
        </w:trPr>
        <w:tc>
          <w:tcPr>
            <w:tcW w:w="628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5,369</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106,931</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560</w:t>
            </w:r>
          </w:p>
        </w:tc>
      </w:tr>
      <w:tr>
        <w:trPr>
          <w:trHeight w:val="30"/>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4"/>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(loss) income attributable to redeemable non-controlling interests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4,161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83,123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(2,584)</w:t>
            </w:r>
          </w:p>
        </w:tc>
      </w:tr>
      <w:tr>
        <w:trPr>
          <w:trHeight w:val="227"/>
        </w:trPr>
        <w:tc>
          <w:tcPr>
            <w:tcW w:w="6280" w:type="dxa"/>
            <w:vAlign w:val="bottom"/>
          </w:tcPr>
          <w:p>
            <w:pPr>
              <w:ind w:left="140"/>
              <w:spacing w:after="0"/>
              <w:rPr>
                <w:sz w:val="20"/>
                <w:szCs w:val="20"/>
                <w:color w:val="auto"/>
              </w:rPr>
            </w:pPr>
            <w:r>
              <w:rPr>
                <w:rFonts w:ascii="Arial" w:cs="Arial" w:eastAsia="Arial" w:hAnsi="Arial"/>
                <w:sz w:val="15"/>
                <w:szCs w:val="15"/>
                <w:color w:val="auto"/>
              </w:rPr>
              <w:t>Net loss attributable to non-redeemable non-controlling interests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241"/>
        </w:trPr>
        <w:tc>
          <w:tcPr>
            <w:tcW w:w="6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Dividends on Redeemable preferred non-controlling interests </w:t>
            </w:r>
            <w:r>
              <w:rPr>
                <w:rFonts w:ascii="Arial" w:cs="Arial" w:eastAsia="Arial" w:hAnsi="Arial"/>
                <w:sz w:val="19"/>
                <w:szCs w:val="19"/>
                <w:color w:val="auto"/>
                <w:vertAlign w:val="superscript"/>
              </w:rPr>
              <w:t>(1)</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8,394</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5,093</w:t>
            </w:r>
          </w:p>
        </w:tc>
      </w:tr>
      <w:tr>
        <w:trPr>
          <w:trHeight w:val="184"/>
        </w:trPr>
        <w:tc>
          <w:tcPr>
            <w:tcW w:w="6280" w:type="dxa"/>
            <w:vAlign w:val="bottom"/>
          </w:tcPr>
          <w:p>
            <w:pPr>
              <w:ind w:left="140"/>
              <w:spacing w:after="0"/>
              <w:rPr>
                <w:sz w:val="20"/>
                <w:szCs w:val="20"/>
                <w:color w:val="auto"/>
              </w:rPr>
            </w:pPr>
            <w:r>
              <w:rPr>
                <w:rFonts w:ascii="Arial" w:cs="Arial" w:eastAsia="Arial" w:hAnsi="Arial"/>
                <w:sz w:val="15"/>
                <w:szCs w:val="15"/>
                <w:color w:val="auto"/>
              </w:rPr>
              <w:t>Net (loss) income attributable to Class A common stockholders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(400)</w:t>
            </w:r>
          </w:p>
        </w:tc>
        <w:tc>
          <w:tcPr>
            <w:tcW w:w="80" w:type="dxa"/>
            <w:vAlign w:val="bottom"/>
          </w:tcPr>
          <w:p>
            <w:pPr>
              <w:spacing w:after="0"/>
              <w:rPr>
                <w:sz w:val="16"/>
                <w:szCs w:val="16"/>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(1,125)</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15,945</w:t>
            </w:r>
          </w:p>
        </w:tc>
        <w:tc>
          <w:tcPr>
            <w:tcW w:w="100" w:type="dxa"/>
            <w:vAlign w:val="bottom"/>
          </w:tcPr>
          <w:p>
            <w:pPr>
              <w:spacing w:after="0"/>
              <w:rPr>
                <w:sz w:val="16"/>
                <w:szCs w:val="16"/>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(1,125)</w:t>
            </w:r>
          </w:p>
        </w:tc>
      </w:tr>
      <w:tr>
        <w:trPr>
          <w:trHeight w:val="30"/>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2"/>
        </w:trPr>
        <w:tc>
          <w:tcPr>
            <w:tcW w:w="6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2"/>
        </w:trPr>
        <w:tc>
          <w:tcPr>
            <w:tcW w:w="6280" w:type="dxa"/>
            <w:vAlign w:val="bottom"/>
          </w:tcPr>
          <w:p>
            <w:pPr>
              <w:ind w:left="300"/>
              <w:spacing w:after="0"/>
              <w:rPr>
                <w:sz w:val="20"/>
                <w:szCs w:val="20"/>
                <w:color w:val="auto"/>
              </w:rPr>
            </w:pPr>
            <w:r>
              <w:rPr>
                <w:rFonts w:ascii="Arial" w:cs="Arial" w:eastAsia="Arial" w:hAnsi="Arial"/>
                <w:sz w:val="15"/>
                <w:szCs w:val="15"/>
                <w:color w:val="auto"/>
              </w:rPr>
              <w:t>Weighted average shares outstanding of Class A common stock:</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0"/>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6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26,978,969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25,671,390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27,110,953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0"/>
              </w:rPr>
              <w:t>25,671,390</w:t>
            </w:r>
          </w:p>
        </w:tc>
      </w:tr>
      <w:tr>
        <w:trPr>
          <w:trHeight w:val="192"/>
        </w:trPr>
        <w:tc>
          <w:tcPr>
            <w:tcW w:w="6280" w:type="dxa"/>
            <w:vAlign w:val="bottom"/>
          </w:tcPr>
          <w:p>
            <w:pPr>
              <w:ind w:left="300"/>
              <w:spacing w:after="0"/>
              <w:rPr>
                <w:sz w:val="20"/>
                <w:szCs w:val="20"/>
                <w:color w:val="auto"/>
              </w:rPr>
            </w:pPr>
            <w:r>
              <w:rPr>
                <w:rFonts w:ascii="Arial" w:cs="Arial" w:eastAsia="Arial" w:hAnsi="Arial"/>
                <w:sz w:val="15"/>
                <w:szCs w:val="15"/>
                <w:color w:val="auto"/>
              </w:rPr>
              <w:t>Diluted</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26,978,969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25,823,772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27,683,855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0"/>
              </w:rPr>
              <w:t>25,823,772</w:t>
            </w:r>
          </w:p>
        </w:tc>
      </w:tr>
      <w:tr>
        <w:trPr>
          <w:trHeight w:val="30"/>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6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Per share amounts: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2"/>
        </w:trPr>
        <w:tc>
          <w:tcPr>
            <w:tcW w:w="6280" w:type="dxa"/>
            <w:vAlign w:val="bottom"/>
          </w:tcPr>
          <w:p>
            <w:pPr>
              <w:ind w:left="300"/>
              <w:spacing w:after="0"/>
              <w:rPr>
                <w:sz w:val="20"/>
                <w:szCs w:val="20"/>
                <w:color w:val="auto"/>
              </w:rPr>
            </w:pPr>
            <w:r>
              <w:rPr>
                <w:rFonts w:ascii="Arial" w:cs="Arial" w:eastAsia="Arial" w:hAnsi="Arial"/>
                <w:sz w:val="15"/>
                <w:szCs w:val="15"/>
                <w:color w:val="auto"/>
              </w:rPr>
              <w:t>Basic</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(0.01)</w:t>
            </w:r>
          </w:p>
        </w:tc>
        <w:tc>
          <w:tcPr>
            <w:tcW w:w="80" w:type="dxa"/>
            <w:vAlign w:val="bottom"/>
          </w:tcPr>
          <w:p>
            <w:pPr>
              <w:spacing w:after="0"/>
              <w:rPr>
                <w:sz w:val="16"/>
                <w:szCs w:val="16"/>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0.59</w:t>
            </w:r>
          </w:p>
        </w:tc>
        <w:tc>
          <w:tcPr>
            <w:tcW w:w="100" w:type="dxa"/>
            <w:vAlign w:val="bottom"/>
          </w:tcPr>
          <w:p>
            <w:pPr>
              <w:spacing w:after="0"/>
              <w:rPr>
                <w:sz w:val="16"/>
                <w:szCs w:val="16"/>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(0.04)</w:t>
            </w:r>
          </w:p>
        </w:tc>
      </w:tr>
      <w:tr>
        <w:trPr>
          <w:trHeight w:val="30"/>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2"/>
        </w:trPr>
        <w:tc>
          <w:tcPr>
            <w:tcW w:w="6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Diluted</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(0.06)</w:t>
            </w:r>
          </w:p>
        </w:tc>
      </w:tr>
      <w:tr>
        <w:trPr>
          <w:trHeight w:val="30"/>
        </w:trPr>
        <w:tc>
          <w:tcPr>
            <w:tcW w:w="6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 w:name="page8"/>
    <w:bookmarkEnd w:id="7"/>
    <w:p>
      <w:pPr>
        <w:ind w:left="1" w:hanging="1"/>
        <w:spacing w:after="0" w:line="247" w:lineRule="auto"/>
        <w:tabs>
          <w:tab w:leader="none" w:pos="158"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 xml:space="preserve">Paid-in-kind preferred dividend is allocated between redeemable non-controlling interests and Class A common stockholders based on their weighted average percentage of ownership. Please see Note.13 </w:t>
      </w:r>
      <w:r>
        <w:rPr>
          <w:rFonts w:ascii="Arial" w:cs="Arial" w:eastAsia="Arial" w:hAnsi="Arial"/>
          <w:sz w:val="13"/>
          <w:szCs w:val="13"/>
          <w:i w:val="1"/>
          <w:iCs w:val="1"/>
          <w:color w:val="auto"/>
        </w:rPr>
        <w:t>Redeemable non-controlling interests, redeemable preferred non-controlling interests and Stockholders' deficit</w:t>
      </w:r>
      <w:r>
        <w:rPr>
          <w:rFonts w:ascii="Arial" w:cs="Arial" w:eastAsia="Arial" w:hAnsi="Arial"/>
          <w:sz w:val="13"/>
          <w:szCs w:val="13"/>
          <w:color w:val="auto"/>
        </w:rPr>
        <w:t xml:space="preserve"> for additional information.</w:t>
      </w:r>
    </w:p>
    <w:p>
      <w:pPr>
        <w:spacing w:after="0" w:line="147" w:lineRule="exact"/>
        <w:rPr>
          <w:sz w:val="20"/>
          <w:szCs w:val="20"/>
          <w:color w:val="auto"/>
        </w:rPr>
      </w:pPr>
    </w:p>
    <w:p>
      <w:pPr>
        <w:ind w:left="2041"/>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716978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021"/>
          </w:cols>
          <w:pgMar w:left="319" w:top="1031" w:right="559" w:bottom="1440" w:gutter="0" w:footer="0" w:header="0"/>
        </w:sectPr>
      </w:pPr>
    </w:p>
    <w:bookmarkStart w:id="8" w:name="page9"/>
    <w:bookmarkEnd w:id="8"/>
    <w:p>
      <w:pPr>
        <w:spacing w:after="0" w:line="200" w:lineRule="exact"/>
        <w:rPr>
          <w:sz w:val="20"/>
          <w:szCs w:val="20"/>
          <w:color w:val="auto"/>
        </w:rPr>
      </w:pP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OPAL FUELS INC.</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(In thousands of U.S. dollars)</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(Unaudited)</w:t>
      </w:r>
    </w:p>
    <w:p>
      <w:pPr>
        <w:spacing w:after="0" w:line="15" w:lineRule="exact"/>
        <w:rPr>
          <w:sz w:val="20"/>
          <w:szCs w:val="20"/>
          <w:color w:val="auto"/>
        </w:rPr>
      </w:pPr>
    </w:p>
    <w:tbl>
      <w:tblPr>
        <w:tblLayout w:type="fixed"/>
        <w:tblInd w:w="201" w:type="dxa"/>
        <w:tblCellMar>
          <w:top w:w="0" w:type="dxa"/>
          <w:left w:w="0" w:type="dxa"/>
          <w:bottom w:w="0" w:type="dxa"/>
          <w:right w:w="0" w:type="dxa"/>
        </w:tblCellMar>
      </w:tblPr>
      <w:tr>
        <w:trPr>
          <w:trHeight w:val="184"/>
        </w:trPr>
        <w:tc>
          <w:tcPr>
            <w:tcW w:w="5780" w:type="dxa"/>
            <w:vAlign w:val="bottom"/>
            <w:shd w:val="clear" w:color="auto" w:fill="CCEEFF"/>
          </w:tcPr>
          <w:p>
            <w:pPr>
              <w:spacing w:after="0"/>
              <w:rPr>
                <w:sz w:val="16"/>
                <w:szCs w:val="16"/>
                <w:color w:val="auto"/>
              </w:rPr>
            </w:pPr>
          </w:p>
        </w:tc>
        <w:tc>
          <w:tcPr>
            <w:tcW w:w="2640" w:type="dxa"/>
            <w:vAlign w:val="bottom"/>
            <w:gridSpan w:val="6"/>
            <w:shd w:val="clear" w:color="auto" w:fill="CCEEFF"/>
          </w:tcPr>
          <w:p>
            <w:pPr>
              <w:ind w:left="120"/>
              <w:spacing w:after="0"/>
              <w:rPr>
                <w:sz w:val="20"/>
                <w:szCs w:val="20"/>
                <w:color w:val="auto"/>
              </w:rPr>
            </w:pPr>
            <w:r>
              <w:rPr>
                <w:rFonts w:ascii="Arial" w:cs="Arial" w:eastAsia="Arial" w:hAnsi="Arial"/>
                <w:sz w:val="16"/>
                <w:szCs w:val="16"/>
                <w:b w:val="1"/>
                <w:bCs w:val="1"/>
                <w:color w:val="auto"/>
              </w:rPr>
              <w:t>Three Months Ended September</w:t>
            </w:r>
          </w:p>
        </w:tc>
        <w:tc>
          <w:tcPr>
            <w:tcW w:w="100" w:type="dxa"/>
            <w:vAlign w:val="bottom"/>
            <w:shd w:val="clear" w:color="auto" w:fill="CCEEFF"/>
          </w:tcPr>
          <w:p>
            <w:pPr>
              <w:spacing w:after="0"/>
              <w:rPr>
                <w:sz w:val="16"/>
                <w:szCs w:val="16"/>
                <w:color w:val="auto"/>
              </w:rPr>
            </w:pPr>
          </w:p>
        </w:tc>
        <w:tc>
          <w:tcPr>
            <w:tcW w:w="2340" w:type="dxa"/>
            <w:vAlign w:val="bottom"/>
            <w:gridSpan w:val="4"/>
            <w:shd w:val="clear" w:color="auto" w:fill="CCEEFF"/>
          </w:tcPr>
          <w:p>
            <w:pPr>
              <w:jc w:val="center"/>
              <w:ind w:right="18"/>
              <w:spacing w:after="0"/>
              <w:rPr>
                <w:sz w:val="20"/>
                <w:szCs w:val="20"/>
                <w:color w:val="auto"/>
              </w:rPr>
            </w:pPr>
            <w:r>
              <w:rPr>
                <w:rFonts w:ascii="Arial" w:cs="Arial" w:eastAsia="Arial" w:hAnsi="Arial"/>
                <w:sz w:val="16"/>
                <w:szCs w:val="16"/>
                <w:b w:val="1"/>
                <w:bCs w:val="1"/>
                <w:color w:val="auto"/>
                <w:w w:val="93"/>
              </w:rPr>
              <w:t>Nine Months Ended September</w:t>
            </w:r>
          </w:p>
        </w:tc>
      </w:tr>
      <w:tr>
        <w:trPr>
          <w:trHeight w:val="217"/>
        </w:trPr>
        <w:tc>
          <w:tcPr>
            <w:tcW w:w="57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r>
      <w:tr>
        <w:trPr>
          <w:trHeight w:val="207"/>
        </w:trPr>
        <w:tc>
          <w:tcPr>
            <w:tcW w:w="57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r>
      <w:tr>
        <w:trPr>
          <w:trHeight w:val="202"/>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r>
      <w:tr>
        <w:trPr>
          <w:trHeight w:val="209"/>
        </w:trPr>
        <w:tc>
          <w:tcPr>
            <w:tcW w:w="5780" w:type="dxa"/>
            <w:vAlign w:val="bottom"/>
          </w:tcPr>
          <w:p>
            <w:pPr>
              <w:ind w:left="100"/>
              <w:spacing w:after="0"/>
              <w:rPr>
                <w:sz w:val="20"/>
                <w:szCs w:val="20"/>
                <w:color w:val="auto"/>
              </w:rPr>
            </w:pPr>
            <w:r>
              <w:rPr>
                <w:rFonts w:ascii="Arial" w:cs="Arial" w:eastAsia="Arial" w:hAnsi="Arial"/>
                <w:sz w:val="16"/>
                <w:szCs w:val="16"/>
                <w:color w:val="auto"/>
              </w:rPr>
              <w:t>Other comprehensive income:</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Effective portion of the cash flow hedge attributable to equity method investments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780" w:type="dxa"/>
            <w:vAlign w:val="bottom"/>
          </w:tcPr>
          <w:p>
            <w:pPr>
              <w:ind w:left="100"/>
              <w:spacing w:after="0" w:line="210" w:lineRule="exact"/>
              <w:rPr>
                <w:sz w:val="20"/>
                <w:szCs w:val="20"/>
                <w:color w:val="auto"/>
              </w:rPr>
            </w:pPr>
            <w:r>
              <w:rPr>
                <w:rFonts w:ascii="Arial" w:cs="Arial" w:eastAsia="Arial" w:hAnsi="Arial"/>
                <w:sz w:val="16"/>
                <w:szCs w:val="16"/>
                <w:color w:val="auto"/>
              </w:rPr>
              <w:t xml:space="preserve">Reclassification adjustments included in earnings </w:t>
            </w:r>
            <w:r>
              <w:rPr>
                <w:rFonts w:ascii="Arial" w:cs="Arial" w:eastAsia="Arial" w:hAnsi="Arial"/>
                <w:sz w:val="21"/>
                <w:szCs w:val="21"/>
                <w:color w:val="auto"/>
                <w:vertAlign w:val="superscript"/>
              </w:rPr>
              <w:t>(1)</w:t>
            </w:r>
          </w:p>
        </w:tc>
        <w:tc>
          <w:tcPr>
            <w:tcW w:w="9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unrealized gain (loss) on cash flow hedges</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r>
      <w:tr>
        <w:trPr>
          <w:trHeight w:val="201"/>
        </w:trPr>
        <w:tc>
          <w:tcPr>
            <w:tcW w:w="57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Total comprehensive income</w:t>
            </w:r>
          </w:p>
        </w:tc>
        <w:tc>
          <w:tcPr>
            <w:tcW w:w="9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6,558</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106,158</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1,749</w:t>
            </w:r>
          </w:p>
        </w:tc>
      </w:tr>
      <w:tr>
        <w:trPr>
          <w:trHeight w:val="215"/>
        </w:trPr>
        <w:tc>
          <w:tcPr>
            <w:tcW w:w="5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attributable to Redeemable non-controlling interests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w:t>
            </w:r>
          </w:p>
        </w:tc>
      </w:tr>
      <w:tr>
        <w:trPr>
          <w:trHeight w:val="160"/>
        </w:trPr>
        <w:tc>
          <w:tcPr>
            <w:tcW w:w="5780" w:type="dxa"/>
            <w:vAlign w:val="bottom"/>
          </w:tcPr>
          <w:p>
            <w:pPr>
              <w:ind w:left="100"/>
              <w:spacing w:after="0" w:line="160" w:lineRule="exact"/>
              <w:rPr>
                <w:sz w:val="20"/>
                <w:szCs w:val="20"/>
                <w:color w:val="auto"/>
              </w:rPr>
            </w:pPr>
            <w:r>
              <w:rPr>
                <w:rFonts w:ascii="Arial" w:cs="Arial" w:eastAsia="Arial" w:hAnsi="Arial"/>
                <w:sz w:val="16"/>
                <w:szCs w:val="16"/>
                <w:color w:val="auto"/>
              </w:rPr>
              <w:t>Other comprehensive income (loss) attributable to Redeemable non-controlling</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1"/>
        </w:trPr>
        <w:tc>
          <w:tcPr>
            <w:tcW w:w="5780" w:type="dxa"/>
            <w:vAlign w:val="bottom"/>
          </w:tcPr>
          <w:p>
            <w:pPr>
              <w:ind w:left="100"/>
              <w:spacing w:after="0"/>
              <w:rPr>
                <w:sz w:val="20"/>
                <w:szCs w:val="20"/>
                <w:color w:val="auto"/>
              </w:rPr>
            </w:pPr>
            <w:r>
              <w:rPr>
                <w:rFonts w:ascii="Arial" w:cs="Arial" w:eastAsia="Arial" w:hAnsi="Arial"/>
                <w:sz w:val="16"/>
                <w:szCs w:val="16"/>
                <w:color w:val="auto"/>
              </w:rPr>
              <w:t>interests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1,011</w:t>
            </w:r>
          </w:p>
        </w:tc>
      </w:tr>
      <w:tr>
        <w:trPr>
          <w:trHeight w:val="210"/>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Comprehensive loss attributable to non-redeemable non-controlling interests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221"/>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Dividends on Redeemable preferred non-controlling interests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r>
      <w:tr>
        <w:trPr>
          <w:trHeight w:val="227"/>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(loss) income attributable to Class A common stockholders</w:t>
            </w:r>
          </w:p>
        </w:tc>
        <w:tc>
          <w:tcPr>
            <w:tcW w:w="96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1" w:right="600" w:hanging="1"/>
        <w:spacing w:after="0" w:line="295" w:lineRule="auto"/>
        <w:tabs>
          <w:tab w:leader="none" w:pos="152" w:val="left"/>
        </w:tabs>
        <w:numPr>
          <w:ilvl w:val="0"/>
          <w:numId w:val="5"/>
        </w:numPr>
        <w:rPr>
          <w:rFonts w:ascii="Arial" w:cs="Arial" w:eastAsia="Arial" w:hAnsi="Arial"/>
          <w:sz w:val="18"/>
          <w:szCs w:val="18"/>
          <w:b w:val="1"/>
          <w:bCs w:val="1"/>
          <w:color w:val="auto"/>
          <w:vertAlign w:val="superscript"/>
        </w:rPr>
      </w:pPr>
      <w:r>
        <w:rPr>
          <w:rFonts w:ascii="Arial" w:cs="Arial" w:eastAsia="Arial" w:hAnsi="Arial"/>
          <w:sz w:val="14"/>
          <w:szCs w:val="14"/>
          <w:color w:val="auto"/>
        </w:rPr>
        <w:t xml:space="preserve">Represents the reclassification of the gain on termination of interest rate swaps on May 30, 2023. See Note 9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 xml:space="preserve"> for additional information. Additionally, there is $334 reclassification into earnings from our equity method investments.</w:t>
      </w:r>
    </w:p>
    <w:p>
      <w:pPr>
        <w:spacing w:after="0" w:line="11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207010</wp:posOffset>
            </wp:positionV>
            <wp:extent cx="716978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061"/>
          </w:cols>
          <w:pgMar w:left="319" w:top="1440" w:right="51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5"/>
          <w:szCs w:val="15"/>
          <w:b w:val="1"/>
          <w:bCs w:val="1"/>
          <w:color w:val="auto"/>
        </w:rPr>
        <w:t>OPAL FUELS INC.</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CONDENSED CONSOLIDATED STATEMENTS OF CHANGES IN REDEEMABLE NON-CONTROLLING INTEREST, REDEEMABLE PREFERRED NON-</w:t>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CONTROLLING INTEREST AND STOCKHOLDERS' (DEFICIT) EQUITY</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(In thousands of U.S. dollars, except per unit data)</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00" w:type="dxa"/>
            <w:vAlign w:val="bottom"/>
            <w:shd w:val="clear" w:color="auto" w:fill="CCEEFF"/>
          </w:tcPr>
          <w:p>
            <w:pPr>
              <w:spacing w:after="0"/>
              <w:rPr>
                <w:sz w:val="14"/>
                <w:szCs w:val="14"/>
                <w:color w:val="auto"/>
              </w:rPr>
            </w:pPr>
          </w:p>
        </w:tc>
        <w:tc>
          <w:tcPr>
            <w:tcW w:w="140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rPr>
              <w:t>Class A common</w:t>
            </w:r>
          </w:p>
        </w:tc>
        <w:tc>
          <w:tcPr>
            <w:tcW w:w="14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88"/>
              </w:rPr>
              <w:t>Class D common stock</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80" w:type="dxa"/>
            <w:vAlign w:val="bottom"/>
            <w:gridSpan w:val="5"/>
            <w:shd w:val="clear" w:color="auto" w:fill="CCEEFF"/>
          </w:tcPr>
          <w:p>
            <w:pPr>
              <w:jc w:val="right"/>
              <w:ind w:right="100"/>
              <w:spacing w:after="0"/>
              <w:rPr>
                <w:sz w:val="20"/>
                <w:szCs w:val="20"/>
                <w:color w:val="auto"/>
              </w:rPr>
            </w:pPr>
            <w:r>
              <w:rPr>
                <w:rFonts w:ascii="Arial" w:cs="Arial" w:eastAsia="Arial" w:hAnsi="Arial"/>
                <w:sz w:val="15"/>
                <w:szCs w:val="15"/>
                <w:color w:val="auto"/>
                <w:w w:val="89"/>
              </w:rPr>
              <w:t>Class A common stock</w:t>
            </w:r>
          </w:p>
        </w:tc>
        <w:tc>
          <w:tcPr>
            <w:tcW w:w="8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0" w:type="dxa"/>
            <w:vAlign w:val="bottom"/>
            <w:gridSpan w:val="3"/>
            <w:vMerge w:val="restart"/>
            <w:shd w:val="clear" w:color="auto" w:fill="CCEEFF"/>
          </w:tcPr>
          <w:p>
            <w:pPr>
              <w:jc w:val="right"/>
              <w:ind w:right="186"/>
              <w:spacing w:after="0"/>
              <w:rPr>
                <w:sz w:val="20"/>
                <w:szCs w:val="20"/>
                <w:color w:val="auto"/>
              </w:rPr>
            </w:pPr>
            <w:r>
              <w:rPr>
                <w:rFonts w:ascii="Arial" w:cs="Arial" w:eastAsia="Arial" w:hAnsi="Arial"/>
                <w:sz w:val="15"/>
                <w:szCs w:val="15"/>
                <w:color w:val="auto"/>
              </w:rPr>
              <w:t>Mezzanine Equity</w:t>
            </w:r>
          </w:p>
        </w:tc>
        <w:tc>
          <w:tcPr>
            <w:tcW w:w="0" w:type="dxa"/>
            <w:vAlign w:val="bottom"/>
          </w:tcPr>
          <w:p>
            <w:pPr>
              <w:spacing w:after="0"/>
              <w:rPr>
                <w:sz w:val="1"/>
                <w:szCs w:val="1"/>
                <w:color w:val="auto"/>
              </w:rPr>
            </w:pPr>
          </w:p>
        </w:tc>
      </w:tr>
      <w:tr>
        <w:trPr>
          <w:trHeight w:val="190"/>
        </w:trPr>
        <w:tc>
          <w:tcPr>
            <w:tcW w:w="1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w w:val="85"/>
              </w:rPr>
              <w:t>stock</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gridSpan w:val="4"/>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in treasury</w:t>
            </w:r>
          </w:p>
        </w:tc>
        <w:tc>
          <w:tcPr>
            <w:tcW w:w="86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5"/>
                <w:szCs w:val="15"/>
                <w:color w:val="auto"/>
                <w:w w:val="92"/>
              </w:rPr>
              <w:t>Non-</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gridSpan w:val="2"/>
          </w:tcPr>
          <w:p>
            <w:pPr>
              <w:jc w:val="center"/>
              <w:ind w:right="80"/>
              <w:spacing w:after="0" w:line="147" w:lineRule="exact"/>
              <w:rPr>
                <w:sz w:val="20"/>
                <w:szCs w:val="20"/>
                <w:color w:val="auto"/>
              </w:rPr>
            </w:pPr>
            <w:r>
              <w:rPr>
                <w:rFonts w:ascii="Arial" w:cs="Arial" w:eastAsia="Arial" w:hAnsi="Arial"/>
                <w:sz w:val="15"/>
                <w:szCs w:val="15"/>
                <w:color w:val="auto"/>
                <w:w w:val="84"/>
              </w:rPr>
              <w:t>Redeemable</w:t>
            </w: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w w:val="84"/>
              </w:rPr>
              <w:t>Redeemable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5"/>
                <w:szCs w:val="15"/>
                <w:color w:val="auto"/>
                <w:w w:val="94"/>
              </w:rPr>
              <w:t>Additional</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5"/>
                <w:szCs w:val="15"/>
                <w:color w:val="auto"/>
                <w:w w:val="90"/>
              </w:rPr>
              <w:t>Other</w:t>
            </w:r>
          </w:p>
        </w:tc>
        <w:tc>
          <w:tcPr>
            <w:tcW w:w="720" w:type="dxa"/>
            <w:vAlign w:val="bottom"/>
          </w:tcPr>
          <w:p>
            <w:pPr>
              <w:jc w:val="center"/>
              <w:spacing w:after="0" w:line="148" w:lineRule="exact"/>
              <w:rPr>
                <w:sz w:val="20"/>
                <w:szCs w:val="20"/>
                <w:color w:val="auto"/>
              </w:rPr>
            </w:pPr>
            <w:r>
              <w:rPr>
                <w:rFonts w:ascii="Arial" w:cs="Arial" w:eastAsia="Arial" w:hAnsi="Arial"/>
                <w:sz w:val="15"/>
                <w:szCs w:val="15"/>
                <w:color w:val="auto"/>
                <w:w w:val="85"/>
              </w:rPr>
              <w:t>redeemable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Total</w:t>
            </w:r>
          </w:p>
        </w:tc>
        <w:tc>
          <w:tcPr>
            <w:tcW w:w="60" w:type="dxa"/>
            <w:vAlign w:val="bottom"/>
          </w:tcPr>
          <w:p>
            <w:pPr>
              <w:spacing w:after="0"/>
              <w:rPr>
                <w:sz w:val="12"/>
                <w:szCs w:val="12"/>
                <w:color w:val="auto"/>
              </w:rPr>
            </w:pPr>
          </w:p>
        </w:tc>
        <w:tc>
          <w:tcPr>
            <w:tcW w:w="840" w:type="dxa"/>
            <w:vAlign w:val="bottom"/>
            <w:gridSpan w:val="2"/>
          </w:tcPr>
          <w:p>
            <w:pPr>
              <w:jc w:val="center"/>
              <w:ind w:right="80"/>
              <w:spacing w:after="0" w:line="148" w:lineRule="exact"/>
              <w:rPr>
                <w:sz w:val="20"/>
                <w:szCs w:val="20"/>
                <w:color w:val="auto"/>
              </w:rPr>
            </w:pPr>
            <w:r>
              <w:rPr>
                <w:rFonts w:ascii="Arial" w:cs="Arial" w:eastAsia="Arial" w:hAnsi="Arial"/>
                <w:sz w:val="15"/>
                <w:szCs w:val="15"/>
                <w:color w:val="auto"/>
                <w:w w:val="89"/>
              </w:rPr>
              <w:t>Preferred</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5"/>
                <w:szCs w:val="15"/>
                <w:color w:val="auto"/>
                <w:w w:val="99"/>
              </w:rPr>
              <w:t>Accumulated</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5"/>
                <w:szCs w:val="15"/>
                <w:color w:val="auto"/>
                <w:w w:val="86"/>
              </w:rPr>
              <w:t>non-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80"/>
              <w:spacing w:after="0" w:line="148" w:lineRule="exact"/>
              <w:rPr>
                <w:sz w:val="20"/>
                <w:szCs w:val="20"/>
                <w:color w:val="auto"/>
              </w:rPr>
            </w:pPr>
            <w:r>
              <w:rPr>
                <w:rFonts w:ascii="Arial" w:cs="Arial" w:eastAsia="Arial" w:hAnsi="Arial"/>
                <w:sz w:val="15"/>
                <w:szCs w:val="15"/>
                <w:color w:val="auto"/>
                <w:w w:val="93"/>
              </w:rPr>
              <w:t>non-</w:t>
            </w:r>
          </w:p>
        </w:tc>
        <w:tc>
          <w:tcPr>
            <w:tcW w:w="760" w:type="dxa"/>
            <w:vAlign w:val="bottom"/>
          </w:tcPr>
          <w:p>
            <w:pPr>
              <w:jc w:val="center"/>
              <w:spacing w:after="0" w:line="148" w:lineRule="exact"/>
              <w:rPr>
                <w:sz w:val="20"/>
                <w:szCs w:val="20"/>
                <w:color w:val="auto"/>
              </w:rPr>
            </w:pPr>
            <w:r>
              <w:rPr>
                <w:rFonts w:ascii="Arial" w:cs="Arial" w:eastAsia="Arial" w:hAnsi="Arial"/>
                <w:sz w:val="15"/>
                <w:szCs w:val="15"/>
                <w:color w:val="auto"/>
                <w:w w:val="93"/>
              </w:rPr>
              <w:t>non-</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5"/>
                <w:szCs w:val="15"/>
                <w:color w:val="auto"/>
              </w:rPr>
              <w:t>Shares</w:t>
            </w: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w w:val="88"/>
              </w:rPr>
              <w:t>Amount</w:t>
            </w:r>
          </w:p>
        </w:tc>
        <w:tc>
          <w:tcPr>
            <w:tcW w:w="80" w:type="dxa"/>
            <w:vAlign w:val="bottom"/>
            <w:vMerge w:val="restart"/>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5"/>
                <w:szCs w:val="15"/>
                <w:color w:val="auto"/>
              </w:rPr>
              <w:t>Shares</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w w:val="92"/>
              </w:rPr>
              <w:t>Amount</w:t>
            </w:r>
          </w:p>
        </w:tc>
        <w:tc>
          <w:tcPr>
            <w:tcW w:w="740" w:type="dxa"/>
            <w:vAlign w:val="bottom"/>
            <w:gridSpan w:val="2"/>
          </w:tcPr>
          <w:p>
            <w:pPr>
              <w:jc w:val="center"/>
              <w:ind w:right="80"/>
              <w:spacing w:after="0" w:line="148" w:lineRule="exact"/>
              <w:rPr>
                <w:sz w:val="20"/>
                <w:szCs w:val="20"/>
                <w:color w:val="auto"/>
              </w:rPr>
            </w:pPr>
            <w:r>
              <w:rPr>
                <w:rFonts w:ascii="Arial" w:cs="Arial" w:eastAsia="Arial" w:hAnsi="Arial"/>
                <w:sz w:val="15"/>
                <w:szCs w:val="15"/>
                <w:color w:val="auto"/>
                <w:w w:val="93"/>
              </w:rPr>
              <w:t>paid-in</w:t>
            </w:r>
          </w:p>
        </w:tc>
        <w:tc>
          <w:tcPr>
            <w:tcW w:w="900" w:type="dxa"/>
            <w:vAlign w:val="bottom"/>
            <w:gridSpan w:val="2"/>
            <w:vMerge w:val="continue"/>
          </w:tcPr>
          <w:p>
            <w:pPr>
              <w:spacing w:after="0"/>
              <w:rPr>
                <w:sz w:val="12"/>
                <w:szCs w:val="12"/>
                <w:color w:val="auto"/>
              </w:rPr>
            </w:pPr>
          </w:p>
        </w:tc>
        <w:tc>
          <w:tcPr>
            <w:tcW w:w="1000" w:type="dxa"/>
            <w:vAlign w:val="bottom"/>
            <w:gridSpan w:val="3"/>
          </w:tcPr>
          <w:p>
            <w:pPr>
              <w:jc w:val="center"/>
              <w:ind w:right="60"/>
              <w:spacing w:after="0" w:line="148" w:lineRule="exact"/>
              <w:rPr>
                <w:sz w:val="20"/>
                <w:szCs w:val="20"/>
                <w:color w:val="auto"/>
              </w:rPr>
            </w:pPr>
            <w:r>
              <w:rPr>
                <w:rFonts w:ascii="Arial" w:cs="Arial" w:eastAsia="Arial" w:hAnsi="Arial"/>
                <w:sz w:val="15"/>
                <w:szCs w:val="15"/>
                <w:color w:val="auto"/>
                <w:w w:val="88"/>
              </w:rPr>
              <w:t>comprehensive</w:t>
            </w:r>
          </w:p>
        </w:tc>
        <w:tc>
          <w:tcPr>
            <w:tcW w:w="720" w:type="dxa"/>
            <w:vAlign w:val="bottom"/>
          </w:tcPr>
          <w:p>
            <w:pPr>
              <w:jc w:val="center"/>
              <w:spacing w:after="0" w:line="148" w:lineRule="exact"/>
              <w:rPr>
                <w:sz w:val="20"/>
                <w:szCs w:val="20"/>
                <w:color w:val="auto"/>
              </w:rPr>
            </w:pPr>
            <w:r>
              <w:rPr>
                <w:rFonts w:ascii="Arial" w:cs="Arial" w:eastAsia="Arial" w:hAnsi="Arial"/>
                <w:sz w:val="15"/>
                <w:szCs w:val="15"/>
                <w:color w:val="auto"/>
                <w:w w:val="96"/>
              </w:rPr>
              <w:t>controlling</w:t>
            </w: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5"/>
                <w:szCs w:val="15"/>
                <w:color w:val="auto"/>
                <w:w w:val="84"/>
              </w:rPr>
              <w:t>Shares</w:t>
            </w:r>
          </w:p>
        </w:tc>
        <w:tc>
          <w:tcPr>
            <w:tcW w:w="8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w w:val="92"/>
              </w:rPr>
              <w:t>Amount</w:t>
            </w:r>
          </w:p>
        </w:tc>
        <w:tc>
          <w:tcPr>
            <w:tcW w:w="80" w:type="dxa"/>
            <w:vAlign w:val="bottom"/>
            <w:vMerge w:val="restart"/>
          </w:tcPr>
          <w:p>
            <w:pPr>
              <w:spacing w:after="0"/>
              <w:rPr>
                <w:sz w:val="12"/>
                <w:szCs w:val="12"/>
                <w:color w:val="auto"/>
              </w:rPr>
            </w:pP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5"/>
                <w:szCs w:val="15"/>
                <w:color w:val="auto"/>
                <w:w w:val="89"/>
              </w:rPr>
              <w:t>Stockholders'</w:t>
            </w:r>
          </w:p>
        </w:tc>
        <w:tc>
          <w:tcPr>
            <w:tcW w:w="60" w:type="dxa"/>
            <w:vAlign w:val="bottom"/>
          </w:tcPr>
          <w:p>
            <w:pPr>
              <w:spacing w:after="0"/>
              <w:rPr>
                <w:sz w:val="12"/>
                <w:szCs w:val="12"/>
                <w:color w:val="auto"/>
              </w:rPr>
            </w:pPr>
          </w:p>
        </w:tc>
        <w:tc>
          <w:tcPr>
            <w:tcW w:w="840" w:type="dxa"/>
            <w:vAlign w:val="bottom"/>
            <w:gridSpan w:val="2"/>
          </w:tcPr>
          <w:p>
            <w:pPr>
              <w:jc w:val="center"/>
              <w:ind w:right="80"/>
              <w:spacing w:after="0" w:line="148" w:lineRule="exact"/>
              <w:rPr>
                <w:sz w:val="20"/>
                <w:szCs w:val="20"/>
                <w:color w:val="auto"/>
              </w:rPr>
            </w:pPr>
            <w:r>
              <w:rPr>
                <w:rFonts w:ascii="Arial" w:cs="Arial" w:eastAsia="Arial" w:hAnsi="Arial"/>
                <w:sz w:val="15"/>
                <w:szCs w:val="15"/>
                <w:color w:val="auto"/>
                <w:w w:val="93"/>
              </w:rPr>
              <w:t>controlling</w:t>
            </w:r>
          </w:p>
        </w:tc>
        <w:tc>
          <w:tcPr>
            <w:tcW w:w="760" w:type="dxa"/>
            <w:vAlign w:val="bottom"/>
          </w:tcPr>
          <w:p>
            <w:pPr>
              <w:jc w:val="center"/>
              <w:spacing w:after="0" w:line="148" w:lineRule="exact"/>
              <w:rPr>
                <w:sz w:val="20"/>
                <w:szCs w:val="20"/>
                <w:color w:val="auto"/>
              </w:rPr>
            </w:pPr>
            <w:r>
              <w:rPr>
                <w:rFonts w:ascii="Arial" w:cs="Arial" w:eastAsia="Arial" w:hAnsi="Arial"/>
                <w:sz w:val="15"/>
                <w:szCs w:val="15"/>
                <w:color w:val="auto"/>
                <w:w w:val="93"/>
              </w:rPr>
              <w:t>controlling</w:t>
            </w:r>
          </w:p>
        </w:tc>
        <w:tc>
          <w:tcPr>
            <w:tcW w:w="0" w:type="dxa"/>
            <w:vAlign w:val="bottom"/>
          </w:tcPr>
          <w:p>
            <w:pPr>
              <w:spacing w:after="0"/>
              <w:rPr>
                <w:sz w:val="1"/>
                <w:szCs w:val="1"/>
                <w:color w:val="auto"/>
              </w:rPr>
            </w:pPr>
          </w:p>
        </w:tc>
      </w:tr>
      <w:tr>
        <w:trPr>
          <w:trHeight w:val="190"/>
        </w:trPr>
        <w:tc>
          <w:tcPr>
            <w:tcW w:w="1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capital</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color w:val="auto"/>
                <w:w w:val="90"/>
              </w:rPr>
              <w:t>income</w:t>
            </w:r>
          </w:p>
        </w:tc>
        <w:tc>
          <w:tcPr>
            <w:tcW w:w="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interests</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Equity</w:t>
            </w: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interests</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4"/>
              </w:rPr>
              <w:t>interests</w:t>
            </w:r>
          </w:p>
        </w:tc>
        <w:tc>
          <w:tcPr>
            <w:tcW w:w="0" w:type="dxa"/>
            <w:vAlign w:val="bottom"/>
          </w:tcPr>
          <w:p>
            <w:pPr>
              <w:spacing w:after="0"/>
              <w:rPr>
                <w:sz w:val="1"/>
                <w:szCs w:val="1"/>
                <w:color w:val="auto"/>
              </w:rPr>
            </w:pPr>
          </w:p>
        </w:tc>
      </w:tr>
      <w:tr>
        <w:trPr>
          <w:trHeight w:val="131"/>
        </w:trPr>
        <w:tc>
          <w:tcPr>
            <w:tcW w:w="1100" w:type="dxa"/>
            <w:vAlign w:val="bottom"/>
            <w:shd w:val="clear" w:color="auto" w:fill="CCEEFF"/>
          </w:tcPr>
          <w:p>
            <w:pPr>
              <w:ind w:left="20"/>
              <w:spacing w:after="0" w:line="131" w:lineRule="exact"/>
              <w:rPr>
                <w:sz w:val="20"/>
                <w:szCs w:val="20"/>
                <w:color w:val="auto"/>
              </w:rPr>
            </w:pPr>
            <w:r>
              <w:rPr>
                <w:rFonts w:ascii="Arial" w:cs="Arial" w:eastAsia="Arial" w:hAnsi="Arial"/>
                <w:sz w:val="15"/>
                <w:szCs w:val="15"/>
                <w:b w:val="1"/>
                <w:bCs w:val="1"/>
                <w:color w:val="auto"/>
              </w:rPr>
              <w:t>December 31,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29,477,766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8"/>
              </w:rPr>
              <w:t>144,399,037</w:t>
            </w:r>
          </w:p>
        </w:tc>
        <w:tc>
          <w:tcPr>
            <w:tcW w:w="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   14</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6"/>
              </w:rPr>
              <w:t>$  (800,813)</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  26,445</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   —</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8"/>
              </w:rPr>
              <w:t>$  (774,156)</w:t>
            </w:r>
          </w:p>
        </w:tc>
        <w:tc>
          <w:tcPr>
            <w:tcW w:w="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  138,142</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5"/>
              </w:rPr>
              <w:t>$ 1,013,833</w:t>
            </w:r>
          </w:p>
        </w:tc>
        <w:tc>
          <w:tcPr>
            <w:tcW w:w="0" w:type="dxa"/>
            <w:vAlign w:val="bottom"/>
          </w:tcPr>
          <w:p>
            <w:pPr>
              <w:spacing w:after="0"/>
              <w:rPr>
                <w:sz w:val="1"/>
                <w:szCs w:val="1"/>
                <w:color w:val="auto"/>
              </w:rPr>
            </w:pPr>
          </w:p>
        </w:tc>
      </w:tr>
      <w:tr>
        <w:trPr>
          <w:trHeight w:val="197"/>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2022</w:t>
            </w: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6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00" w:type="dxa"/>
            <w:vAlign w:val="bottom"/>
          </w:tcPr>
          <w:p>
            <w:pPr>
              <w:ind w:left="20"/>
              <w:spacing w:after="0"/>
              <w:rPr>
                <w:sz w:val="20"/>
                <w:szCs w:val="20"/>
                <w:color w:val="auto"/>
              </w:rPr>
            </w:pPr>
            <w:r>
              <w:rPr>
                <w:rFonts w:ascii="Arial" w:cs="Arial" w:eastAsia="Arial" w:hAnsi="Arial"/>
                <w:sz w:val="15"/>
                <w:szCs w:val="15"/>
                <w:color w:val="auto"/>
              </w:rPr>
              <w:t>Net loss</w:t>
            </w: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(1,134)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(297)</w:t>
            </w:r>
          </w:p>
        </w:tc>
        <w:tc>
          <w:tcPr>
            <w:tcW w:w="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(1,431)</w:t>
            </w:r>
          </w:p>
        </w:tc>
        <w:tc>
          <w:tcPr>
            <w:tcW w:w="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(5,915)</w:t>
            </w: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Other</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comprehensive</w:t>
            </w: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w:t>
            </w:r>
          </w:p>
        </w:tc>
        <w:tc>
          <w:tcPr>
            <w:tcW w:w="82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ind w:left="20"/>
              <w:spacing w:after="0" w:line="152" w:lineRule="exact"/>
              <w:rPr>
                <w:sz w:val="20"/>
                <w:szCs w:val="20"/>
                <w:color w:val="auto"/>
              </w:rPr>
            </w:pPr>
            <w:r>
              <w:rPr>
                <w:rFonts w:ascii="Arial" w:cs="Arial" w:eastAsia="Arial" w:hAnsi="Arial"/>
                <w:sz w:val="15"/>
                <w:szCs w:val="15"/>
                <w:color w:val="auto"/>
              </w:rPr>
              <w:t>Proceeds from</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w w:val="97"/>
              </w:rPr>
              <w:t>non-redeemable</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rPr>
              <w:t>non-controlling</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1,722</w:t>
            </w:r>
          </w:p>
        </w:tc>
        <w:tc>
          <w:tcPr>
            <w:tcW w:w="8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1,821</w:t>
            </w:r>
          </w:p>
        </w:tc>
        <w:tc>
          <w:tcPr>
            <w:tcW w:w="8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5"/>
                <w:szCs w:val="15"/>
                <w:color w:val="auto"/>
              </w:rPr>
              <w:t>3,543</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1100" w:type="dxa"/>
            <w:vAlign w:val="bottom"/>
          </w:tcPr>
          <w:p>
            <w:pPr>
              <w:ind w:left="20"/>
              <w:spacing w:after="0"/>
              <w:rPr>
                <w:sz w:val="20"/>
                <w:szCs w:val="20"/>
                <w:color w:val="auto"/>
              </w:rPr>
            </w:pPr>
            <w:r>
              <w:rPr>
                <w:rFonts w:ascii="Arial" w:cs="Arial" w:eastAsia="Arial" w:hAnsi="Arial"/>
                <w:sz w:val="15"/>
                <w:szCs w:val="15"/>
                <w:color w:val="auto"/>
              </w:rPr>
              <w:t>interest</w:t>
            </w:r>
          </w:p>
        </w:tc>
        <w:tc>
          <w:tcPr>
            <w:tcW w:w="82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Issuance of</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Class A</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common stock</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on warrant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49,633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338</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exchange</w:t>
            </w:r>
          </w:p>
        </w:tc>
        <w:tc>
          <w:tcPr>
            <w:tcW w:w="7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ind w:left="20"/>
              <w:spacing w:after="0" w:line="152" w:lineRule="exact"/>
              <w:rPr>
                <w:sz w:val="20"/>
                <w:szCs w:val="20"/>
                <w:color w:val="auto"/>
              </w:rPr>
            </w:pPr>
            <w:r>
              <w:rPr>
                <w:rFonts w:ascii="Arial" w:cs="Arial" w:eastAsia="Arial" w:hAnsi="Arial"/>
                <w:sz w:val="15"/>
                <w:szCs w:val="15"/>
                <w:color w:val="auto"/>
              </w:rPr>
              <w:t>Cancellation of</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w w:val="96"/>
              </w:rPr>
              <w:t>fractional shares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rPr>
              <w:t>on warrant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1100" w:type="dxa"/>
            <w:vAlign w:val="bottom"/>
          </w:tcPr>
          <w:p>
            <w:pPr>
              <w:ind w:left="20"/>
              <w:spacing w:after="0"/>
              <w:rPr>
                <w:sz w:val="20"/>
                <w:szCs w:val="20"/>
                <w:color w:val="auto"/>
              </w:rPr>
            </w:pPr>
            <w:r>
              <w:rPr>
                <w:rFonts w:ascii="Arial" w:cs="Arial" w:eastAsia="Arial" w:hAnsi="Arial"/>
                <w:sz w:val="15"/>
                <w:szCs w:val="15"/>
                <w:color w:val="auto"/>
              </w:rPr>
              <w:t>exchange</w:t>
            </w: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Exercise of put</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option forward</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purchase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contract -</w:t>
            </w: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shd w:val="clear" w:color="auto" w:fill="CCEEFF"/>
          </w:tcPr>
          <w:p>
            <w:pPr>
              <w:jc w:val="center"/>
              <w:ind w:left="6"/>
              <w:spacing w:after="0"/>
              <w:rPr>
                <w:sz w:val="20"/>
                <w:szCs w:val="20"/>
                <w:color w:val="auto"/>
              </w:rPr>
            </w:pPr>
            <w:r>
              <w:rPr>
                <w:rFonts w:ascii="Arial" w:cs="Arial" w:eastAsia="Arial" w:hAnsi="Arial"/>
                <w:sz w:val="15"/>
                <w:szCs w:val="15"/>
                <w:color w:val="auto"/>
                <w:w w:val="88"/>
              </w:rPr>
              <w:t>(1,635,783)</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9"/>
              </w:rPr>
              <w:t>(11,614)</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(11,614)</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Meteora</w:t>
            </w:r>
          </w:p>
        </w:tc>
        <w:tc>
          <w:tcPr>
            <w:tcW w:w="82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ind w:left="20"/>
              <w:spacing w:after="0" w:line="152" w:lineRule="exact"/>
              <w:rPr>
                <w:sz w:val="20"/>
                <w:szCs w:val="20"/>
                <w:color w:val="auto"/>
              </w:rPr>
            </w:pPr>
            <w:r>
              <w:rPr>
                <w:rFonts w:ascii="Arial" w:cs="Arial" w:eastAsia="Arial" w:hAnsi="Arial"/>
                <w:sz w:val="15"/>
                <w:szCs w:val="15"/>
                <w:color w:val="auto"/>
              </w:rPr>
              <w:t>Forfeiture of</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rPr>
              <w:t>Class A</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(197,258)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1100" w:type="dxa"/>
            <w:vAlign w:val="bottom"/>
          </w:tcPr>
          <w:p>
            <w:pPr>
              <w:ind w:left="20"/>
              <w:spacing w:after="0"/>
              <w:rPr>
                <w:sz w:val="20"/>
                <w:szCs w:val="20"/>
                <w:color w:val="auto"/>
              </w:rPr>
            </w:pPr>
            <w:r>
              <w:rPr>
                <w:rFonts w:ascii="Arial" w:cs="Arial" w:eastAsia="Arial" w:hAnsi="Arial"/>
                <w:sz w:val="15"/>
                <w:szCs w:val="15"/>
                <w:color w:val="auto"/>
              </w:rPr>
              <w:t>common stock</w:t>
            </w: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Stock-based</w:t>
            </w: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157</w:t>
            </w:r>
          </w:p>
        </w:tc>
        <w:tc>
          <w:tcPr>
            <w:tcW w:w="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814</w:t>
            </w: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compensation</w:t>
            </w:r>
          </w:p>
        </w:tc>
        <w:tc>
          <w:tcPr>
            <w:tcW w:w="82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ind w:left="20"/>
              <w:spacing w:after="0" w:line="152" w:lineRule="exact"/>
              <w:rPr>
                <w:sz w:val="20"/>
                <w:szCs w:val="20"/>
                <w:color w:val="auto"/>
              </w:rPr>
            </w:pPr>
            <w:r>
              <w:rPr>
                <w:rFonts w:ascii="Arial" w:cs="Arial" w:eastAsia="Arial" w:hAnsi="Arial"/>
                <w:sz w:val="15"/>
                <w:szCs w:val="15"/>
                <w:color w:val="auto"/>
              </w:rPr>
              <w:t>Change in</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rPr>
              <w:t>redemption</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rPr>
              <w:t>value of</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rPr>
              <w:t>Redeemable</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rPr>
              <w:t>non-controlling</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(2,217)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(5,503)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(7,720)</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7,720</w:t>
            </w:r>
          </w:p>
        </w:tc>
        <w:tc>
          <w:tcPr>
            <w:tcW w:w="0" w:type="dxa"/>
            <w:vAlign w:val="bottom"/>
          </w:tcPr>
          <w:p>
            <w:pPr>
              <w:spacing w:after="0"/>
              <w:rPr>
                <w:sz w:val="1"/>
                <w:szCs w:val="1"/>
                <w:color w:val="auto"/>
              </w:rPr>
            </w:pPr>
          </w:p>
        </w:tc>
      </w:tr>
      <w:tr>
        <w:trPr>
          <w:trHeight w:val="190"/>
        </w:trPr>
        <w:tc>
          <w:tcPr>
            <w:tcW w:w="1100" w:type="dxa"/>
            <w:vAlign w:val="bottom"/>
          </w:tcPr>
          <w:p>
            <w:pPr>
              <w:ind w:left="20"/>
              <w:spacing w:after="0"/>
              <w:rPr>
                <w:sz w:val="20"/>
                <w:szCs w:val="20"/>
                <w:color w:val="auto"/>
              </w:rPr>
            </w:pPr>
            <w:r>
              <w:rPr>
                <w:rFonts w:ascii="Arial" w:cs="Arial" w:eastAsia="Arial" w:hAnsi="Arial"/>
                <w:sz w:val="15"/>
                <w:szCs w:val="15"/>
                <w:color w:val="auto"/>
              </w:rPr>
              <w:t>interests</w:t>
            </w:r>
          </w:p>
        </w:tc>
        <w:tc>
          <w:tcPr>
            <w:tcW w:w="82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Paid-in-kind</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preferred</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vMerge w:val="restart"/>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vMerge w:val="restart"/>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vMerge w:val="restart"/>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2"/>
                <w:szCs w:val="12"/>
                <w:color w:val="auto"/>
              </w:rPr>
            </w:pP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2,763</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(2,318)</w:t>
            </w: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w:t>
            </w: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w w:val="99"/>
              </w:rPr>
              <w:t>March 31, 2023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29,330,115</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144,399,037</w:t>
            </w:r>
          </w:p>
        </w:tc>
        <w:tc>
          <w:tcPr>
            <w:tcW w:w="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(807,895)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w:t>
            </w:r>
          </w:p>
        </w:tc>
        <w:tc>
          <w:tcPr>
            <w:tcW w:w="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27,969</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(1,635,783)</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9"/>
              </w:rPr>
              <w:t>(11,614)</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(791,386)</w:t>
            </w: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140,905</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1,013,835</w:t>
            </w: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ind w:left="20"/>
              <w:spacing w:after="0" w:line="135" w:lineRule="exact"/>
              <w:rPr>
                <w:sz w:val="20"/>
                <w:szCs w:val="20"/>
                <w:color w:val="auto"/>
              </w:rPr>
            </w:pPr>
            <w:r>
              <w:rPr>
                <w:rFonts w:ascii="Arial" w:cs="Arial" w:eastAsia="Arial" w:hAnsi="Arial"/>
                <w:sz w:val="15"/>
                <w:szCs w:val="15"/>
                <w:color w:val="auto"/>
              </w:rPr>
              <w:t>Net income</w:t>
            </w: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18,382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18,199</w:t>
            </w:r>
          </w:p>
        </w:tc>
        <w:tc>
          <w:tcPr>
            <w:tcW w:w="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95,851</w:t>
            </w: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w:t>
            </w:r>
          </w:p>
        </w:tc>
        <w:tc>
          <w:tcPr>
            <w:tcW w:w="82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ind w:left="20"/>
              <w:spacing w:after="0" w:line="152" w:lineRule="exact"/>
              <w:rPr>
                <w:sz w:val="20"/>
                <w:szCs w:val="20"/>
                <w:color w:val="auto"/>
              </w:rPr>
            </w:pPr>
            <w:r>
              <w:rPr>
                <w:rFonts w:ascii="Arial" w:cs="Arial" w:eastAsia="Arial" w:hAnsi="Arial"/>
                <w:sz w:val="15"/>
                <w:szCs w:val="15"/>
                <w:color w:val="auto"/>
              </w:rPr>
              <w:t>Other</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rPr>
              <w:t>comprehensive</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(133)</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(133)</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(690)</w:t>
            </w:r>
          </w:p>
        </w:tc>
        <w:tc>
          <w:tcPr>
            <w:tcW w:w="0" w:type="dxa"/>
            <w:vAlign w:val="bottom"/>
          </w:tcPr>
          <w:p>
            <w:pPr>
              <w:spacing w:after="0"/>
              <w:rPr>
                <w:sz w:val="1"/>
                <w:szCs w:val="1"/>
                <w:color w:val="auto"/>
              </w:rPr>
            </w:pPr>
          </w:p>
        </w:tc>
      </w:tr>
      <w:tr>
        <w:trPr>
          <w:trHeight w:val="190"/>
        </w:trPr>
        <w:tc>
          <w:tcPr>
            <w:tcW w:w="1100" w:type="dxa"/>
            <w:vAlign w:val="bottom"/>
          </w:tcPr>
          <w:p>
            <w:pPr>
              <w:ind w:left="20"/>
              <w:spacing w:after="0"/>
              <w:rPr>
                <w:sz w:val="20"/>
                <w:szCs w:val="20"/>
                <w:color w:val="auto"/>
              </w:rPr>
            </w:pPr>
            <w:r>
              <w:rPr>
                <w:rFonts w:ascii="Arial" w:cs="Arial" w:eastAsia="Arial" w:hAnsi="Arial"/>
                <w:sz w:val="15"/>
                <w:szCs w:val="15"/>
                <w:color w:val="auto"/>
              </w:rPr>
              <w:t>loss</w:t>
            </w:r>
          </w:p>
        </w:tc>
        <w:tc>
          <w:tcPr>
            <w:tcW w:w="82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Proceeds from</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w w:val="97"/>
              </w:rPr>
              <w:t>non-redeemable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non-controlling</w:t>
            </w: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1,234</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8,001</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9,235</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w:t>
            </w:r>
          </w:p>
        </w:tc>
        <w:tc>
          <w:tcPr>
            <w:tcW w:w="82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ind w:left="20"/>
              <w:spacing w:after="0" w:line="152" w:lineRule="exact"/>
              <w:rPr>
                <w:sz w:val="20"/>
                <w:szCs w:val="20"/>
                <w:color w:val="auto"/>
              </w:rPr>
            </w:pPr>
            <w:r>
              <w:rPr>
                <w:rFonts w:ascii="Arial" w:cs="Arial" w:eastAsia="Arial" w:hAnsi="Arial"/>
                <w:sz w:val="15"/>
                <w:szCs w:val="15"/>
                <w:color w:val="auto"/>
                <w:w w:val="99"/>
              </w:rPr>
              <w:t>Deconsolidation</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(1,383)</w:t>
            </w: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(34,662)</w:t>
            </w:r>
          </w:p>
        </w:tc>
        <w:tc>
          <w:tcPr>
            <w:tcW w:w="80" w:type="dxa"/>
            <w:vAlign w:val="bottom"/>
          </w:tcPr>
          <w:p>
            <w:pPr>
              <w:spacing w:after="0"/>
              <w:rPr>
                <w:sz w:val="13"/>
                <w:szCs w:val="13"/>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(36,045)</w:t>
            </w:r>
          </w:p>
        </w:tc>
        <w:tc>
          <w:tcPr>
            <w:tcW w:w="6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100" w:type="dxa"/>
            <w:vAlign w:val="bottom"/>
          </w:tcPr>
          <w:p>
            <w:pPr>
              <w:ind w:left="20"/>
              <w:spacing w:after="0" w:line="193" w:lineRule="exact"/>
              <w:rPr>
                <w:sz w:val="20"/>
                <w:szCs w:val="20"/>
                <w:color w:val="auto"/>
              </w:rPr>
            </w:pPr>
            <w:r>
              <w:rPr>
                <w:rFonts w:ascii="Arial" w:cs="Arial" w:eastAsia="Arial" w:hAnsi="Arial"/>
                <w:sz w:val="15"/>
                <w:szCs w:val="15"/>
                <w:color w:val="auto"/>
              </w:rPr>
              <w:t xml:space="preserve">of entities </w:t>
            </w:r>
            <w:r>
              <w:rPr>
                <w:rFonts w:ascii="Arial" w:cs="Arial" w:eastAsia="Arial" w:hAnsi="Arial"/>
                <w:sz w:val="19"/>
                <w:szCs w:val="19"/>
                <w:color w:val="auto"/>
                <w:vertAlign w:val="superscript"/>
              </w:rPr>
              <w:t>(1)</w:t>
            </w:r>
          </w:p>
        </w:tc>
        <w:tc>
          <w:tcPr>
            <w:tcW w:w="82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Distributions to</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w w:val="97"/>
              </w:rPr>
              <w:t>non-redeemable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non-controlling</w:t>
            </w: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82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ind w:left="20"/>
              <w:spacing w:after="0" w:line="152" w:lineRule="exact"/>
              <w:rPr>
                <w:sz w:val="20"/>
                <w:szCs w:val="20"/>
                <w:color w:val="auto"/>
              </w:rPr>
            </w:pPr>
            <w:r>
              <w:rPr>
                <w:rFonts w:ascii="Arial" w:cs="Arial" w:eastAsia="Arial" w:hAnsi="Arial"/>
                <w:sz w:val="15"/>
                <w:szCs w:val="15"/>
                <w:color w:val="auto"/>
              </w:rPr>
              <w:t>Stock-based</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301</w:t>
            </w: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5"/>
                <w:szCs w:val="15"/>
                <w:color w:val="auto"/>
              </w:rPr>
              <w:t>301</w:t>
            </w:r>
          </w:p>
        </w:tc>
        <w:tc>
          <w:tcPr>
            <w:tcW w:w="6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1,576</w:t>
            </w:r>
          </w:p>
        </w:tc>
        <w:tc>
          <w:tcPr>
            <w:tcW w:w="0" w:type="dxa"/>
            <w:vAlign w:val="bottom"/>
          </w:tcPr>
          <w:p>
            <w:pPr>
              <w:spacing w:after="0"/>
              <w:rPr>
                <w:sz w:val="1"/>
                <w:szCs w:val="1"/>
                <w:color w:val="auto"/>
              </w:rPr>
            </w:pPr>
          </w:p>
        </w:tc>
      </w:tr>
      <w:tr>
        <w:trPr>
          <w:trHeight w:val="190"/>
        </w:trPr>
        <w:tc>
          <w:tcPr>
            <w:tcW w:w="1100" w:type="dxa"/>
            <w:vAlign w:val="bottom"/>
          </w:tcPr>
          <w:p>
            <w:pPr>
              <w:ind w:left="20"/>
              <w:spacing w:after="0"/>
              <w:rPr>
                <w:sz w:val="20"/>
                <w:szCs w:val="20"/>
                <w:color w:val="auto"/>
              </w:rPr>
            </w:pPr>
            <w:r>
              <w:rPr>
                <w:rFonts w:ascii="Arial" w:cs="Arial" w:eastAsia="Arial" w:hAnsi="Arial"/>
                <w:sz w:val="15"/>
                <w:szCs w:val="15"/>
                <w:color w:val="auto"/>
              </w:rPr>
              <w:t>compensation</w:t>
            </w:r>
          </w:p>
        </w:tc>
        <w:tc>
          <w:tcPr>
            <w:tcW w:w="82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Change in</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redemption</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value of</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Redeemable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non-controlling</w:t>
            </w: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40,059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39,907</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(39,907)</w:t>
            </w: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82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ind w:left="20"/>
              <w:spacing w:after="0" w:line="152" w:lineRule="exact"/>
              <w:rPr>
                <w:sz w:val="20"/>
                <w:szCs w:val="20"/>
                <w:color w:val="auto"/>
              </w:rPr>
            </w:pPr>
            <w:r>
              <w:rPr>
                <w:rFonts w:ascii="Arial" w:cs="Arial" w:eastAsia="Arial" w:hAnsi="Arial"/>
                <w:sz w:val="15"/>
                <w:szCs w:val="15"/>
                <w:color w:val="auto"/>
              </w:rPr>
              <w:t>Paid-in-kind</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20"/>
              <w:spacing w:after="0" w:line="148" w:lineRule="exact"/>
              <w:rPr>
                <w:sz w:val="20"/>
                <w:szCs w:val="20"/>
                <w:color w:val="auto"/>
              </w:rPr>
            </w:pPr>
            <w:r>
              <w:rPr>
                <w:rFonts w:ascii="Arial" w:cs="Arial" w:eastAsia="Arial" w:hAnsi="Arial"/>
                <w:sz w:val="15"/>
                <w:szCs w:val="15"/>
                <w:color w:val="auto"/>
              </w:rPr>
              <w:t>preferred</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0" w:type="dxa"/>
            <w:vAlign w:val="bottom"/>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2"/>
                <w:szCs w:val="12"/>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(458)</w:t>
            </w: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2,849</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(2,391)</w:t>
            </w:r>
          </w:p>
        </w:tc>
        <w:tc>
          <w:tcPr>
            <w:tcW w:w="0" w:type="dxa"/>
            <w:vAlign w:val="bottom"/>
          </w:tcPr>
          <w:p>
            <w:pPr>
              <w:spacing w:after="0"/>
              <w:rPr>
                <w:sz w:val="1"/>
                <w:szCs w:val="1"/>
                <w:color w:val="auto"/>
              </w:rPr>
            </w:pPr>
          </w:p>
        </w:tc>
      </w:tr>
      <w:tr>
        <w:trPr>
          <w:trHeight w:val="190"/>
        </w:trPr>
        <w:tc>
          <w:tcPr>
            <w:tcW w:w="1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dividend</w:t>
            </w:r>
          </w:p>
        </w:tc>
        <w:tc>
          <w:tcPr>
            <w:tcW w:w="7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June 30, 2023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29,330,115</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144,399,037</w:t>
            </w: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(749,912)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800" w:type="dxa"/>
            <w:vAlign w:val="bottom"/>
            <w:tcBorders>
              <w:bottom w:val="single" w:sz="8" w:color="CCEEFF"/>
            </w:tcBorders>
            <w:gridSpan w:val="2"/>
            <w:shd w:val="clear" w:color="auto" w:fill="CCEEFF"/>
          </w:tcPr>
          <w:p>
            <w:pPr>
              <w:jc w:val="center"/>
              <w:ind w:left="6"/>
              <w:spacing w:after="0"/>
              <w:rPr>
                <w:sz w:val="20"/>
                <w:szCs w:val="20"/>
                <w:color w:val="auto"/>
              </w:rPr>
            </w:pPr>
            <w:r>
              <w:rPr>
                <w:rFonts w:ascii="Arial" w:cs="Arial" w:eastAsia="Arial" w:hAnsi="Arial"/>
                <w:sz w:val="15"/>
                <w:szCs w:val="15"/>
                <w:color w:val="auto"/>
                <w:w w:val="88"/>
              </w:rPr>
              <w:t>(1,635,783)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(11,614)</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(760,602)</w:t>
            </w: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143,754</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1,068,274</w:t>
            </w:r>
          </w:p>
        </w:tc>
        <w:tc>
          <w:tcPr>
            <w:tcW w:w="0" w:type="dxa"/>
            <w:vAlign w:val="bottom"/>
          </w:tcPr>
          <w:p>
            <w:pPr>
              <w:spacing w:after="0"/>
              <w:rPr>
                <w:sz w:val="1"/>
                <w:szCs w:val="1"/>
                <w:color w:val="auto"/>
              </w:rPr>
            </w:pPr>
          </w:p>
        </w:tc>
      </w:tr>
      <w:tr>
        <w:trPr>
          <w:trHeight w:val="164"/>
        </w:trPr>
        <w:tc>
          <w:tcPr>
            <w:tcW w:w="1100" w:type="dxa"/>
            <w:vAlign w:val="bottom"/>
            <w:tcBorders>
              <w:top w:val="single" w:sz="8" w:color="CCEEFF"/>
            </w:tcBorders>
          </w:tcPr>
          <w:p>
            <w:pPr>
              <w:ind w:left="20"/>
              <w:spacing w:after="0" w:line="164" w:lineRule="exact"/>
              <w:rPr>
                <w:sz w:val="20"/>
                <w:szCs w:val="20"/>
                <w:color w:val="auto"/>
              </w:rPr>
            </w:pPr>
            <w:r>
              <w:rPr>
                <w:rFonts w:ascii="Arial" w:cs="Arial" w:eastAsia="Arial" w:hAnsi="Arial"/>
                <w:sz w:val="15"/>
                <w:szCs w:val="15"/>
                <w:color w:val="auto"/>
              </w:rPr>
              <w:t>Net income</w:t>
            </w:r>
          </w:p>
        </w:tc>
        <w:tc>
          <w:tcPr>
            <w:tcW w:w="7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48</w:t>
            </w: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(51)</w:t>
            </w:r>
          </w:p>
        </w:tc>
        <w:tc>
          <w:tcPr>
            <w:tcW w:w="8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ind w:left="520"/>
              <w:spacing w:after="0" w:line="164"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tcPr>
          <w:p>
            <w:pPr>
              <w:spacing w:after="0"/>
              <w:rPr>
                <w:sz w:val="14"/>
                <w:szCs w:val="14"/>
                <w:color w:val="auto"/>
              </w:rPr>
            </w:pPr>
          </w:p>
        </w:tc>
        <w:tc>
          <w:tcPr>
            <w:tcW w:w="860" w:type="dxa"/>
            <w:vAlign w:val="bottom"/>
            <w:tcBorders>
              <w:top w:val="single" w:sz="8" w:color="auto"/>
              <w:right w:val="single" w:sz="8" w:color="auto"/>
            </w:tcBorders>
          </w:tcPr>
          <w:p>
            <w:pPr>
              <w:jc w:val="right"/>
              <w:spacing w:after="0" w:line="164" w:lineRule="exact"/>
              <w:rPr>
                <w:sz w:val="20"/>
                <w:szCs w:val="20"/>
                <w:color w:val="auto"/>
              </w:rPr>
            </w:pPr>
            <w:r>
              <w:rPr>
                <w:rFonts w:ascii="Arial" w:cs="Arial" w:eastAsia="Arial" w:hAnsi="Arial"/>
                <w:sz w:val="15"/>
                <w:szCs w:val="15"/>
                <w:color w:val="auto"/>
              </w:rPr>
              <w:t>(3)</w:t>
            </w:r>
          </w:p>
        </w:tc>
        <w:tc>
          <w:tcPr>
            <w:tcW w:w="6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230</w:t>
            </w: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Other</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comprehensive</w:t>
            </w: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66</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w:t>
            </w:r>
          </w:p>
        </w:tc>
        <w:tc>
          <w:tcPr>
            <w:tcW w:w="82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340"/>
          </w:cols>
          <w:pgMar w:left="320" w:top="867" w:right="239" w:bottom="1150" w:gutter="0" w:footer="0" w:header="0"/>
        </w:sectPr>
      </w:pPr>
    </w:p>
    <w:bookmarkStart w:id="10" w:name="page11"/>
    <w:bookmarkEnd w:id="10"/>
    <w:tbl>
      <w:tblPr>
        <w:tblLayout w:type="fixed"/>
        <w:tblInd w:w="121" w:type="dxa"/>
        <w:tblCellMar>
          <w:top w:w="0" w:type="dxa"/>
          <w:left w:w="0" w:type="dxa"/>
          <w:bottom w:w="0" w:type="dxa"/>
          <w:right w:w="0" w:type="dxa"/>
        </w:tblCellMar>
      </w:tblPr>
      <w:tr>
        <w:trPr>
          <w:trHeight w:val="172"/>
        </w:trPr>
        <w:tc>
          <w:tcPr>
            <w:tcW w:w="1520" w:type="dxa"/>
            <w:vAlign w:val="bottom"/>
          </w:tcPr>
          <w:p>
            <w:pPr>
              <w:ind w:left="20"/>
              <w:spacing w:after="0"/>
              <w:rPr>
                <w:sz w:val="20"/>
                <w:szCs w:val="20"/>
                <w:color w:val="auto"/>
              </w:rPr>
            </w:pPr>
            <w:r>
              <w:rPr>
                <w:rFonts w:ascii="Arial" w:cs="Arial" w:eastAsia="Arial" w:hAnsi="Arial"/>
                <w:sz w:val="15"/>
                <w:szCs w:val="15"/>
                <w:color w:val="auto"/>
              </w:rPr>
              <w:t>Distribution of non-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5"/>
                <w:szCs w:val="15"/>
                <w:color w:val="auto"/>
              </w:rPr>
              <w:t>redeemable non-</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vMerge w:val="restart"/>
          </w:tcPr>
          <w:p>
            <w:pPr>
              <w:jc w:val="right"/>
              <w:ind w:right="5"/>
              <w:spacing w:after="0"/>
              <w:rPr>
                <w:sz w:val="20"/>
                <w:szCs w:val="20"/>
                <w:color w:val="auto"/>
              </w:rPr>
            </w:pPr>
            <w:r>
              <w:rPr>
                <w:rFonts w:ascii="Arial" w:cs="Arial" w:eastAsia="Arial" w:hAnsi="Arial"/>
                <w:sz w:val="15"/>
                <w:szCs w:val="15"/>
                <w:color w:val="auto"/>
              </w:rPr>
              <w:t>32</w:t>
            </w:r>
          </w:p>
        </w:tc>
        <w:tc>
          <w:tcPr>
            <w:tcW w:w="60" w:type="dxa"/>
            <w:vAlign w:val="bottom"/>
          </w:tcPr>
          <w:p>
            <w:pPr>
              <w:spacing w:after="0"/>
              <w:rPr>
                <w:sz w:val="12"/>
                <w:szCs w:val="12"/>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(25)</w:t>
            </w:r>
          </w:p>
        </w:tc>
        <w:tc>
          <w:tcPr>
            <w:tcW w:w="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1520" w:type="dxa"/>
            <w:vAlign w:val="bottom"/>
          </w:tcPr>
          <w:p>
            <w:pPr>
              <w:ind w:left="20"/>
              <w:spacing w:after="0"/>
              <w:rPr>
                <w:sz w:val="20"/>
                <w:szCs w:val="20"/>
                <w:color w:val="auto"/>
              </w:rPr>
            </w:pPr>
            <w:r>
              <w:rPr>
                <w:rFonts w:ascii="Arial" w:cs="Arial" w:eastAsia="Arial" w:hAnsi="Arial"/>
                <w:sz w:val="15"/>
                <w:szCs w:val="15"/>
                <w:color w:val="auto"/>
              </w:rPr>
              <w:t>controlling interest</w:t>
            </w:r>
          </w:p>
        </w:tc>
        <w:tc>
          <w:tcPr>
            <w:tcW w:w="90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52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Issuance of Class A</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common shares for</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vesting of equity</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2,218</w:t>
            </w:r>
          </w:p>
        </w:tc>
        <w:tc>
          <w:tcPr>
            <w:tcW w:w="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awards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20" w:type="dxa"/>
            <w:vAlign w:val="bottom"/>
          </w:tcPr>
          <w:p>
            <w:pPr>
              <w:ind w:left="20"/>
              <w:spacing w:after="0" w:line="152" w:lineRule="exact"/>
              <w:rPr>
                <w:sz w:val="20"/>
                <w:szCs w:val="20"/>
                <w:color w:val="auto"/>
              </w:rPr>
            </w:pPr>
            <w:r>
              <w:rPr>
                <w:rFonts w:ascii="Arial" w:cs="Arial" w:eastAsia="Arial" w:hAnsi="Arial"/>
                <w:sz w:val="15"/>
                <w:szCs w:val="15"/>
                <w:color w:val="auto"/>
              </w:rPr>
              <w:t>Contribution to equity</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(500)</w:t>
            </w:r>
          </w:p>
        </w:tc>
        <w:tc>
          <w:tcPr>
            <w:tcW w:w="80" w:type="dxa"/>
            <w:vAlign w:val="bottom"/>
          </w:tcPr>
          <w:p>
            <w:pPr>
              <w:spacing w:after="0"/>
              <w:rPr>
                <w:sz w:val="13"/>
                <w:szCs w:val="13"/>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(500)</w:t>
            </w:r>
          </w:p>
        </w:tc>
        <w:tc>
          <w:tcPr>
            <w:tcW w:w="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1520" w:type="dxa"/>
            <w:vAlign w:val="bottom"/>
          </w:tcPr>
          <w:p>
            <w:pPr>
              <w:ind w:left="20"/>
              <w:spacing w:after="0"/>
              <w:rPr>
                <w:sz w:val="20"/>
                <w:szCs w:val="20"/>
                <w:color w:val="auto"/>
              </w:rPr>
            </w:pPr>
            <w:r>
              <w:rPr>
                <w:rFonts w:ascii="Arial" w:cs="Arial" w:eastAsia="Arial" w:hAnsi="Arial"/>
                <w:sz w:val="15"/>
                <w:szCs w:val="15"/>
                <w:color w:val="auto"/>
              </w:rPr>
              <w:t>method investments</w:t>
            </w:r>
          </w:p>
        </w:tc>
        <w:tc>
          <w:tcPr>
            <w:tcW w:w="90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52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Change in redemption</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value of Redeemable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non-controlling</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(91,105)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(90,834)</w:t>
            </w:r>
          </w:p>
        </w:tc>
        <w:tc>
          <w:tcPr>
            <w:tcW w:w="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90,834</w:t>
            </w:r>
          </w:p>
        </w:tc>
        <w:tc>
          <w:tcPr>
            <w:tcW w:w="0" w:type="dxa"/>
            <w:vAlign w:val="bottom"/>
          </w:tcPr>
          <w:p>
            <w:pPr>
              <w:spacing w:after="0"/>
              <w:rPr>
                <w:sz w:val="1"/>
                <w:szCs w:val="1"/>
                <w:color w:val="auto"/>
              </w:rPr>
            </w:pPr>
          </w:p>
        </w:tc>
      </w:tr>
      <w:tr>
        <w:trPr>
          <w:trHeight w:val="193"/>
        </w:trPr>
        <w:tc>
          <w:tcPr>
            <w:tcW w:w="1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00" w:type="dxa"/>
            <w:vAlign w:val="bottom"/>
            <w:gridSpan w:val="2"/>
            <w:vMerge w:val="continue"/>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20" w:type="dxa"/>
            <w:vAlign w:val="bottom"/>
          </w:tcPr>
          <w:p>
            <w:pPr>
              <w:ind w:left="20"/>
              <w:spacing w:after="0" w:line="152" w:lineRule="exact"/>
              <w:rPr>
                <w:sz w:val="20"/>
                <w:szCs w:val="20"/>
                <w:color w:val="auto"/>
              </w:rPr>
            </w:pPr>
            <w:r>
              <w:rPr>
                <w:rFonts w:ascii="Arial" w:cs="Arial" w:eastAsia="Arial" w:hAnsi="Arial"/>
                <w:sz w:val="15"/>
                <w:szCs w:val="15"/>
                <w:color w:val="auto"/>
              </w:rPr>
              <w:t>Payment of paid-in-</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5"/>
                <w:szCs w:val="15"/>
                <w:color w:val="auto"/>
              </w:rPr>
              <w:t>kind preferred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(16,536)</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1520" w:type="dxa"/>
            <w:vAlign w:val="bottom"/>
          </w:tcPr>
          <w:p>
            <w:pPr>
              <w:ind w:left="20"/>
              <w:spacing w:after="0"/>
              <w:rPr>
                <w:sz w:val="20"/>
                <w:szCs w:val="20"/>
                <w:color w:val="auto"/>
              </w:rPr>
            </w:pPr>
            <w:r>
              <w:rPr>
                <w:rFonts w:ascii="Arial" w:cs="Arial" w:eastAsia="Arial" w:hAnsi="Arial"/>
                <w:sz w:val="15"/>
                <w:szCs w:val="15"/>
                <w:color w:val="auto"/>
              </w:rPr>
              <w:t>dividends</w:t>
            </w:r>
          </w:p>
        </w:tc>
        <w:tc>
          <w:tcPr>
            <w:tcW w:w="90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520" w:type="dxa"/>
            <w:vAlign w:val="bottom"/>
            <w:shd w:val="clear" w:color="auto" w:fill="CCEEFF"/>
          </w:tcPr>
          <w:p>
            <w:pPr>
              <w:ind w:left="20"/>
              <w:spacing w:after="0" w:line="155" w:lineRule="exact"/>
              <w:rPr>
                <w:sz w:val="20"/>
                <w:szCs w:val="20"/>
                <w:color w:val="auto"/>
              </w:rPr>
            </w:pPr>
            <w:r>
              <w:rPr>
                <w:rFonts w:ascii="Arial" w:cs="Arial" w:eastAsia="Arial" w:hAnsi="Arial"/>
                <w:sz w:val="15"/>
                <w:szCs w:val="15"/>
                <w:color w:val="auto"/>
              </w:rPr>
              <w:t>Stock-based</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306</w:t>
            </w:r>
          </w:p>
        </w:tc>
        <w:tc>
          <w:tcPr>
            <w:tcW w:w="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1,593</w:t>
            </w:r>
          </w:p>
        </w:tc>
        <w:tc>
          <w:tcPr>
            <w:tcW w:w="0" w:type="dxa"/>
            <w:vAlign w:val="bottom"/>
          </w:tcPr>
          <w:p>
            <w:pPr>
              <w:spacing w:after="0"/>
              <w:rPr>
                <w:sz w:val="1"/>
                <w:szCs w:val="1"/>
                <w:color w:val="auto"/>
              </w:rPr>
            </w:pPr>
          </w:p>
        </w:tc>
      </w:tr>
      <w:tr>
        <w:trPr>
          <w:trHeight w:val="193"/>
        </w:trPr>
        <w:tc>
          <w:tcPr>
            <w:tcW w:w="1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compensation</w:t>
            </w:r>
          </w:p>
        </w:tc>
        <w:tc>
          <w:tcPr>
            <w:tcW w:w="900" w:type="dxa"/>
            <w:vAlign w:val="bottom"/>
            <w:gridSpan w:val="2"/>
            <w:vMerge w:val="continue"/>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520" w:type="dxa"/>
            <w:vAlign w:val="bottom"/>
          </w:tcPr>
          <w:p>
            <w:pPr>
              <w:ind w:left="40"/>
              <w:spacing w:after="0"/>
              <w:rPr>
                <w:sz w:val="20"/>
                <w:szCs w:val="20"/>
                <w:color w:val="auto"/>
              </w:rPr>
            </w:pPr>
            <w:r>
              <w:rPr>
                <w:rFonts w:ascii="Arial" w:cs="Arial" w:eastAsia="Arial" w:hAnsi="Arial"/>
                <w:sz w:val="15"/>
                <w:szCs w:val="15"/>
                <w:color w:val="auto"/>
              </w:rPr>
              <w:t>Dividends on</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20" w:type="dxa"/>
            <w:vAlign w:val="bottom"/>
          </w:tcPr>
          <w:p>
            <w:pPr>
              <w:ind w:left="200"/>
              <w:spacing w:after="0" w:line="160" w:lineRule="exact"/>
              <w:rPr>
                <w:sz w:val="20"/>
                <w:szCs w:val="20"/>
                <w:color w:val="auto"/>
              </w:rPr>
            </w:pPr>
            <w:r>
              <w:rPr>
                <w:rFonts w:ascii="Arial" w:cs="Arial" w:eastAsia="Arial" w:hAnsi="Arial"/>
                <w:sz w:val="15"/>
                <w:szCs w:val="15"/>
                <w:color w:val="auto"/>
              </w:rPr>
              <w:t>Redeemable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20" w:type="dxa"/>
            <w:vAlign w:val="bottom"/>
          </w:tcPr>
          <w:p>
            <w:pPr>
              <w:ind w:left="200"/>
              <w:spacing w:after="0"/>
              <w:rPr>
                <w:sz w:val="20"/>
                <w:szCs w:val="20"/>
                <w:color w:val="auto"/>
              </w:rPr>
            </w:pPr>
            <w:r>
              <w:rPr>
                <w:rFonts w:ascii="Arial" w:cs="Arial" w:eastAsia="Arial" w:hAnsi="Arial"/>
                <w:sz w:val="15"/>
                <w:szCs w:val="15"/>
                <w:color w:val="auto"/>
              </w:rPr>
              <w:t>preferred non-</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520" w:type="dxa"/>
            <w:vAlign w:val="bottom"/>
          </w:tcPr>
          <w:p>
            <w:pPr>
              <w:ind w:left="200"/>
              <w:spacing w:after="0"/>
              <w:rPr>
                <w:sz w:val="20"/>
                <w:szCs w:val="20"/>
                <w:color w:val="auto"/>
              </w:rPr>
            </w:pPr>
            <w:r>
              <w:rPr>
                <w:rFonts w:ascii="Arial" w:cs="Arial" w:eastAsia="Arial" w:hAnsi="Arial"/>
                <w:sz w:val="15"/>
                <w:szCs w:val="15"/>
                <w:color w:val="auto"/>
              </w:rPr>
              <w:t>controlling interests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7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(448)</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2,782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(2,334)</w:t>
            </w:r>
          </w:p>
        </w:tc>
        <w:tc>
          <w:tcPr>
            <w:tcW w:w="0" w:type="dxa"/>
            <w:vAlign w:val="bottom"/>
          </w:tcPr>
          <w:p>
            <w:pPr>
              <w:spacing w:after="0"/>
              <w:rPr>
                <w:sz w:val="1"/>
                <w:szCs w:val="1"/>
                <w:color w:val="auto"/>
              </w:rPr>
            </w:pPr>
          </w:p>
        </w:tc>
      </w:tr>
      <w:tr>
        <w:trPr>
          <w:trHeight w:val="229"/>
        </w:trPr>
        <w:tc>
          <w:tcPr>
            <w:tcW w:w="1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September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29,332,333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144,399,037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$ 14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(841,417)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$ 884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2"/>
              </w:rPr>
              <w:t>(1,635,783)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u w:val="single" w:color="auto"/>
                <w:color w:val="auto"/>
                <w:w w:val="96"/>
              </w:rPr>
              <w:t>$</w:t>
            </w:r>
            <w:r>
              <w:rPr>
                <w:rFonts w:ascii="Arial" w:cs="Arial" w:eastAsia="Arial" w:hAnsi="Arial"/>
                <w:sz w:val="16"/>
                <w:szCs w:val="16"/>
                <w:color w:val="auto"/>
                <w:w w:val="96"/>
              </w:rPr>
              <w:t>(11,614)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(852,060)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130,000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$1,158,937</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 w:right="160" w:hanging="1"/>
        <w:spacing w:after="0" w:line="295" w:lineRule="auto"/>
        <w:tabs>
          <w:tab w:leader="none" w:pos="15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 of May 30, 2023, two of our RNG facilities, Emerald and Sapphire (defined below) were deconsolidated and accounted for under equity method as per ASC 323. Please see Note 4 Investment in Other entities and Note 12 Variable Interest Entities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207010</wp:posOffset>
            </wp:positionV>
            <wp:extent cx="716978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41"/>
          </w:cols>
          <w:pgMar w:left="319" w:top="883" w:right="439" w:bottom="1440" w:gutter="0" w:footer="0" w:header="0"/>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shd w:val="clear" w:color="auto" w:fill="CCEEFF"/>
          </w:tcPr>
          <w:p>
            <w:pPr>
              <w:spacing w:after="0"/>
              <w:rPr>
                <w:sz w:val="16"/>
                <w:szCs w:val="16"/>
                <w:color w:val="auto"/>
              </w:rPr>
            </w:pPr>
          </w:p>
        </w:tc>
        <w:tc>
          <w:tcPr>
            <w:tcW w:w="156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Class A common</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8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580"/>
              <w:spacing w:after="0"/>
              <w:rPr>
                <w:sz w:val="20"/>
                <w:szCs w:val="20"/>
                <w:color w:val="auto"/>
              </w:rPr>
            </w:pPr>
            <w:r>
              <w:rPr>
                <w:rFonts w:ascii="Arial" w:cs="Arial" w:eastAsia="Arial" w:hAnsi="Arial"/>
                <w:sz w:val="16"/>
                <w:szCs w:val="16"/>
                <w:color w:val="auto"/>
              </w:rPr>
              <w:t>stock</w:t>
            </w:r>
          </w:p>
        </w:tc>
        <w:tc>
          <w:tcPr>
            <w:tcW w:w="16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4"/>
              </w:rPr>
              <w:t>Class D common stock</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98"/>
              <w:spacing w:after="0"/>
              <w:rPr>
                <w:sz w:val="20"/>
                <w:szCs w:val="20"/>
                <w:color w:val="auto"/>
              </w:rPr>
            </w:pPr>
            <w:r>
              <w:rPr>
                <w:rFonts w:ascii="Arial" w:cs="Arial" w:eastAsia="Arial" w:hAnsi="Arial"/>
                <w:sz w:val="16"/>
                <w:szCs w:val="16"/>
                <w:color w:val="auto"/>
              </w:rPr>
              <w:t>Mezzanine Equity</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6"/>
                <w:szCs w:val="16"/>
                <w:color w:val="auto"/>
                <w:w w:val="97"/>
              </w:rPr>
              <w:t>Non-</w:t>
            </w:r>
          </w:p>
        </w:tc>
        <w:tc>
          <w:tcPr>
            <w:tcW w:w="80" w:type="dxa"/>
            <w:vAlign w:val="bottom"/>
          </w:tcPr>
          <w:p>
            <w:pPr>
              <w:spacing w:after="0"/>
              <w:rPr>
                <w:sz w:val="13"/>
                <w:szCs w:val="13"/>
                <w:color w:val="auto"/>
              </w:rPr>
            </w:pPr>
          </w:p>
        </w:tc>
        <w:tc>
          <w:tcPr>
            <w:tcW w:w="940" w:type="dxa"/>
            <w:vAlign w:val="bottom"/>
            <w:tcBorders>
              <w:top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top w:val="single" w:sz="8" w:color="auto"/>
            </w:tcBorders>
            <w:gridSpan w:val="2"/>
          </w:tcPr>
          <w:p>
            <w:pPr>
              <w:jc w:val="center"/>
              <w:ind w:right="80"/>
              <w:spacing w:after="0" w:line="152" w:lineRule="exact"/>
              <w:rPr>
                <w:sz w:val="20"/>
                <w:szCs w:val="20"/>
                <w:color w:val="auto"/>
              </w:rPr>
            </w:pPr>
            <w:r>
              <w:rPr>
                <w:rFonts w:ascii="Arial" w:cs="Arial" w:eastAsia="Arial" w:hAnsi="Arial"/>
                <w:sz w:val="16"/>
                <w:szCs w:val="16"/>
                <w:color w:val="auto"/>
                <w:w w:val="88"/>
              </w:rPr>
              <w:t>Redeemable</w:t>
            </w: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Additional</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94"/>
              </w:rPr>
              <w:t>Other</w:t>
            </w:r>
          </w:p>
        </w:tc>
        <w:tc>
          <w:tcPr>
            <w:tcW w:w="88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89"/>
              </w:rPr>
              <w:t>redeemable</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Total</w:t>
            </w:r>
          </w:p>
        </w:tc>
        <w:tc>
          <w:tcPr>
            <w:tcW w:w="60" w:type="dxa"/>
            <w:vAlign w:val="bottom"/>
          </w:tcPr>
          <w:p>
            <w:pPr>
              <w:spacing w:after="0"/>
              <w:rPr>
                <w:sz w:val="15"/>
                <w:szCs w:val="15"/>
                <w:color w:val="auto"/>
              </w:rPr>
            </w:pPr>
          </w:p>
        </w:tc>
        <w:tc>
          <w:tcPr>
            <w:tcW w:w="92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92"/>
              </w:rPr>
              <w:t>preferred</w:t>
            </w:r>
          </w:p>
        </w:tc>
        <w:tc>
          <w:tcPr>
            <w:tcW w:w="840" w:type="dxa"/>
            <w:vAlign w:val="bottom"/>
          </w:tcPr>
          <w:p>
            <w:pPr>
              <w:jc w:val="center"/>
              <w:spacing w:after="0" w:line="173" w:lineRule="exact"/>
              <w:rPr>
                <w:sz w:val="20"/>
                <w:szCs w:val="20"/>
                <w:color w:val="auto"/>
              </w:rPr>
            </w:pPr>
            <w:r>
              <w:rPr>
                <w:rFonts w:ascii="Arial" w:cs="Arial" w:eastAsia="Arial" w:hAnsi="Arial"/>
                <w:sz w:val="16"/>
                <w:szCs w:val="16"/>
                <w:color w:val="auto"/>
                <w:w w:val="88"/>
              </w:rPr>
              <w:t>Redeemable</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80" w:type="dxa"/>
            <w:vAlign w:val="bottom"/>
            <w:gridSpan w:val="2"/>
          </w:tcPr>
          <w:p>
            <w:pPr>
              <w:jc w:val="center"/>
              <w:ind w:right="60"/>
              <w:spacing w:after="0" w:line="160" w:lineRule="exact"/>
              <w:rPr>
                <w:sz w:val="20"/>
                <w:szCs w:val="20"/>
                <w:color w:val="auto"/>
              </w:rPr>
            </w:pPr>
            <w:r>
              <w:rPr>
                <w:rFonts w:ascii="Arial" w:cs="Arial" w:eastAsia="Arial" w:hAnsi="Arial"/>
                <w:sz w:val="16"/>
                <w:szCs w:val="16"/>
                <w:color w:val="auto"/>
                <w:w w:val="93"/>
              </w:rPr>
              <w:t>non-</w:t>
            </w:r>
          </w:p>
        </w:tc>
        <w:tc>
          <w:tcPr>
            <w:tcW w:w="9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80"/>
              <w:spacing w:after="0" w:line="160" w:lineRule="exact"/>
              <w:rPr>
                <w:sz w:val="20"/>
                <w:szCs w:val="20"/>
                <w:color w:val="auto"/>
              </w:rPr>
            </w:pPr>
            <w:r>
              <w:rPr>
                <w:rFonts w:ascii="Arial" w:cs="Arial" w:eastAsia="Arial" w:hAnsi="Arial"/>
                <w:sz w:val="16"/>
                <w:szCs w:val="16"/>
                <w:color w:val="auto"/>
                <w:w w:val="99"/>
              </w:rPr>
              <w:t>non-</w:t>
            </w:r>
          </w:p>
        </w:tc>
        <w:tc>
          <w:tcPr>
            <w:tcW w:w="840" w:type="dxa"/>
            <w:vAlign w:val="bottom"/>
          </w:tcPr>
          <w:p>
            <w:pPr>
              <w:jc w:val="center"/>
              <w:spacing w:after="0" w:line="160" w:lineRule="exact"/>
              <w:rPr>
                <w:sz w:val="20"/>
                <w:szCs w:val="20"/>
                <w:color w:val="auto"/>
              </w:rPr>
            </w:pPr>
            <w:r>
              <w:rPr>
                <w:rFonts w:ascii="Arial" w:cs="Arial" w:eastAsia="Arial" w:hAnsi="Arial"/>
                <w:sz w:val="16"/>
                <w:szCs w:val="16"/>
                <w:color w:val="auto"/>
                <w:w w:val="93"/>
              </w:rPr>
              <w:t>non-</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6"/>
                <w:szCs w:val="16"/>
                <w:color w:val="auto"/>
              </w:rPr>
              <w:t>Shares</w:t>
            </w:r>
          </w:p>
        </w:tc>
        <w:tc>
          <w:tcPr>
            <w:tcW w:w="660" w:type="dxa"/>
            <w:vAlign w:val="bottom"/>
            <w:gridSpan w:val="2"/>
            <w:vMerge w:val="restart"/>
          </w:tcPr>
          <w:p>
            <w:pPr>
              <w:ind w:left="20"/>
              <w:spacing w:after="0"/>
              <w:rPr>
                <w:sz w:val="20"/>
                <w:szCs w:val="20"/>
                <w:color w:val="auto"/>
              </w:rPr>
            </w:pPr>
            <w:r>
              <w:rPr>
                <w:rFonts w:ascii="Arial" w:cs="Arial" w:eastAsia="Arial" w:hAnsi="Arial"/>
                <w:sz w:val="16"/>
                <w:szCs w:val="16"/>
                <w:color w:val="auto"/>
              </w:rPr>
              <w:t>Amount</w:t>
            </w:r>
          </w:p>
        </w:tc>
        <w:tc>
          <w:tcPr>
            <w:tcW w:w="980" w:type="dxa"/>
            <w:vAlign w:val="bottom"/>
            <w:gridSpan w:val="2"/>
            <w:vMerge w:val="restart"/>
          </w:tcPr>
          <w:p>
            <w:pPr>
              <w:ind w:left="240"/>
              <w:spacing w:after="0"/>
              <w:rPr>
                <w:sz w:val="20"/>
                <w:szCs w:val="20"/>
                <w:color w:val="auto"/>
              </w:rPr>
            </w:pPr>
            <w:r>
              <w:rPr>
                <w:rFonts w:ascii="Arial" w:cs="Arial" w:eastAsia="Arial" w:hAnsi="Arial"/>
                <w:sz w:val="16"/>
                <w:szCs w:val="16"/>
                <w:color w:val="auto"/>
              </w:rPr>
              <w:t>Shares</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97"/>
              </w:rPr>
              <w:t>Amount</w:t>
            </w:r>
          </w:p>
        </w:tc>
        <w:tc>
          <w:tcPr>
            <w:tcW w:w="82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95"/>
              </w:rPr>
              <w:t>paid-in</w:t>
            </w:r>
          </w:p>
        </w:tc>
        <w:tc>
          <w:tcPr>
            <w:tcW w:w="72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w w:val="93"/>
              </w:rPr>
              <w:t>Retained</w:t>
            </w:r>
          </w:p>
        </w:tc>
        <w:tc>
          <w:tcPr>
            <w:tcW w:w="1140" w:type="dxa"/>
            <w:vAlign w:val="bottom"/>
            <w:gridSpan w:val="3"/>
          </w:tcPr>
          <w:p>
            <w:pPr>
              <w:jc w:val="center"/>
              <w:ind w:right="80"/>
              <w:spacing w:after="0" w:line="173" w:lineRule="exact"/>
              <w:rPr>
                <w:sz w:val="20"/>
                <w:szCs w:val="20"/>
                <w:color w:val="auto"/>
              </w:rPr>
            </w:pPr>
            <w:r>
              <w:rPr>
                <w:rFonts w:ascii="Arial" w:cs="Arial" w:eastAsia="Arial" w:hAnsi="Arial"/>
                <w:sz w:val="16"/>
                <w:szCs w:val="16"/>
                <w:color w:val="auto"/>
                <w:w w:val="91"/>
              </w:rPr>
              <w:t>Comprehensive</w:t>
            </w:r>
          </w:p>
        </w:tc>
        <w:tc>
          <w:tcPr>
            <w:tcW w:w="88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98"/>
              </w:rPr>
              <w:t>controlling</w:t>
            </w:r>
          </w:p>
        </w:tc>
        <w:tc>
          <w:tcPr>
            <w:tcW w:w="9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w w:val="92"/>
              </w:rPr>
              <w:t>Stockholders'</w:t>
            </w:r>
          </w:p>
        </w:tc>
        <w:tc>
          <w:tcPr>
            <w:tcW w:w="60" w:type="dxa"/>
            <w:vAlign w:val="bottom"/>
          </w:tcPr>
          <w:p>
            <w:pPr>
              <w:spacing w:after="0"/>
              <w:rPr>
                <w:sz w:val="15"/>
                <w:szCs w:val="15"/>
                <w:color w:val="auto"/>
              </w:rPr>
            </w:pPr>
          </w:p>
        </w:tc>
        <w:tc>
          <w:tcPr>
            <w:tcW w:w="92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98"/>
              </w:rPr>
              <w:t>controlling</w:t>
            </w:r>
          </w:p>
        </w:tc>
        <w:tc>
          <w:tcPr>
            <w:tcW w:w="840" w:type="dxa"/>
            <w:vAlign w:val="bottom"/>
          </w:tcPr>
          <w:p>
            <w:pPr>
              <w:jc w:val="center"/>
              <w:spacing w:after="0" w:line="173" w:lineRule="exact"/>
              <w:rPr>
                <w:sz w:val="20"/>
                <w:szCs w:val="20"/>
                <w:color w:val="auto"/>
              </w:rPr>
            </w:pPr>
            <w:r>
              <w:rPr>
                <w:rFonts w:ascii="Arial" w:cs="Arial" w:eastAsia="Arial" w:hAnsi="Arial"/>
                <w:sz w:val="16"/>
                <w:szCs w:val="16"/>
                <w:color w:val="auto"/>
                <w:w w:val="98"/>
              </w:rPr>
              <w:t>controlling</w:t>
            </w: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5"/>
              </w:rPr>
              <w:t>capital</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earnings</w:t>
            </w:r>
          </w:p>
        </w:tc>
        <w:tc>
          <w:tcPr>
            <w:tcW w:w="2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income</w:t>
            </w:r>
          </w:p>
        </w:tc>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interests</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Equity</w:t>
            </w:r>
          </w:p>
        </w:tc>
        <w:tc>
          <w:tcPr>
            <w:tcW w:w="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interests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interests</w:t>
            </w:r>
          </w:p>
        </w:tc>
        <w:tc>
          <w:tcPr>
            <w:tcW w:w="0" w:type="dxa"/>
            <w:vAlign w:val="bottom"/>
          </w:tcPr>
          <w:p>
            <w:pPr>
              <w:spacing w:after="0"/>
              <w:rPr>
                <w:sz w:val="1"/>
                <w:szCs w:val="1"/>
                <w:color w:val="auto"/>
              </w:rPr>
            </w:pPr>
          </w:p>
        </w:tc>
      </w:tr>
      <w:tr>
        <w:trPr>
          <w:trHeight w:val="141"/>
        </w:trPr>
        <w:tc>
          <w:tcPr>
            <w:tcW w:w="108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6"/>
                <w:szCs w:val="16"/>
                <w:b w:val="1"/>
                <w:bCs w:val="1"/>
                <w:color w:val="auto"/>
                <w:w w:val="99"/>
              </w:rPr>
              <w:t>December 31,</w:t>
            </w: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144,399,037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14</w:t>
            </w: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1,188</w:t>
            </w:r>
          </w:p>
        </w:tc>
        <w:tc>
          <w:tcPr>
            <w:tcW w:w="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4"/>
              </w:rPr>
              <w:t>$1,202</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30,210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63,545</w:t>
            </w: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161"/>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Contributions</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from non-</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redeemable</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non-</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controlling</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5,738</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Amortization</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on payment to</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1" w:lineRule="exact"/>
              <w:rPr>
                <w:sz w:val="20"/>
                <w:szCs w:val="20"/>
                <w:color w:val="auto"/>
              </w:rPr>
            </w:pPr>
            <w:r>
              <w:rPr>
                <w:rFonts w:ascii="Arial" w:cs="Arial" w:eastAsia="Arial" w:hAnsi="Arial"/>
                <w:sz w:val="16"/>
                <w:szCs w:val="16"/>
                <w:color w:val="auto"/>
              </w:rPr>
              <w:t>acquire non-</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redeemable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noncontrolling</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6"/>
                <w:szCs w:val="16"/>
                <w:color w:val="auto"/>
              </w:rPr>
              <w:t>interest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61"/>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Contributions</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from</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redeemable</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preferred non-</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controlling</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Paid-in-kind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preferred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6"/>
                <w:szCs w:val="16"/>
                <w:color w:val="auto"/>
              </w:rPr>
              <w:t>dividend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717</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161"/>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Stock-based</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line="140" w:lineRule="exact"/>
              <w:rPr>
                <w:sz w:val="20"/>
                <w:szCs w:val="20"/>
                <w:color w:val="auto"/>
              </w:rPr>
            </w:pPr>
            <w:r>
              <w:rPr>
                <w:rFonts w:ascii="Arial" w:cs="Arial" w:eastAsia="Arial" w:hAnsi="Arial"/>
                <w:sz w:val="16"/>
                <w:szCs w:val="16"/>
                <w:b w:val="1"/>
                <w:bCs w:val="1"/>
                <w:color w:val="auto"/>
              </w:rPr>
              <w:t>March 31,</w:t>
            </w: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08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144,399,037</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6,684</w:t>
            </w:r>
          </w:p>
        </w:tc>
        <w:tc>
          <w:tcPr>
            <w:tcW w:w="80" w:type="dxa"/>
            <w:vAlign w:val="bottom"/>
          </w:tcPr>
          <w:p>
            <w:pPr>
              <w:spacing w:after="0"/>
              <w:rPr>
                <w:sz w:val="19"/>
                <w:szCs w:val="19"/>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6,698</w:t>
            </w: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55,927</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58,310</w:t>
            </w:r>
          </w:p>
        </w:tc>
        <w:tc>
          <w:tcPr>
            <w:tcW w:w="0" w:type="dxa"/>
            <w:vAlign w:val="bottom"/>
          </w:tcPr>
          <w:p>
            <w:pPr>
              <w:spacing w:after="0"/>
              <w:rPr>
                <w:sz w:val="1"/>
                <w:szCs w:val="1"/>
                <w:color w:val="auto"/>
              </w:rPr>
            </w:pPr>
          </w:p>
        </w:tc>
      </w:tr>
      <w:tr>
        <w:trPr>
          <w:trHeight w:val="202"/>
        </w:trPr>
        <w:tc>
          <w:tcPr>
            <w:tcW w:w="1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Contributions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from non-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1" w:lineRule="exact"/>
              <w:rPr>
                <w:sz w:val="20"/>
                <w:szCs w:val="20"/>
                <w:color w:val="auto"/>
              </w:rPr>
            </w:pPr>
            <w:r>
              <w:rPr>
                <w:rFonts w:ascii="Arial" w:cs="Arial" w:eastAsia="Arial" w:hAnsi="Arial"/>
                <w:sz w:val="16"/>
                <w:szCs w:val="16"/>
                <w:color w:val="auto"/>
              </w:rPr>
              <w:t>redeemable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non-</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controlling</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6"/>
                <w:szCs w:val="16"/>
                <w:color w:val="auto"/>
              </w:rPr>
              <w:t>interest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11,211</w:t>
            </w:r>
          </w:p>
        </w:tc>
        <w:tc>
          <w:tcPr>
            <w:tcW w:w="80" w:type="dxa"/>
            <w:vAlign w:val="bottom"/>
          </w:tcPr>
          <w:p>
            <w:pPr>
              <w:spacing w:after="0"/>
              <w:rPr>
                <w:sz w:val="18"/>
                <w:szCs w:val="18"/>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11,211</w:t>
            </w:r>
          </w:p>
        </w:tc>
        <w:tc>
          <w:tcPr>
            <w:tcW w:w="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1"/>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Amortization</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on payment to</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acquire non-</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redeemable</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noncontrolling</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Contributions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from</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1" w:lineRule="exact"/>
              <w:rPr>
                <w:sz w:val="20"/>
                <w:szCs w:val="20"/>
                <w:color w:val="auto"/>
              </w:rPr>
            </w:pPr>
            <w:r>
              <w:rPr>
                <w:rFonts w:ascii="Arial" w:cs="Arial" w:eastAsia="Arial" w:hAnsi="Arial"/>
                <w:sz w:val="16"/>
                <w:szCs w:val="16"/>
                <w:color w:val="auto"/>
              </w:rPr>
              <w:t>redeemable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preferred non-</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controlling</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6"/>
                <w:szCs w:val="16"/>
                <w:color w:val="auto"/>
              </w:rPr>
              <w:t>interests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Paid-in-kind</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preferred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Stock-based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0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2"/>
        </w:trPr>
        <w:tc>
          <w:tcPr>
            <w:tcW w:w="1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9"/>
              </w:rPr>
              <w:t>June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144,399,037</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17,638</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17,652</w:t>
            </w: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132,645</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56,622</w:t>
            </w:r>
          </w:p>
        </w:tc>
        <w:tc>
          <w:tcPr>
            <w:tcW w:w="0" w:type="dxa"/>
            <w:vAlign w:val="bottom"/>
          </w:tcPr>
          <w:p>
            <w:pPr>
              <w:spacing w:after="0"/>
              <w:rPr>
                <w:sz w:val="1"/>
                <w:szCs w:val="1"/>
                <w:color w:val="auto"/>
              </w:rPr>
            </w:pPr>
          </w:p>
        </w:tc>
      </w:tr>
      <w:tr>
        <w:trPr>
          <w:trHeight w:val="201"/>
        </w:trPr>
        <w:tc>
          <w:tcPr>
            <w:tcW w:w="108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7"/>
                <w:szCs w:val="17"/>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(1,140)</w:t>
            </w: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6,509</w:t>
            </w:r>
          </w:p>
        </w:tc>
        <w:tc>
          <w:tcPr>
            <w:tcW w:w="0" w:type="dxa"/>
            <w:vAlign w:val="bottom"/>
          </w:tcPr>
          <w:p>
            <w:pPr>
              <w:spacing w:after="0"/>
              <w:rPr>
                <w:sz w:val="1"/>
                <w:szCs w:val="1"/>
                <w:color w:val="auto"/>
              </w:rPr>
            </w:pPr>
          </w:p>
        </w:tc>
      </w:tr>
      <w:tr>
        <w:trPr>
          <w:trHeight w:val="161"/>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Unrealized</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gain cash flow</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hedges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178</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Issuance of</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common stock</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1" w:lineRule="exact"/>
              <w:rPr>
                <w:sz w:val="20"/>
                <w:szCs w:val="20"/>
                <w:color w:val="auto"/>
              </w:rPr>
            </w:pPr>
            <w:r>
              <w:rPr>
                <w:rFonts w:ascii="Arial" w:cs="Arial" w:eastAsia="Arial" w:hAnsi="Arial"/>
                <w:sz w:val="16"/>
                <w:szCs w:val="16"/>
                <w:color w:val="auto"/>
              </w:rPr>
              <w:t>from the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reverse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capitalization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1" w:lineRule="exact"/>
              <w:rPr>
                <w:sz w:val="20"/>
                <w:szCs w:val="20"/>
                <w:color w:val="auto"/>
              </w:rPr>
            </w:pPr>
            <w:r>
              <w:rPr>
                <w:rFonts w:ascii="Arial" w:cs="Arial" w:eastAsia="Arial" w:hAnsi="Arial"/>
                <w:sz w:val="16"/>
                <w:szCs w:val="16"/>
                <w:color w:val="auto"/>
              </w:rPr>
              <w:t>and PIPE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investments,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net of warrant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1" w:lineRule="exact"/>
              <w:rPr>
                <w:sz w:val="20"/>
                <w:szCs w:val="20"/>
                <w:color w:val="auto"/>
              </w:rPr>
            </w:pPr>
            <w:r>
              <w:rPr>
                <w:rFonts w:ascii="Arial" w:cs="Arial" w:eastAsia="Arial" w:hAnsi="Arial"/>
                <w:sz w:val="16"/>
                <w:szCs w:val="16"/>
                <w:color w:val="auto"/>
              </w:rPr>
              <w:t>liability, put</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option and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earnout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22,611,857</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68,255</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68,257</w:t>
            </w:r>
          </w:p>
        </w:tc>
        <w:tc>
          <w:tcPr>
            <w:tcW w:w="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Conversion of</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Convertible</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Note Payable</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to shares of</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Class A</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30,595</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w w:val="99"/>
              </w:rPr>
              <w:t>Proceeds from</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non-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1" w:lineRule="exact"/>
              <w:rPr>
                <w:sz w:val="20"/>
                <w:szCs w:val="20"/>
                <w:color w:val="auto"/>
              </w:rPr>
            </w:pPr>
            <w:r>
              <w:rPr>
                <w:rFonts w:ascii="Arial" w:cs="Arial" w:eastAsia="Arial" w:hAnsi="Arial"/>
                <w:sz w:val="16"/>
                <w:szCs w:val="16"/>
                <w:color w:val="auto"/>
              </w:rPr>
              <w:t>redeemable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line="160" w:lineRule="exact"/>
              <w:rPr>
                <w:sz w:val="20"/>
                <w:szCs w:val="20"/>
                <w:color w:val="auto"/>
              </w:rPr>
            </w:pPr>
            <w:r>
              <w:rPr>
                <w:rFonts w:ascii="Arial" w:cs="Arial" w:eastAsia="Arial" w:hAnsi="Arial"/>
                <w:sz w:val="16"/>
                <w:szCs w:val="16"/>
                <w:color w:val="auto"/>
              </w:rPr>
              <w:t>non-</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6"/>
                <w:szCs w:val="16"/>
                <w:color w:val="auto"/>
              </w:rPr>
              <w:t>controlling</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6"/>
                <w:szCs w:val="16"/>
                <w:color w:val="auto"/>
              </w:rPr>
              <w:t>interests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(3,158)</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9,361</w:t>
            </w:r>
          </w:p>
        </w:tc>
        <w:tc>
          <w:tcPr>
            <w:tcW w:w="80" w:type="dxa"/>
            <w:vAlign w:val="bottom"/>
          </w:tcPr>
          <w:p>
            <w:pPr>
              <w:spacing w:after="0"/>
              <w:rPr>
                <w:sz w:val="18"/>
                <w:szCs w:val="18"/>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6,203</w:t>
            </w:r>
          </w:p>
        </w:tc>
        <w:tc>
          <w:tcPr>
            <w:tcW w:w="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10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Stock-based</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03" w:orient="portrait"/>
          <w:cols w:equalWidth="0" w:num="1">
            <w:col w:w="10600"/>
          </w:cols>
          <w:pgMar w:left="640" w:top="140" w:right="65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903" w:orient="portrait"/>
          <w:cols w:equalWidth="0" w:num="1">
            <w:col w:w="10600"/>
          </w:cols>
          <w:pgMar w:left="640" w:top="140" w:right="659" w:bottom="0" w:gutter="0" w:footer="0" w:header="0"/>
          <w:type w:val="continuous"/>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302895</wp:posOffset>
            </wp:positionV>
            <wp:extent cx="716978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1620" w:type="dxa"/>
            <w:vAlign w:val="bottom"/>
          </w:tcPr>
          <w:p>
            <w:pPr>
              <w:ind w:left="20"/>
              <w:spacing w:after="0"/>
              <w:rPr>
                <w:sz w:val="20"/>
                <w:szCs w:val="20"/>
                <w:color w:val="auto"/>
              </w:rPr>
            </w:pPr>
            <w:r>
              <w:rPr>
                <w:rFonts w:ascii="Arial" w:cs="Arial" w:eastAsia="Arial" w:hAnsi="Arial"/>
                <w:sz w:val="16"/>
                <w:szCs w:val="16"/>
                <w:color w:val="auto"/>
              </w:rPr>
              <w:t>Change in redemption</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20"/>
              <w:spacing w:after="0" w:line="161" w:lineRule="exact"/>
              <w:rPr>
                <w:sz w:val="20"/>
                <w:szCs w:val="20"/>
                <w:color w:val="auto"/>
              </w:rPr>
            </w:pPr>
            <w:r>
              <w:rPr>
                <w:rFonts w:ascii="Arial" w:cs="Arial" w:eastAsia="Arial" w:hAnsi="Arial"/>
                <w:sz w:val="16"/>
                <w:szCs w:val="16"/>
                <w:color w:val="auto"/>
              </w:rPr>
              <w:t>value of Redeemable</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20"/>
              <w:spacing w:after="0" w:line="160" w:lineRule="exact"/>
              <w:rPr>
                <w:sz w:val="20"/>
                <w:szCs w:val="20"/>
                <w:color w:val="auto"/>
              </w:rPr>
            </w:pPr>
            <w:r>
              <w:rPr>
                <w:rFonts w:ascii="Arial" w:cs="Arial" w:eastAsia="Arial" w:hAnsi="Arial"/>
                <w:sz w:val="16"/>
                <w:szCs w:val="16"/>
                <w:color w:val="auto"/>
              </w:rPr>
              <w:t>non-controlling</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6"/>
                <w:szCs w:val="16"/>
                <w:color w:val="auto"/>
              </w:rPr>
              <w:t>(95,711)</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(1,065,012)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(1,160,723)</w:t>
            </w:r>
          </w:p>
        </w:tc>
        <w:tc>
          <w:tcPr>
            <w:tcW w:w="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89"/>
              </w:rPr>
              <w:t>1,160,723</w:t>
            </w: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62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rPr>
              <w:t>Paid-in-kind preferred</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0" w:type="dxa"/>
            <w:vAlign w:val="bottom"/>
          </w:tcPr>
          <w:p>
            <w:pPr>
              <w:spacing w:after="0"/>
              <w:rPr>
                <w:sz w:val="1"/>
                <w:szCs w:val="1"/>
                <w:color w:val="auto"/>
              </w:rPr>
            </w:pPr>
          </w:p>
        </w:tc>
      </w:tr>
      <w:tr>
        <w:trPr>
          <w:trHeight w:val="202"/>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September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25,671,390</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144,399,037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4"/>
              </w:rPr>
              <w:t>$</w:t>
            </w:r>
            <w:r>
              <w:rPr>
                <w:rFonts w:ascii="Arial" w:cs="Arial" w:eastAsia="Arial" w:hAnsi="Arial"/>
                <w:sz w:val="16"/>
                <w:szCs w:val="16"/>
                <w:color w:val="auto"/>
                <w:w w:val="94"/>
              </w:rPr>
              <w:t>(1,066,137)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$ 26,674</w:t>
            </w:r>
          </w:p>
        </w:tc>
        <w:tc>
          <w:tcPr>
            <w:tcW w:w="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4"/>
              </w:rPr>
              <w:t>$</w:t>
            </w:r>
            <w:r>
              <w:rPr>
                <w:rFonts w:ascii="Arial" w:cs="Arial" w:eastAsia="Arial" w:hAnsi="Arial"/>
                <w:sz w:val="16"/>
                <w:szCs w:val="16"/>
                <w:color w:val="auto"/>
                <w:w w:val="94"/>
              </w:rPr>
              <w:t>(1,039,269)</w:t>
            </w:r>
          </w:p>
        </w:tc>
        <w:tc>
          <w:tcPr>
            <w:tcW w:w="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135,303</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1,222,657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199390</wp:posOffset>
            </wp:positionV>
            <wp:extent cx="716978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340"/>
          </w:cols>
          <w:pgMar w:left="780" w:top="1052" w:right="77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OPAL FUELS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U.S. dollars)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 w:lineRule="exact"/>
        <w:rPr>
          <w:sz w:val="20"/>
          <w:szCs w:val="20"/>
          <w:color w:val="auto"/>
        </w:rPr>
      </w:pPr>
    </w:p>
    <w:p>
      <w:pPr>
        <w:jc w:val="center"/>
        <w:ind w:left="8140"/>
        <w:spacing w:after="0"/>
        <w:rPr>
          <w:sz w:val="20"/>
          <w:szCs w:val="20"/>
          <w:color w:val="auto"/>
        </w:rPr>
      </w:pPr>
      <w:r>
        <w:rPr>
          <w:rFonts w:ascii="Arial" w:cs="Arial" w:eastAsia="Arial" w:hAnsi="Arial"/>
          <w:sz w:val="15"/>
          <w:szCs w:val="15"/>
          <w:b w:val="1"/>
          <w:bCs w:val="1"/>
          <w:color w:val="auto"/>
        </w:rPr>
        <w:t>Nine Months Ended</w:t>
      </w:r>
    </w:p>
    <w:p>
      <w:pPr>
        <w:jc w:val="center"/>
        <w:ind w:left="8140"/>
        <w:spacing w:after="0"/>
        <w:rPr>
          <w:sz w:val="20"/>
          <w:szCs w:val="20"/>
          <w:color w:val="auto"/>
        </w:rPr>
      </w:pPr>
      <w:r>
        <w:rPr>
          <w:rFonts w:ascii="Arial" w:cs="Arial" w:eastAsia="Arial" w:hAnsi="Arial"/>
          <w:sz w:val="15"/>
          <w:szCs w:val="15"/>
          <w:b w:val="1"/>
          <w:bCs w:val="1"/>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2022</w:t>
            </w:r>
          </w:p>
        </w:tc>
      </w:tr>
      <w:tr>
        <w:trPr>
          <w:trHeight w:val="28"/>
        </w:trPr>
        <w:tc>
          <w:tcPr>
            <w:tcW w:w="54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6"/>
        </w:trPr>
        <w:tc>
          <w:tcPr>
            <w:tcW w:w="546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92"/>
        </w:trPr>
        <w:tc>
          <w:tcPr>
            <w:tcW w:w="546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106,931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560</w:t>
            </w:r>
          </w:p>
        </w:tc>
      </w:tr>
      <w:tr>
        <w:trPr>
          <w:trHeight w:val="192"/>
        </w:trPr>
        <w:tc>
          <w:tcPr>
            <w:tcW w:w="5460" w:type="dxa"/>
            <w:vAlign w:val="bottom"/>
          </w:tcPr>
          <w:p>
            <w:pPr>
              <w:ind w:left="20"/>
              <w:spacing w:after="0"/>
              <w:rPr>
                <w:sz w:val="20"/>
                <w:szCs w:val="20"/>
                <w:color w:val="auto"/>
              </w:rPr>
            </w:pPr>
            <w:r>
              <w:rPr>
                <w:rFonts w:ascii="Arial" w:cs="Arial" w:eastAsia="Arial" w:hAnsi="Arial"/>
                <w:sz w:val="15"/>
                <w:szCs w:val="15"/>
                <w:color w:val="auto"/>
                <w:w w:val="91"/>
              </w:rPr>
              <w:t>Adjustments to reconcile net income to net cash provided by (used in) operating activities:</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Income from equity method investments</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(3,658)</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Provision for bad debts</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492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Amortization of operating right-of-use assets</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518</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10,627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9,866</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Amortization of deferred financing costs</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1,447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1,514</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Loss on debt extinguishment</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Loss on warrant exchange</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Gain on deconsolidation of VIEs</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(122,873)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Gain on extinguishment of contingent liability</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(4,365)</w:t>
            </w:r>
          </w:p>
        </w:tc>
      </w:tr>
      <w:tr>
        <w:trPr>
          <w:trHeight w:val="221"/>
        </w:trPr>
        <w:tc>
          <w:tcPr>
            <w:tcW w:w="5460" w:type="dxa"/>
            <w:vAlign w:val="bottom"/>
          </w:tcPr>
          <w:p>
            <w:pPr>
              <w:ind w:left="140"/>
              <w:spacing w:after="0"/>
              <w:rPr>
                <w:sz w:val="20"/>
                <w:szCs w:val="20"/>
                <w:color w:val="auto"/>
              </w:rPr>
            </w:pPr>
            <w:r>
              <w:rPr>
                <w:rFonts w:ascii="Arial" w:cs="Arial" w:eastAsia="Arial" w:hAnsi="Arial"/>
                <w:sz w:val="15"/>
                <w:szCs w:val="15"/>
                <w:color w:val="auto"/>
              </w:rPr>
              <w:t>Gain on repayment of Note receivable</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(1,943)</w:t>
            </w: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Accretion expense related to asset retirement obligation</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4,747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479</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Paid-in-kind interest income</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(209)</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Change in fair value of Convertible Note Payable</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1,579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(151)</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Unrealized gain on derivative financial instruments</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(4,739)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1,677</w:t>
            </w:r>
          </w:p>
        </w:tc>
      </w:tr>
      <w:tr>
        <w:trPr>
          <w:trHeight w:val="192"/>
        </w:trPr>
        <w:tc>
          <w:tcPr>
            <w:tcW w:w="5460" w:type="dxa"/>
            <w:vAlign w:val="bottom"/>
          </w:tcPr>
          <w:p>
            <w:pPr>
              <w:ind w:left="20"/>
              <w:spacing w:after="0"/>
              <w:rPr>
                <w:sz w:val="20"/>
                <w:szCs w:val="20"/>
                <w:color w:val="auto"/>
              </w:rPr>
            </w:pPr>
            <w:r>
              <w:rPr>
                <w:rFonts w:ascii="Arial" w:cs="Arial" w:eastAsia="Arial" w:hAnsi="Arial"/>
                <w:sz w:val="15"/>
                <w:szCs w:val="15"/>
                <w:color w:val="auto"/>
              </w:rPr>
              <w:t>Changes in operating assets and liabilities, net of effects of businesses acquired:</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receivable</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(11,269)</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Accounts receivable, related party</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12,421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Proceeds received on previously recorded paid-in-kind interest income</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Fuel tax credits receivable</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(1,049)</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Capital spares</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(308)</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Parts inventory</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(4,586)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(3,520)</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Environmental credits held for sale</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(2,665)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(838)</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Prepaid expense and other current assets</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(996)</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Contract assets</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(4,633)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(6,189)</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(6,734)</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payable, related party</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323</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Fuel tax credits payable</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690</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payroll</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(2,386)</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Accrued expenses</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4,195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8,561</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Operating lease liabilities - current and non-current</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(518)</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Other current and non-current liabilities</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453</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Contract liabilities</w:t>
            </w:r>
          </w:p>
        </w:tc>
        <w:tc>
          <w:tcPr>
            <w:tcW w:w="27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(3,035)</w:t>
            </w:r>
          </w:p>
        </w:tc>
      </w:tr>
      <w:tr>
        <w:trPr>
          <w:trHeight w:val="184"/>
        </w:trPr>
        <w:tc>
          <w:tcPr>
            <w:tcW w:w="5460" w:type="dxa"/>
            <w:vAlign w:val="bottom"/>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27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4,827</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(22,004)</w:t>
            </w:r>
          </w:p>
        </w:tc>
      </w:tr>
      <w:tr>
        <w:trPr>
          <w:trHeight w:val="30"/>
        </w:trPr>
        <w:tc>
          <w:tcPr>
            <w:tcW w:w="54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2"/>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7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Purchase of property, plant, and equipment</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(92,250)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(85,234)</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Proceeds (purchase ) of short term investments</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46,948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(146,936)</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Cash paid for Investment in other entities</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Proceeds received from repayment Note Receivable</w:t>
            </w:r>
          </w:p>
        </w:tc>
        <w:tc>
          <w:tcPr>
            <w:tcW w:w="2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10,855</w:t>
            </w: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Deconsolidation of VIEs, net of cash</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(11,947)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5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2"/>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Distributions received from equity method investment</w:t>
            </w:r>
          </w:p>
        </w:tc>
        <w:tc>
          <w:tcPr>
            <w:tcW w:w="27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13,331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2,100</w:t>
            </w:r>
          </w:p>
        </w:tc>
      </w:tr>
      <w:tr>
        <w:trPr>
          <w:trHeight w:val="184"/>
        </w:trPr>
        <w:tc>
          <w:tcPr>
            <w:tcW w:w="54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27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(44,918)</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(219,215)</w:t>
            </w:r>
          </w:p>
        </w:tc>
      </w:tr>
      <w:tr>
        <w:trPr>
          <w:trHeight w:val="30"/>
        </w:trPr>
        <w:tc>
          <w:tcPr>
            <w:tcW w:w="54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2"/>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7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2"/>
        </w:trPr>
        <w:tc>
          <w:tcPr>
            <w:tcW w:w="5460" w:type="dxa"/>
            <w:vAlign w:val="bottom"/>
          </w:tcPr>
          <w:p>
            <w:pPr>
              <w:ind w:left="140"/>
              <w:spacing w:after="0"/>
              <w:rPr>
                <w:sz w:val="20"/>
                <w:szCs w:val="20"/>
                <w:color w:val="auto"/>
              </w:rPr>
            </w:pPr>
            <w:r>
              <w:rPr>
                <w:rFonts w:ascii="Arial" w:cs="Arial" w:eastAsia="Arial" w:hAnsi="Arial"/>
                <w:sz w:val="15"/>
                <w:szCs w:val="15"/>
                <w:color w:val="auto"/>
              </w:rPr>
              <w:t>Proceeds from Sunoma loan</w:t>
            </w: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4,593</w:t>
            </w:r>
          </w:p>
        </w:tc>
      </w:tr>
      <w:tr>
        <w:trPr>
          <w:trHeight w:val="805"/>
        </w:trPr>
        <w:tc>
          <w:tcPr>
            <w:tcW w:w="5460" w:type="dxa"/>
            <w:vAlign w:val="bottom"/>
          </w:tcPr>
          <w:p>
            <w:pPr>
              <w:spacing w:after="0"/>
              <w:rPr>
                <w:sz w:val="24"/>
                <w:szCs w:val="24"/>
                <w:color w:val="auto"/>
              </w:rPr>
            </w:pPr>
          </w:p>
        </w:tc>
        <w:tc>
          <w:tcPr>
            <w:tcW w:w="2700" w:type="dxa"/>
            <w:vAlign w:val="bottom"/>
          </w:tcPr>
          <w:p>
            <w:pPr>
              <w:jc w:val="right"/>
              <w:ind w:right="2382"/>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4"/>
        </w:trPr>
        <w:tc>
          <w:tcPr>
            <w:tcW w:w="54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2"/>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OPAL Term Loan</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174,117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27,500</w:t>
            </w: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Proceeds received from Business Combination</w:t>
            </w:r>
          </w:p>
        </w:tc>
        <w:tc>
          <w:tcPr>
            <w:tcW w:w="4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138,850</w:t>
            </w:r>
          </w:p>
        </w:tc>
      </w:tr>
      <w:tr>
        <w:trPr>
          <w:trHeight w:val="30"/>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Cash paid for purchase of shares upon exercise of put option</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(16,391)</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Financing costs paid to other third parties</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(11,062)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(8,462)</w:t>
            </w:r>
          </w:p>
        </w:tc>
      </w:tr>
      <w:tr>
        <w:trPr>
          <w:trHeight w:val="30"/>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Repayment of Senior Secured Credit Facility</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(22,750)</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(3,674)</w:t>
            </w: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Repayment of OPAL Term Loan</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(106,090)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(11,277)</w:t>
            </w:r>
          </w:p>
        </w:tc>
      </w:tr>
      <w:tr>
        <w:trPr>
          <w:trHeight w:val="30"/>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Repayment of Municipality loan</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w:t>
            </w:r>
          </w:p>
        </w:tc>
      </w:tr>
      <w:tr>
        <w:trPr>
          <w:trHeight w:val="219"/>
        </w:trPr>
        <w:tc>
          <w:tcPr>
            <w:tcW w:w="8160" w:type="dxa"/>
            <w:vAlign w:val="bottom"/>
          </w:tcPr>
          <w:p>
            <w:pPr>
              <w:ind w:left="140"/>
              <w:spacing w:after="0"/>
              <w:rPr>
                <w:sz w:val="20"/>
                <w:szCs w:val="20"/>
                <w:color w:val="auto"/>
              </w:rPr>
            </w:pPr>
            <w:r>
              <w:rPr>
                <w:rFonts w:ascii="Arial" w:cs="Arial" w:eastAsia="Arial" w:hAnsi="Arial"/>
                <w:sz w:val="15"/>
                <w:szCs w:val="15"/>
                <w:color w:val="auto"/>
              </w:rPr>
              <w:t>Repayment of Convertible Note Payable</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(30,107)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 of non-redeemable non-controlling interest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23,152</w:t>
            </w:r>
          </w:p>
        </w:tc>
      </w:tr>
      <w:tr>
        <w:trPr>
          <w:trHeight w:val="219"/>
        </w:trPr>
        <w:tc>
          <w:tcPr>
            <w:tcW w:w="8160" w:type="dxa"/>
            <w:vAlign w:val="bottom"/>
          </w:tcPr>
          <w:p>
            <w:pPr>
              <w:ind w:left="140"/>
              <w:spacing w:after="0"/>
              <w:rPr>
                <w:sz w:val="20"/>
                <w:szCs w:val="20"/>
                <w:color w:val="auto"/>
              </w:rPr>
            </w:pPr>
            <w:r>
              <w:rPr>
                <w:rFonts w:ascii="Arial" w:cs="Arial" w:eastAsia="Arial" w:hAnsi="Arial"/>
                <w:sz w:val="15"/>
                <w:szCs w:val="15"/>
                <w:color w:val="auto"/>
              </w:rPr>
              <w:t>Cash paid for taxes related to net share settlement of equity awards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Reimbursement of financing costs by joint venture partner</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8160" w:type="dxa"/>
            <w:vAlign w:val="bottom"/>
          </w:tcPr>
          <w:p>
            <w:pPr>
              <w:ind w:left="140"/>
              <w:spacing w:after="0"/>
              <w:rPr>
                <w:sz w:val="20"/>
                <w:szCs w:val="20"/>
                <w:color w:val="auto"/>
              </w:rPr>
            </w:pPr>
            <w:r>
              <w:rPr>
                <w:rFonts w:ascii="Arial" w:cs="Arial" w:eastAsia="Arial" w:hAnsi="Arial"/>
                <w:sz w:val="15"/>
                <w:szCs w:val="15"/>
                <w:color w:val="auto"/>
              </w:rPr>
              <w:t>Payment of paid-in-kind preferred dividends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(16,536)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8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 to non-redeemable non-controlling interest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Proceeds from sale of non-controlling interest, related party</w:t>
            </w:r>
          </w:p>
        </w:tc>
        <w:tc>
          <w:tcPr>
            <w:tcW w:w="4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30"/>
        </w:trPr>
        <w:tc>
          <w:tcPr>
            <w:tcW w:w="8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(15,542)</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270,525</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Net (decrease) increase in cash, restricted cash, and cash equivalents</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(55,633)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29,306</w:t>
            </w:r>
          </w:p>
        </w:tc>
      </w:tr>
      <w:tr>
        <w:trPr>
          <w:trHeight w:val="30"/>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restricted cash, and cash equivalents, beginning of period</w:t>
            </w: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77,221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42,054</w:t>
            </w:r>
          </w:p>
        </w:tc>
      </w:tr>
      <w:tr>
        <w:trPr>
          <w:trHeight w:val="211"/>
        </w:trPr>
        <w:tc>
          <w:tcPr>
            <w:tcW w:w="8160" w:type="dxa"/>
            <w:vAlign w:val="bottom"/>
          </w:tcPr>
          <w:p>
            <w:pPr>
              <w:ind w:left="20"/>
              <w:spacing w:after="0"/>
              <w:rPr>
                <w:sz w:val="20"/>
                <w:szCs w:val="20"/>
                <w:color w:val="auto"/>
              </w:rPr>
            </w:pPr>
            <w:r>
              <w:rPr>
                <w:rFonts w:ascii="Arial" w:cs="Arial" w:eastAsia="Arial" w:hAnsi="Arial"/>
                <w:sz w:val="15"/>
                <w:szCs w:val="15"/>
                <w:color w:val="auto"/>
              </w:rPr>
              <w:t>Cash, restricted cash, and cash equivalents, end of period</w:t>
            </w: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21,588</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71,360</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4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Interest paid, net of $4,627 and $0 capitalized, respectively</w:t>
            </w: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3,952</w:t>
            </w:r>
          </w:p>
        </w:tc>
        <w:tc>
          <w:tcPr>
            <w:tcW w:w="120" w:type="dxa"/>
            <w:vAlign w:val="bottom"/>
          </w:tcPr>
          <w:p>
            <w:pPr>
              <w:spacing w:after="0"/>
              <w:rPr>
                <w:sz w:val="16"/>
                <w:szCs w:val="16"/>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7,013</w:t>
            </w:r>
          </w:p>
        </w:tc>
      </w:tr>
      <w:tr>
        <w:trPr>
          <w:trHeight w:val="30"/>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Paid-in-kind dividend on redeemable preferred non-controlling interests</w:t>
            </w: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5,093</w:t>
            </w:r>
          </w:p>
        </w:tc>
      </w:tr>
      <w:tr>
        <w:trPr>
          <w:trHeight w:val="30"/>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Accrual for purchase of Property, plant and equipment included in Accounts payable and Accrued capital expenses</w:t>
            </w:r>
          </w:p>
        </w:tc>
        <w:tc>
          <w:tcPr>
            <w:tcW w:w="480" w:type="dxa"/>
            <w:vAlign w:val="bottom"/>
            <w:tcBorders>
              <w:bottom w:val="single" w:sz="8" w:color="CCEEFF"/>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7,355</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9,284</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Fair value of Class A common stock issued for redemption of Convertible Note Payable</w:t>
            </w: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30,595</w:t>
            </w:r>
          </w:p>
        </w:tc>
      </w:tr>
      <w:tr>
        <w:trPr>
          <w:trHeight w:val="30"/>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Fair value of Derivative warrant liabilities assumed related to Business Combination</w:t>
            </w:r>
          </w:p>
        </w:tc>
        <w:tc>
          <w:tcPr>
            <w:tcW w:w="480" w:type="dxa"/>
            <w:vAlign w:val="bottom"/>
            <w:tcBorders>
              <w:bottom w:val="single" w:sz="8" w:color="CCEEFF"/>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13,524</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Fair value of Earnout liabilities related to Business Combination</w:t>
            </w: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45,900</w:t>
            </w:r>
          </w:p>
        </w:tc>
      </w:tr>
      <w:tr>
        <w:trPr>
          <w:trHeight w:val="30"/>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Fair value of put option to a forward purchase contract related to Business Combination</w:t>
            </w:r>
          </w:p>
        </w:tc>
        <w:tc>
          <w:tcPr>
            <w:tcW w:w="480" w:type="dxa"/>
            <w:vAlign w:val="bottom"/>
            <w:tcBorders>
              <w:bottom w:val="single" w:sz="8" w:color="CCEEFF"/>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4,600</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Right-of-use assets for finance leases as of January 1, 2022 included in Property, plant and equipment, net</w:t>
            </w: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801</w:t>
            </w:r>
          </w:p>
        </w:tc>
      </w:tr>
      <w:tr>
        <w:trPr>
          <w:trHeight w:val="30"/>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Lease liabilities for finance leases as of January 1, 2022 included in Accrued expenses and other current liabilities</w:t>
            </w:r>
          </w:p>
        </w:tc>
        <w:tc>
          <w:tcPr>
            <w:tcW w:w="480" w:type="dxa"/>
            <w:vAlign w:val="bottom"/>
            <w:tcBorders>
              <w:bottom w:val="single" w:sz="8" w:color="CCEEFF"/>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316</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Lease liabilities for finance leases as of January 1, 2022 included in Other long-term liabilities</w:t>
            </w: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485</w:t>
            </w:r>
          </w:p>
        </w:tc>
      </w:tr>
      <w:tr>
        <w:trPr>
          <w:trHeight w:val="30"/>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Fair value of contingent consideration to redeem the non-controlling interest included in Other long-term liabilities</w:t>
            </w:r>
          </w:p>
        </w:tc>
        <w:tc>
          <w:tcPr>
            <w:tcW w:w="480" w:type="dxa"/>
            <w:vAlign w:val="bottom"/>
            <w:tcBorders>
              <w:bottom w:val="single" w:sz="8" w:color="CCEEFF"/>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Accrual for deferred financing costs included in Accrued expenses and other current liabilities</w:t>
            </w: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282</w:t>
            </w:r>
          </w:p>
        </w:tc>
      </w:tr>
    </w:tbl>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OPAL FUELS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Description of Business</w:t>
      </w:r>
    </w:p>
    <w:p>
      <w:pPr>
        <w:spacing w:after="0" w:line="239" w:lineRule="exact"/>
        <w:rPr>
          <w:sz w:val="20"/>
          <w:szCs w:val="20"/>
          <w:color w:val="auto"/>
        </w:rPr>
      </w:pPr>
    </w:p>
    <w:p>
      <w:pPr>
        <w:jc w:val="both"/>
        <w:ind w:firstLine="296"/>
        <w:spacing w:after="0" w:line="262" w:lineRule="auto"/>
        <w:rPr>
          <w:sz w:val="20"/>
          <w:szCs w:val="20"/>
          <w:color w:val="auto"/>
        </w:rPr>
      </w:pPr>
      <w:r>
        <w:rPr>
          <w:rFonts w:ascii="Arial" w:cs="Arial" w:eastAsia="Arial" w:hAnsi="Arial"/>
          <w:sz w:val="16"/>
          <w:szCs w:val="16"/>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OPAL has recently begun implementing design, development, and construction services for hydrogen Fueling Stations, and we are pursuing opportunities to diversify our sources of biogas to other waste streams.</w:t>
      </w:r>
    </w:p>
    <w:p>
      <w:pPr>
        <w:spacing w:after="0" w:line="110"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 xml:space="preserve">The Company is organized into four operating segments based on the characteristics and the nature of products and services. The four operating segments are - RNG Fuel, Fuel Station Services, Renewable Power and Corporate. During the first quarter of 2023, the Company changed its internal reporting to its executive leadership team ("Chief Operating Decision Makers") to change the composition of revenues included in our reportable segments. Please see Note 11 </w:t>
      </w:r>
      <w:r>
        <w:rPr>
          <w:rFonts w:ascii="Arial" w:cs="Arial" w:eastAsia="Arial" w:hAnsi="Arial"/>
          <w:sz w:val="16"/>
          <w:szCs w:val="16"/>
          <w:i w:val="1"/>
          <w:iCs w:val="1"/>
          <w:color w:val="auto"/>
        </w:rPr>
        <w:t>Reportable Segments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Geographic Information </w:t>
      </w:r>
      <w:r>
        <w:rPr>
          <w:rFonts w:ascii="Arial" w:cs="Arial" w:eastAsia="Arial" w:hAnsi="Arial"/>
          <w:sz w:val="16"/>
          <w:szCs w:val="16"/>
          <w:color w:val="auto"/>
        </w:rPr>
        <w:t>for additional information.</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All amounts in these notes are presented in thousands of dollars except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Impact</w:t>
      </w:r>
    </w:p>
    <w:p>
      <w:pPr>
        <w:spacing w:after="0" w:line="153" w:lineRule="exact"/>
        <w:rPr>
          <w:sz w:val="20"/>
          <w:szCs w:val="20"/>
          <w:color w:val="auto"/>
        </w:rPr>
      </w:pPr>
    </w:p>
    <w:p>
      <w:pPr>
        <w:jc w:val="both"/>
        <w:ind w:firstLine="296"/>
        <w:spacing w:after="0" w:line="317" w:lineRule="auto"/>
        <w:rPr>
          <w:sz w:val="20"/>
          <w:szCs w:val="20"/>
          <w:color w:val="auto"/>
        </w:rPr>
      </w:pPr>
      <w:r>
        <w:rPr>
          <w:rFonts w:ascii="Arial" w:cs="Arial" w:eastAsia="Arial" w:hAnsi="Arial"/>
          <w:sz w:val="14"/>
          <w:szCs w:val="14"/>
          <w:color w:val="auto"/>
        </w:rPr>
        <w:t>In March 2020, the World Health Organization categorized the coronavirus disease 2019 ("COVID-19") as a pandemic and the President of the United States declared the COVID-19 outbreak as a national emergency. Management considered the impact of COVID-19 and determined that, because the Company was deemed an essential business by the U.S. government and did not perform layoffs of personnel or experience a decline in its customer base or business operations, there was no material adverse impact on the Company's statement of position and result of operations as of September 30, 2023, and for the three and nine months ended September 30, 2023.</w:t>
      </w:r>
    </w:p>
    <w:p>
      <w:pPr>
        <w:spacing w:after="0" w:line="74"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214" w:lineRule="exact"/>
        <w:rPr>
          <w:sz w:val="20"/>
          <w:szCs w:val="20"/>
          <w:color w:val="auto"/>
        </w:rPr>
      </w:pPr>
    </w:p>
    <w:p>
      <w:pPr>
        <w:jc w:val="both"/>
        <w:ind w:firstLine="296"/>
        <w:spacing w:after="0" w:line="260" w:lineRule="auto"/>
        <w:rPr>
          <w:sz w:val="20"/>
          <w:szCs w:val="20"/>
          <w:color w:val="auto"/>
        </w:rPr>
      </w:pPr>
      <w:r>
        <w:rPr>
          <w:rFonts w:ascii="Arial" w:cs="Arial" w:eastAsia="Arial" w:hAnsi="Arial"/>
          <w:sz w:val="16"/>
          <w:szCs w:val="16"/>
          <w:color w:val="auto"/>
        </w:rPr>
        <w:t>These unaudited condensed consolidated financial statements are prepared in accordance with generally accepted accounting principles in the United States ("U.S. GAAP") and include the accounts of the Company and all other entities in which the Company has a controlling financial interest: OPAL Renewable Power LLC (formerly Fortistar Methane 3 LLC (“FM3”) and Fortistar Methane 4 LLC), Beacon RNG LLC (“Beacon”) Sunoma Holdings, LLC (“Sunoma”), New River LLC (“New River”), Reynolds RNG LLC (“Reynolds”), Central Valley LLC (“Central Valley”), Prince William RNG LLC (“Prince William”), Cottonwood RNG LLC, Polk County RNG LLC (“Polk County”), OPAL Contracting LLC (formerly Fortistar Contracting LLC), OPAL RNG LLC (formerly Fortistar RNG LLC), and OPAL Fuel station services LLC (“Fuel Station Services”). The Company’s unaudited condensed consolidated financial statements include the assets and liabilities of these subsidiaries. All intercompany transactions and balances have been eliminated in consolidation. The non-controlling interest attributable to the Company's variable interest entities ("VIE") is presented as a separate component from the Stockholders' deficit in the condensed consolidated balance sheets. It is presented as a non-redeemable non-controlling interest in the condensed consolidated statements of changes in redeemable non-controlling interests, redeemable preferred non-controlling interests and the Stockholders' deficit.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4" w:lineRule="exact"/>
        <w:rPr>
          <w:sz w:val="20"/>
          <w:szCs w:val="20"/>
          <w:color w:val="auto"/>
        </w:rPr>
      </w:pPr>
    </w:p>
    <w:p>
      <w:pPr>
        <w:jc w:val="both"/>
        <w:ind w:firstLine="296"/>
        <w:spacing w:after="0" w:line="260" w:lineRule="auto"/>
        <w:rPr>
          <w:sz w:val="20"/>
          <w:szCs w:val="20"/>
          <w:color w:val="auto"/>
        </w:rPr>
      </w:pPr>
      <w:r>
        <w:rPr>
          <w:rFonts w:ascii="Arial" w:cs="Arial" w:eastAsia="Arial" w:hAnsi="Arial"/>
          <w:sz w:val="16"/>
          <w:szCs w:val="16"/>
          <w:color w:val="auto"/>
        </w:rPr>
        <w:t xml:space="preserve">The accompanying unaudited condensed consolidated financial statements reflect the activities of the Company, its subsidiaries, and its equity method investments for the three and nine months ended September 30, 2023 and 2022. Investments in unconsolidated entities in which the Company has influence over the operating or financial decisions are accounted for under the equity method. On May 30, 2023, the Company together with a third-party environmental solutions company formed Paragon LLC ("Paragon"), a new joint venture holding company. The Company owns 50% of the ownership interest in Paragon. Concurrent to the formation of Paragon, the Company contributed its 50% ownership interests in Emerald and Sapphire to Paragon. Upon the execution of the above transaction, the Company reassessed its equity interests in Emerald RNG LLC ("Emerald") and Sapphire RNG LLC ("Sapphire")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and determined that the Company did not have a controlling financial interest in Paragon under ASC 810 because the governance of Paragon is driven by a board jointly controlled equally by the joint venture partner and the Company and there are substantive participating rights held by the joint venture partner in the significant activities of Paragon. As a result of the reassessment, the Company deconsolidated these two entities effective May 30, 2023. Prior to May 30, 2023, the Company consolidated these two entities in accordance with the variable interest entity model guidance under ASC 810, Consolidation.</w:t>
      </w:r>
    </w:p>
    <w:p>
      <w:pPr>
        <w:spacing w:after="0" w:line="102" w:lineRule="exact"/>
        <w:rPr>
          <w:sz w:val="20"/>
          <w:szCs w:val="20"/>
          <w:color w:val="auto"/>
        </w:rPr>
      </w:pPr>
    </w:p>
    <w:p>
      <w:pPr>
        <w:jc w:val="both"/>
        <w:ind w:firstLine="296"/>
        <w:spacing w:after="0" w:line="278" w:lineRule="auto"/>
        <w:rPr>
          <w:sz w:val="20"/>
          <w:szCs w:val="20"/>
          <w:color w:val="auto"/>
        </w:rPr>
      </w:pPr>
      <w:r>
        <w:rPr>
          <w:rFonts w:ascii="Arial" w:cs="Arial" w:eastAsia="Arial" w:hAnsi="Arial"/>
          <w:sz w:val="15"/>
          <w:szCs w:val="15"/>
          <w:color w:val="auto"/>
        </w:rPr>
        <w:t>On September 14, 2023, OPAL Land2Gas LLC (“OPAL L2G”), a wholly-owned indirect subsidiary of OPAL Fuels Inc. (the “Company”), entered into a Limited Liability Company Agreement (for purposes of this paragraph, the “Agreement”) with SJI Landfill RNG LLC (“SJI LRNG”), a wholly-owned indirect subsidiary of South Jersey Industries (“SJI”), establishing the terms and conditions of governance and operation of Land2Gas LLC (the “ SJI Joint Venture”). The purpose of the Joint Venture, which is owned 50/50 by OPAL L2G and SJI LRNG, is to develop, construct, own and operate facilities (“Facilities”) to produce RNG using biogas generated by certain landfills. The Agreement governs the terms and conditions of capital contributions to be made by the SJI Joint Venture members to fund the development, construction and operations of the Facilities. The Agreement requires members of the SJI Joint Venture to contribute their respective share (50% each) of such capital requirements. The Agreement initially contemplates two RNG projects (RNG Atlantic and RNG Burlington) in New Jersey with each RNG project represented as a separate series of membership interests, also owned 50-50 by the members. Further, the Agreement provides for the SJI Joint Venture to enter into a Management Services Agreement (“MSA”), Operations and Maintenance Agreement (“O&amp;M Agreement”), and dispensing agreement with certain wholly-owned, indirect subsidiaries of the Company. The MSA establishes the terms and conditions for the day-to-day administration of the projects, including responsibility for managing the development and overseeing the construction of the Facilities. The O&amp;M Agreement establishes the terms and conditions for operating and maintaining the Facilities once construction is completed. The Dispensing Agreement provides for the acquisition, marketing and sale of the Environmental Attributes associated with RNG produced by the Facilities.</w:t>
      </w:r>
    </w:p>
    <w:p>
      <w:pPr>
        <w:spacing w:after="0" w:line="104" w:lineRule="exact"/>
        <w:rPr>
          <w:sz w:val="20"/>
          <w:szCs w:val="20"/>
          <w:color w:val="auto"/>
        </w:rPr>
      </w:pPr>
    </w:p>
    <w:p>
      <w:pPr>
        <w:jc w:val="both"/>
        <w:ind w:firstLine="296"/>
        <w:spacing w:after="0" w:line="290" w:lineRule="auto"/>
        <w:rPr>
          <w:sz w:val="20"/>
          <w:szCs w:val="20"/>
          <w:color w:val="auto"/>
        </w:rPr>
      </w:pPr>
      <w:r>
        <w:rPr>
          <w:rFonts w:ascii="Arial" w:cs="Arial" w:eastAsia="Arial" w:hAnsi="Arial"/>
          <w:sz w:val="15"/>
          <w:szCs w:val="15"/>
          <w:color w:val="auto"/>
        </w:rPr>
        <w:t xml:space="preserve">Upon the execution of the above transaction, the Company reassessed its equity interests in the SJI Joint Venture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and determined that the Company does not have a controlling financial interest in SJI Joint Venture under ASC 810 because the governance of the joint venture is driven by a board jointly controlled by the joint venture partner and OPAL equally and there are substantive participating rights held by the joint venture partner in the significant activities of SJI Joint Venture. As of September 30, 2023, there have been no material contributions made by the Company in the SJI Joint Venture.</w:t>
      </w:r>
    </w:p>
    <w:p>
      <w:pPr>
        <w:spacing w:after="0" w:line="91"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As of September 30, 2023, the Company accounted for its ownership interests in Pine Bend RNG LLC ("Pine Bend"), Noble Road RNG LLC ("Noble Road"), Emerald, Sapphire, Paragon, SJI Joint Venture (RNG Atlantic and RNG Burlington) and GREP BTB Holdings LLC ("GREP") under the equity method.</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December 31, 2022, the Company accounted for its ownership interests in Pine Bend, Noble Road and GREP under the equity method. Please see Note 3.</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Investment in Other Entities, </w:t>
      </w:r>
      <w:r>
        <w:rPr>
          <w:rFonts w:ascii="Arial" w:cs="Arial" w:eastAsia="Arial" w:hAnsi="Arial"/>
          <w:sz w:val="16"/>
          <w:szCs w:val="16"/>
          <w:color w:val="auto"/>
        </w:rPr>
        <w:t>for additional information.</w:t>
      </w:r>
    </w:p>
    <w:p>
      <w:pPr>
        <w:spacing w:after="0" w:line="138" w:lineRule="exact"/>
        <w:rPr>
          <w:sz w:val="20"/>
          <w:szCs w:val="20"/>
          <w:color w:val="auto"/>
        </w:rPr>
      </w:pPr>
    </w:p>
    <w:p>
      <w:pPr>
        <w:jc w:val="both"/>
        <w:ind w:firstLine="296"/>
        <w:spacing w:after="0" w:line="262" w:lineRule="auto"/>
        <w:rPr>
          <w:sz w:val="20"/>
          <w:szCs w:val="20"/>
          <w:color w:val="auto"/>
        </w:rPr>
      </w:pPr>
      <w:r>
        <w:rPr>
          <w:rFonts w:ascii="Arial" w:cs="Arial" w:eastAsia="Arial" w:hAnsi="Arial"/>
          <w:sz w:val="16"/>
          <w:szCs w:val="16"/>
          <w:color w:val="auto"/>
        </w:rPr>
        <w:t>The accompanying unaudited condensed financial statements have been prepared in accordance with the instructions to Form 10-Q and Article 10 of Regulation S-X of the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Annual Report. In the opinion of management, the accompanying unaudited condensed financial statements include all adjustments, consisting of a normal recurring nature, which are necessary for a fair statement of the financial position, operating results, and cash flows for the periods presented.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36"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5"/>
          <w:szCs w:val="15"/>
          <w:color w:val="auto"/>
        </w:rPr>
        <w:t>The preparation of unaudited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spacing w:after="0" w:line="82"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impairment assessment of goodwill, the fair value of deconsolidated VIEs and the fair value of derivative instruments. Actual results could differ from those estimates.</w:t>
      </w:r>
    </w:p>
    <w:p>
      <w:pPr>
        <w:spacing w:after="0" w:line="105" w:lineRule="exact"/>
        <w:rPr>
          <w:sz w:val="20"/>
          <w:szCs w:val="20"/>
          <w:color w:val="auto"/>
        </w:rPr>
      </w:pPr>
    </w:p>
    <w:p>
      <w:pPr>
        <w:ind w:right="1620" w:firstLine="296"/>
        <w:spacing w:after="0" w:line="425" w:lineRule="auto"/>
        <w:rPr>
          <w:sz w:val="20"/>
          <w:szCs w:val="20"/>
          <w:color w:val="auto"/>
        </w:rPr>
      </w:pPr>
      <w:r>
        <w:rPr>
          <w:rFonts w:ascii="Arial" w:cs="Arial" w:eastAsia="Arial" w:hAnsi="Arial"/>
          <w:sz w:val="16"/>
          <w:szCs w:val="16"/>
          <w:color w:val="auto"/>
        </w:rPr>
        <w:t xml:space="preserve">The results of operations for the interim periods presented are not necessarily indicative of the results that may be expected for the entire year. </w:t>
      </w:r>
      <w:r>
        <w:rPr>
          <w:rFonts w:ascii="Arial" w:cs="Arial" w:eastAsia="Arial" w:hAnsi="Arial"/>
          <w:sz w:val="16"/>
          <w:szCs w:val="16"/>
          <w:b w:val="1"/>
          <w:bCs w:val="1"/>
          <w:color w:val="auto"/>
        </w:rPr>
        <w:t>Accounting Pronouncements Adopted</w:t>
      </w:r>
    </w:p>
    <w:p>
      <w:pPr>
        <w:spacing w:after="0" w:line="2" w:lineRule="exact"/>
        <w:rPr>
          <w:sz w:val="20"/>
          <w:szCs w:val="20"/>
          <w:color w:val="auto"/>
        </w:rPr>
      </w:pPr>
    </w:p>
    <w:p>
      <w:pPr>
        <w:jc w:val="both"/>
        <w:ind w:firstLine="591"/>
        <w:spacing w:after="0" w:line="262" w:lineRule="auto"/>
        <w:rPr>
          <w:sz w:val="20"/>
          <w:szCs w:val="20"/>
          <w:color w:val="auto"/>
        </w:rPr>
      </w:pPr>
      <w:r>
        <w:rPr>
          <w:rFonts w:ascii="Arial" w:cs="Arial" w:eastAsia="Arial" w:hAnsi="Arial"/>
          <w:sz w:val="16"/>
          <w:szCs w:val="16"/>
          <w:color w:val="auto"/>
        </w:rPr>
        <w:t>In June 2016, the Financial Standards Accounting Board ("FASB") issued ASU 2016-13, Financial Instruments — Credit Losses ("ASC 326"), with the objective of providing information about the credit risk inherent in an entity’s financial statements as well as to explain management’s estimate of expected credit losses and the changes in the allowance for such losses. The accounting standard amends the current financial instrument impairment model by requiring entities to use a forward-looking approach based on expected losses to estimate credit losses on certain types of financial instruments, including trade receivables. Under the new guidance, an entity recognizes as an allowance, its estimate of lifetime expected credit losses, which will result in more timely recognition of such losses. The Company adopted the accounting standard using the prospective transition approach as of January 1, 2023. The cumulative effect upon adoption was not material to our condensed consolidated financial statements.</w:t>
      </w:r>
    </w:p>
    <w:p>
      <w:pPr>
        <w:spacing w:after="0" w:line="110"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6"/>
          <w:szCs w:val="16"/>
          <w:color w:val="auto"/>
        </w:rPr>
        <w:t>The adoption of ASC 326 primarily impacted our trade receivables and the Note receivable - variable fee component recorded on our condensed consolidated balance sheet as of September 30, 2023. Upon adoption of ASC 326, the Company assessed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considered historical collectability based on past due status and made judgments about the creditworthiness of customers based on ongoing credit evaluations. The Company also considered customer-specific information, current market conditions and reasonable and supportable forecasts of future economic conditions to inform adjustments to historical loss data. The carrying value of the Note receivable - variable fee component on the condensed consolidated balance sheet as of September 30, 2023 is based on a discounted expected cash flows model which is adjusted on a quarterly basis. Therefore, the Company determined that the credit risk component is included in the carrying value at each reporting period. The adoption of ASC 326 did not have any material impact on our condensed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Pronouncements Not Yet Adopted</w:t>
      </w:r>
    </w:p>
    <w:p>
      <w:pPr>
        <w:spacing w:after="0" w:line="153" w:lineRule="exact"/>
        <w:rPr>
          <w:sz w:val="20"/>
          <w:szCs w:val="20"/>
          <w:color w:val="auto"/>
        </w:rPr>
      </w:pPr>
    </w:p>
    <w:p>
      <w:pPr>
        <w:jc w:val="both"/>
        <w:ind w:firstLine="591"/>
        <w:spacing w:after="0" w:line="262" w:lineRule="auto"/>
        <w:rPr>
          <w:sz w:val="20"/>
          <w:szCs w:val="20"/>
          <w:color w:val="auto"/>
        </w:rPr>
      </w:pPr>
      <w:r>
        <w:rPr>
          <w:rFonts w:ascii="Arial" w:cs="Arial" w:eastAsia="Arial" w:hAnsi="Arial"/>
          <w:sz w:val="16"/>
          <w:szCs w:val="16"/>
          <w:color w:val="auto"/>
        </w:rPr>
        <w:t>In March 2023, the FASB issued Accounting Standards Update No. 2023-01, Leases (Topic 842) (the "Update"). The Update requires the entities to classify and account for a leasing arrangement between entities under common control on the same basis as an arrangement with an unrelated party. The Update also requires that leasehold improvements associated with common control leases be amortized by the lessee over the useful life of the leasehold improvements to the common control group (regardless of the lease term) as long as the lessee controls the use of the underlying asset and accounts for the underlying asset as a transfer between entities under common control through an adjustment to equity if and when the lessee no longer controls the use of the underlying asset. The amendments in this Update are effective for fiscal years beginning after December 15, 2023 including interim fiscal periods within those fiscal years. The Company is currently evaluating the impact of the adoption of this Update on its condensed consolidated financial statements.</w:t>
      </w:r>
    </w:p>
    <w:p>
      <w:pPr>
        <w:spacing w:after="0" w:line="110" w:lineRule="exact"/>
        <w:rPr>
          <w:sz w:val="20"/>
          <w:szCs w:val="20"/>
          <w:color w:val="auto"/>
        </w:rPr>
      </w:pPr>
    </w:p>
    <w:p>
      <w:pPr>
        <w:jc w:val="both"/>
        <w:ind w:firstLine="591"/>
        <w:spacing w:after="0" w:line="299" w:lineRule="auto"/>
        <w:rPr>
          <w:sz w:val="20"/>
          <w:szCs w:val="20"/>
          <w:color w:val="auto"/>
        </w:rPr>
      </w:pPr>
      <w:r>
        <w:rPr>
          <w:rFonts w:ascii="Arial" w:cs="Arial" w:eastAsia="Arial" w:hAnsi="Arial"/>
          <w:sz w:val="15"/>
          <w:szCs w:val="15"/>
          <w:color w:val="auto"/>
        </w:rPr>
        <w:t>In August 2023, the FASB issued Accounting Standards Update No. 2023-05, Business Combinations- Joint Venture Formations (Subtopic 805-60) ("ASU 2023-05"). The update requires all joint ventures formed after January 1, 2025, upon formation, to apply a new basis of accounting and initially measure its assets and liabilities at fair value. The Company is currently evaluating the impact of the adoption of ASU 2023-05 on its condensed consolidated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Emerging Growth Company Status</w:t>
      </w:r>
    </w:p>
    <w:p>
      <w:pPr>
        <w:spacing w:after="0" w:line="153" w:lineRule="exact"/>
        <w:rPr>
          <w:sz w:val="20"/>
          <w:szCs w:val="20"/>
          <w:color w:val="auto"/>
        </w:rPr>
      </w:pPr>
    </w:p>
    <w:p>
      <w:pPr>
        <w:jc w:val="both"/>
        <w:ind w:left="1" w:firstLine="296"/>
        <w:spacing w:after="0" w:line="263" w:lineRule="auto"/>
        <w:rPr>
          <w:sz w:val="20"/>
          <w:szCs w:val="20"/>
          <w:color w:val="auto"/>
        </w:rPr>
      </w:pPr>
      <w:r>
        <w:rPr>
          <w:rFonts w:ascii="Arial" w:cs="Arial" w:eastAsia="Arial" w:hAnsi="Arial"/>
          <w:sz w:val="16"/>
          <w:szCs w:val="16"/>
          <w:color w:val="auto"/>
        </w:rPr>
        <w:t>The Company is an emerging growth company as defined in the JOBS Act. The JOBS Act provides emerging growth companies with certain exemptions from public company reporting requirements for up to five fiscal years while a company remains an emerging growth company. As part of these exemptions, the Company is only required to provide two fiscal years of audited financial statements instead of three, is subject to reduced disclosure obligations and is not required to comply with auditor attestation requirements from Section 404(b) of the Sarbanes-Oxley Act regarding our internal control over financial reporting. Additionally, the JOBS Act allows the Company to delay adoption of new or revised financial accounting standards until private companies are required to comply with new or revised financial accounting standards.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40" w:lineRule="exact"/>
        <w:rPr>
          <w:sz w:val="20"/>
          <w:szCs w:val="20"/>
          <w:color w:val="auto"/>
        </w:rPr>
      </w:pPr>
    </w:p>
    <w:p>
      <w:pPr>
        <w:ind w:left="301"/>
        <w:spacing w:after="0"/>
        <w:rPr>
          <w:sz w:val="20"/>
          <w:szCs w:val="20"/>
          <w:color w:val="auto"/>
        </w:rPr>
      </w:pPr>
      <w:r>
        <w:rPr>
          <w:rFonts w:ascii="Arial" w:cs="Arial" w:eastAsia="Arial" w:hAnsi="Arial"/>
          <w:sz w:val="16"/>
          <w:szCs w:val="16"/>
          <w:color w:val="auto"/>
        </w:rPr>
        <w:t>Cash, cash equivalents, and restricted cash consisted of the following as of September 30, 2023 and December 31, 2022:</w:t>
      </w:r>
    </w:p>
    <w:p>
      <w:pPr>
        <w:spacing w:after="0" w:line="235" w:lineRule="exact"/>
        <w:rPr>
          <w:sz w:val="20"/>
          <w:szCs w:val="20"/>
          <w:color w:val="auto"/>
        </w:rPr>
      </w:pPr>
    </w:p>
    <w:tbl>
      <w:tblPr>
        <w:tblLayout w:type="fixed"/>
        <w:tblInd w:w="301"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5"/>
                <w:szCs w:val="15"/>
                <w:color w:val="auto"/>
              </w:rPr>
            </w:pPr>
          </w:p>
        </w:tc>
        <w:tc>
          <w:tcPr>
            <w:tcW w:w="1280" w:type="dxa"/>
            <w:vAlign w:val="bottom"/>
          </w:tcPr>
          <w:p>
            <w:pPr>
              <w:jc w:val="right"/>
              <w:ind w:right="246"/>
              <w:spacing w:after="0"/>
              <w:rPr>
                <w:sz w:val="20"/>
                <w:szCs w:val="20"/>
                <w:color w:val="auto"/>
              </w:rPr>
            </w:pPr>
            <w:r>
              <w:rPr>
                <w:rFonts w:ascii="Arial" w:cs="Arial" w:eastAsia="Arial" w:hAnsi="Arial"/>
                <w:sz w:val="15"/>
                <w:szCs w:val="15"/>
                <w:b w:val="1"/>
                <w:bCs w:val="1"/>
                <w:color w:val="auto"/>
                <w:w w:val="96"/>
              </w:rPr>
              <w:t>December 31,</w:t>
            </w:r>
          </w:p>
        </w:tc>
      </w:tr>
      <w:tr>
        <w:trPr>
          <w:trHeight w:val="192"/>
        </w:trPr>
        <w:tc>
          <w:tcPr>
            <w:tcW w:w="6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26"/>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6"/>
              <w:spacing w:after="0"/>
              <w:rPr>
                <w:sz w:val="20"/>
                <w:szCs w:val="20"/>
                <w:color w:val="auto"/>
              </w:rPr>
            </w:pPr>
            <w:r>
              <w:rPr>
                <w:rFonts w:ascii="Arial" w:cs="Arial" w:eastAsia="Arial" w:hAnsi="Arial"/>
                <w:sz w:val="15"/>
                <w:szCs w:val="15"/>
                <w:b w:val="1"/>
                <w:bCs w:val="1"/>
                <w:color w:val="auto"/>
              </w:rPr>
              <w:t>2022</w:t>
            </w:r>
          </w:p>
        </w:tc>
      </w:tr>
      <w:tr>
        <w:trPr>
          <w:trHeight w:val="30"/>
        </w:trPr>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2"/>
        </w:trPr>
        <w:tc>
          <w:tcPr>
            <w:tcW w:w="672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15,000</w:t>
            </w:r>
          </w:p>
        </w:tc>
        <w:tc>
          <w:tcPr>
            <w:tcW w:w="12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40,394</w:t>
            </w:r>
          </w:p>
        </w:tc>
      </w:tr>
      <w:tr>
        <w:trPr>
          <w:trHeight w:val="30"/>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Restricted cash - current </w:t>
            </w:r>
            <w:r>
              <w:rPr>
                <w:rFonts w:ascii="Arial" w:cs="Arial" w:eastAsia="Arial" w:hAnsi="Arial"/>
                <w:sz w:val="19"/>
                <w:szCs w:val="19"/>
                <w:color w:val="auto"/>
                <w:vertAlign w:val="superscript"/>
              </w:rPr>
              <w:t>(1)</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32,402</w:t>
            </w:r>
          </w:p>
        </w:tc>
      </w:tr>
      <w:tr>
        <w:trPr>
          <w:trHeight w:val="192"/>
        </w:trPr>
        <w:tc>
          <w:tcPr>
            <w:tcW w:w="6720" w:type="dxa"/>
            <w:vAlign w:val="bottom"/>
          </w:tcPr>
          <w:p>
            <w:pPr>
              <w:ind w:left="20"/>
              <w:spacing w:after="0"/>
              <w:rPr>
                <w:sz w:val="20"/>
                <w:szCs w:val="20"/>
                <w:color w:val="auto"/>
              </w:rPr>
            </w:pPr>
            <w:r>
              <w:rPr>
                <w:rFonts w:ascii="Arial" w:cs="Arial" w:eastAsia="Arial" w:hAnsi="Arial"/>
                <w:sz w:val="15"/>
                <w:szCs w:val="15"/>
                <w:color w:val="auto"/>
              </w:rPr>
              <w:t>Long-term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0"/>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6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Restricted cash held as collateral </w:t>
            </w:r>
            <w:r>
              <w:rPr>
                <w:rFonts w:ascii="Arial" w:cs="Arial" w:eastAsia="Arial" w:hAnsi="Arial"/>
                <w:sz w:val="19"/>
                <w:szCs w:val="19"/>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4,425</w:t>
            </w:r>
          </w:p>
        </w:tc>
      </w:tr>
      <w:tr>
        <w:trPr>
          <w:trHeight w:val="211"/>
        </w:trPr>
        <w:tc>
          <w:tcPr>
            <w:tcW w:w="6720" w:type="dxa"/>
            <w:vAlign w:val="bottom"/>
          </w:tcPr>
          <w:p>
            <w:pPr>
              <w:ind w:left="20"/>
              <w:spacing w:after="0"/>
              <w:rPr>
                <w:sz w:val="20"/>
                <w:szCs w:val="20"/>
                <w:color w:val="auto"/>
              </w:rPr>
            </w:pPr>
            <w:r>
              <w:rPr>
                <w:rFonts w:ascii="Arial" w:cs="Arial" w:eastAsia="Arial" w:hAnsi="Arial"/>
                <w:sz w:val="15"/>
                <w:szCs w:val="15"/>
                <w:color w:val="auto"/>
              </w:rPr>
              <w:t>Total cash, cash equivalents, and restricted cash</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21,588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77,221</w:t>
            </w: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left="1" w:hanging="1"/>
        <w:spacing w:after="0" w:line="290" w:lineRule="auto"/>
        <w:tabs>
          <w:tab w:leader="none" w:pos="15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Restricted cash - current as of September 30, 2023 primarily relates to interest reserve on the Sunoma Loan. Restricted cash - current as of December 31, 2022 primarily consists of (i) $16,849 held in escrow to secure the Company's purchase obligations under the forward purchase agreement with Meteora Capital Partners ("Meteora"); (ii) $5,845 equity contribution to a joint venture in connection with the closing of OPAL Term Loan II (iii) $1,127 related to interest reserve on the Sunoma Loan and (iv) $8,581 held in a restricted account for funding one of our RNG projects. The decrease in Restricted cash - current relates to the completed performance of the forward purchase agreement with Meteora and funds spent on construction of our RNG facilities.</w:t>
      </w:r>
    </w:p>
    <w:p>
      <w:pPr>
        <w:spacing w:after="0" w:line="59" w:lineRule="exact"/>
        <w:rPr>
          <w:rFonts w:ascii="Arial" w:cs="Arial" w:eastAsia="Arial" w:hAnsi="Arial"/>
          <w:sz w:val="18"/>
          <w:szCs w:val="18"/>
          <w:color w:val="auto"/>
          <w:vertAlign w:val="superscript"/>
        </w:rPr>
      </w:pPr>
    </w:p>
    <w:p>
      <w:pPr>
        <w:ind w:left="461" w:hanging="166"/>
        <w:spacing w:after="0"/>
        <w:tabs>
          <w:tab w:leader="none" w:pos="461" w:val="left"/>
        </w:tabs>
        <w:numPr>
          <w:ilvl w:val="1"/>
          <w:numId w:val="7"/>
        </w:numPr>
        <w:rPr>
          <w:rFonts w:ascii="Arial" w:cs="Arial" w:eastAsia="Arial" w:hAnsi="Arial"/>
          <w:sz w:val="20"/>
          <w:szCs w:val="20"/>
          <w:color w:val="auto"/>
          <w:vertAlign w:val="superscript"/>
        </w:rPr>
      </w:pPr>
      <w:r>
        <w:rPr>
          <w:rFonts w:ascii="Arial" w:cs="Arial" w:eastAsia="Arial" w:hAnsi="Arial"/>
          <w:sz w:val="16"/>
          <w:szCs w:val="16"/>
          <w:color w:val="auto"/>
        </w:rPr>
        <w:t>Restricted cash held as collateral represents the collateral requirements on our debt facilities.</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Short term investments</w:t>
      </w:r>
    </w:p>
    <w:p>
      <w:pPr>
        <w:spacing w:after="0" w:line="153" w:lineRule="exact"/>
        <w:rPr>
          <w:sz w:val="20"/>
          <w:szCs w:val="20"/>
          <w:color w:val="auto"/>
        </w:rPr>
      </w:pPr>
    </w:p>
    <w:p>
      <w:pPr>
        <w:jc w:val="both"/>
        <w:ind w:left="1" w:firstLine="591"/>
        <w:spacing w:after="0" w:line="267" w:lineRule="auto"/>
        <w:rPr>
          <w:sz w:val="20"/>
          <w:szCs w:val="20"/>
          <w:color w:val="auto"/>
        </w:rPr>
      </w:pPr>
      <w:r>
        <w:rPr>
          <w:rFonts w:ascii="Arial" w:cs="Arial" w:eastAsia="Arial" w:hAnsi="Arial"/>
          <w:sz w:val="16"/>
          <w:szCs w:val="16"/>
          <w:color w:val="auto"/>
        </w:rPr>
        <w:t>The Company considers highly liquid investments such as time deposits and certificates of deposit with an original maturity greater than three months at the time of purchase to be short term investments. The short term investments of $18,028 and $64,976 as of September 30, 2023 and December 31, 2022, respectively, consist of commercial paper invested in money market accounts with maturities ranging between 1 and 12 months as of the reporting date. The amounts in these accounts are liquid and available for general use.</w:t>
      </w:r>
    </w:p>
    <w:p>
      <w:pPr>
        <w:spacing w:after="0" w:line="93" w:lineRule="exact"/>
        <w:rPr>
          <w:sz w:val="20"/>
          <w:szCs w:val="20"/>
          <w:color w:val="auto"/>
        </w:rPr>
      </w:pPr>
    </w:p>
    <w:p>
      <w:pPr>
        <w:ind w:left="601"/>
        <w:spacing w:after="0"/>
        <w:rPr>
          <w:sz w:val="20"/>
          <w:szCs w:val="20"/>
          <w:color w:val="auto"/>
        </w:rPr>
      </w:pPr>
      <w:r>
        <w:rPr>
          <w:rFonts w:ascii="Arial" w:cs="Arial" w:eastAsia="Arial" w:hAnsi="Arial"/>
          <w:sz w:val="15"/>
          <w:szCs w:val="15"/>
          <w:color w:val="auto"/>
        </w:rPr>
        <w:t>Our short term investments are generally invested in commercial paper issued by highly credit worthy counter parties and government-backed treasury bills.</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6"/>
          <w:szCs w:val="16"/>
          <w:color w:val="auto"/>
        </w:rPr>
        <w:t>Investments are generally not FDIC insured and we take counterparty risk on these investments.</w:t>
      </w:r>
    </w:p>
    <w:p>
      <w:pPr>
        <w:spacing w:after="0" w:line="13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Earnout liabilities</w:t>
      </w:r>
    </w:p>
    <w:p>
      <w:pPr>
        <w:spacing w:after="0" w:line="214" w:lineRule="exact"/>
        <w:rPr>
          <w:sz w:val="20"/>
          <w:szCs w:val="20"/>
          <w:color w:val="auto"/>
        </w:rPr>
      </w:pPr>
    </w:p>
    <w:p>
      <w:pPr>
        <w:jc w:val="both"/>
        <w:ind w:left="1" w:firstLine="296"/>
        <w:spacing w:after="0" w:line="263" w:lineRule="auto"/>
        <w:rPr>
          <w:sz w:val="20"/>
          <w:szCs w:val="20"/>
          <w:color w:val="auto"/>
        </w:rPr>
      </w:pPr>
      <w:r>
        <w:rPr>
          <w:rFonts w:ascii="Arial" w:cs="Arial" w:eastAsia="Arial" w:hAnsi="Arial"/>
          <w:sz w:val="16"/>
          <w:szCs w:val="16"/>
          <w:color w:val="auto"/>
        </w:rPr>
        <w:t>In connection with the business combination ("Business Combination") completed in July 2022 and pursuant to a sponsor letter agreement, ArcLight CTC Holdings II, L.P.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(the "Earnout Awards") were recognized at fair value on the closing date and classified as a liability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716978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21" w:name="page22"/>
    <w:bookmarkEnd w:id="21"/>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which is remeasured at each balance sheet date and any change in fair value is recognized in the Company's condensed consolidated statement of operations as part of change in fair value of derivative instruments, net. For the three and nine months ended September 30, 2023, the Company recorded a loss of $(138) and a gain of $4,499, respectively, in its condensed consolidated statement of operations. For the three and nine months ended September 30, 2022, the Company recorded a gain of $6,400 in its condensed consolidated statement of operations. As of September 30, 2023 and December 31, 2022, the Company recorded $4,291 and $8,790, respectively, on its condensed consolidated balance sheets.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Put Option On Forward Purchase Agreement</w:t>
      </w:r>
    </w:p>
    <w:p>
      <w:pPr>
        <w:spacing w:after="0" w:line="140" w:lineRule="exact"/>
        <w:rPr>
          <w:sz w:val="20"/>
          <w:szCs w:val="20"/>
          <w:color w:val="auto"/>
        </w:rPr>
      </w:pPr>
    </w:p>
    <w:p>
      <w:pPr>
        <w:jc w:val="both"/>
        <w:ind w:firstLine="591"/>
        <w:spacing w:after="0" w:line="284" w:lineRule="auto"/>
        <w:rPr>
          <w:sz w:val="20"/>
          <w:szCs w:val="20"/>
          <w:color w:val="auto"/>
        </w:rPr>
      </w:pPr>
      <w:r>
        <w:rPr>
          <w:rFonts w:ascii="Arial" w:cs="Arial" w:eastAsia="Arial" w:hAnsi="Arial"/>
          <w:sz w:val="15"/>
          <w:szCs w:val="15"/>
          <w:color w:val="auto"/>
        </w:rPr>
        <w:t xml:space="preserve">Prior to the closing of the Business Combination, the Company entered into a Forward Purchase Agreement with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put option written to Meteora on 2,000,000 shares of Class A common stock is recorded as a liability under Topic 480 </w:t>
      </w:r>
      <w:r>
        <w:rPr>
          <w:rFonts w:ascii="Arial" w:cs="Arial" w:eastAsia="Arial" w:hAnsi="Arial"/>
          <w:sz w:val="15"/>
          <w:szCs w:val="15"/>
          <w:i w:val="1"/>
          <w:iCs w:val="1"/>
          <w:color w:val="auto"/>
        </w:rPr>
        <w:t>Distinguishing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Equity </w:t>
      </w:r>
      <w:r>
        <w:rPr>
          <w:rFonts w:ascii="Arial" w:cs="Arial" w:eastAsia="Arial" w:hAnsi="Arial"/>
          <w:sz w:val="15"/>
          <w:szCs w:val="15"/>
          <w:color w:val="auto"/>
        </w:rPr>
        <w:t>with the change in the fair market value recognized in the statement of operations as part of change in fair value of derivative instruments, net.</w:t>
      </w:r>
    </w:p>
    <w:p>
      <w:pPr>
        <w:spacing w:after="0" w:line="94" w:lineRule="exact"/>
        <w:rPr>
          <w:sz w:val="20"/>
          <w:szCs w:val="20"/>
          <w:color w:val="auto"/>
        </w:rPr>
      </w:pPr>
    </w:p>
    <w:p>
      <w:pPr>
        <w:jc w:val="both"/>
        <w:ind w:firstLine="591"/>
        <w:spacing w:after="0" w:line="284" w:lineRule="auto"/>
        <w:rPr>
          <w:sz w:val="20"/>
          <w:szCs w:val="20"/>
          <w:color w:val="auto"/>
        </w:rPr>
      </w:pPr>
      <w:r>
        <w:rPr>
          <w:rFonts w:ascii="Arial" w:cs="Arial" w:eastAsia="Arial" w:hAnsi="Arial"/>
          <w:sz w:val="15"/>
          <w:szCs w:val="15"/>
          <w:color w:val="auto"/>
        </w:rPr>
        <w:t>On January 23, 2023, pursuant to the terms of the Forward Purchase Agreement, Meteora exercised its option to sell back 1,635,783 shares to the Company. $16,391 of the funds held in escrow which were previously recorded as part of Restricted Cash - current on the Company's consolidated balance sheet as of December 31, 2022 were released to Meteora (excluding accrued interest). In connection with the above, the Sponsor forfeited 197,258 shares of Class A common stock on January 26, 2023 pursuant to the terms of that certain Letter Agreement dated July 21, 2022. The Company treated the repurchased shares as treasury shares and recorded $11,614 representing the fair value of those shares at the closing share price of $7.01 as an adjustment to Stockholders' deficit. Additionally, the Company recorded $4,777 as an offset to the Derivative financial liability - current in its condensed consolidated balance sheet as of September 30, 2023.</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14" w:lineRule="exact"/>
        <w:rPr>
          <w:sz w:val="20"/>
          <w:szCs w:val="20"/>
          <w:color w:val="auto"/>
        </w:rPr>
      </w:pPr>
    </w:p>
    <w:p>
      <w:pPr>
        <w:jc w:val="both"/>
        <w:ind w:firstLine="591"/>
        <w:spacing w:after="0" w:line="290" w:lineRule="auto"/>
        <w:rPr>
          <w:sz w:val="20"/>
          <w:szCs w:val="20"/>
          <w:color w:val="auto"/>
        </w:rPr>
      </w:pPr>
      <w:r>
        <w:rPr>
          <w:rFonts w:ascii="Arial" w:cs="Arial" w:eastAsia="Arial" w:hAnsi="Arial"/>
          <w:sz w:val="15"/>
          <w:szCs w:val="15"/>
          <w:color w:val="auto"/>
        </w:rPr>
        <w:t>Redeemable non-controlling interests represent the portion of OPAL Fuels that the Company controls and consolidates but does not own. The Redeemable non-controlling interest was created as a result of the Business Combination and represents 144,399,037 Class D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w:t>
      </w:r>
    </w:p>
    <w:p>
      <w:pPr>
        <w:spacing w:after="0" w:line="152" w:lineRule="exact"/>
        <w:rPr>
          <w:sz w:val="20"/>
          <w:szCs w:val="20"/>
          <w:color w:val="auto"/>
        </w:rPr>
      </w:pPr>
    </w:p>
    <w:p>
      <w:pPr>
        <w:jc w:val="both"/>
        <w:ind w:firstLine="591"/>
        <w:spacing w:after="0" w:line="288" w:lineRule="auto"/>
        <w:rPr>
          <w:sz w:val="20"/>
          <w:szCs w:val="20"/>
          <w:color w:val="auto"/>
        </w:rPr>
      </w:pPr>
      <w:r>
        <w:rPr>
          <w:rFonts w:ascii="Arial" w:cs="Arial" w:eastAsia="Arial" w:hAnsi="Arial"/>
          <w:sz w:val="16"/>
          <w:szCs w:val="16"/>
          <w:color w:val="auto"/>
        </w:rPr>
        <w:t>At each balance sheet date, the mezzanine equity classified as Redeemable non-controlling interests is adjusted up to its maximum redemption value if necessary, with an offset in Stockholders' equity. As of September 30, 2023, the maximum redemption value is $1,158,937.</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Per Share</w:t>
      </w:r>
    </w:p>
    <w:p>
      <w:pPr>
        <w:spacing w:after="0" w:line="153"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Company's basic earnings per share of Class A common stock is computed based on the average number of outstanding shares of Class A common stock for the period.</w:t>
      </w:r>
    </w:p>
    <w:p>
      <w:pPr>
        <w:spacing w:after="0" w:line="76"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The Company's diluted earnings per share includes effects of the Company's outstanding equity awards under the 2022 Plan (as defined elsewhere in these financial statements), Redeemable non-controlling interests (OPAL Fuels Class B units), redeemable preferred non-controlling interests, Sponsor Earnout Awards and OPAL Earnout Awards.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Net</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Company's allowance for doubtful accounts was $0 and $0 at September 30, 2023 and December 31, 2022,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w:t>
      </w:r>
    </w:p>
    <w:p>
      <w:pPr>
        <w:spacing w:after="0" w:line="153"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 xml:space="preserve">The Company accounts for asset retirement obligations in accordance with FASB ASC 410, </w:t>
      </w:r>
      <w:r>
        <w:rPr>
          <w:rFonts w:ascii="Arial" w:cs="Arial" w:eastAsia="Arial" w:hAnsi="Arial"/>
          <w:sz w:val="16"/>
          <w:szCs w:val="16"/>
          <w:i w:val="1"/>
          <w:iCs w:val="1"/>
          <w:color w:val="auto"/>
        </w:rPr>
        <w:t>Asset Retirement and Environmental Obligations,</w:t>
      </w:r>
      <w:r>
        <w:rPr>
          <w:rFonts w:ascii="Arial" w:cs="Arial" w:eastAsia="Arial" w:hAnsi="Arial"/>
          <w:sz w:val="16"/>
          <w:szCs w:val="16"/>
          <w:color w:val="auto"/>
        </w:rPr>
        <w:t xml:space="preserve"> which requires entities to record the fair value of a liability for an asset retirement obligation in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amounts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September 30, 2023 and December 31, 2022, the Company estimated the value of its total asset retirement obligations to be $6,563 and $6,256, respectively.</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changes in the asset retirement obligations were as follows as of September 30,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tcPr>
          <w:p>
            <w:pPr>
              <w:jc w:val="right"/>
              <w:ind w:right="666"/>
              <w:spacing w:after="0"/>
              <w:rPr>
                <w:sz w:val="20"/>
                <w:szCs w:val="20"/>
                <w:color w:val="auto"/>
              </w:rPr>
            </w:pPr>
            <w:r>
              <w:rPr>
                <w:rFonts w:ascii="Arial" w:cs="Arial" w:eastAsia="Arial" w:hAnsi="Arial"/>
                <w:sz w:val="15"/>
                <w:szCs w:val="15"/>
                <w:b w:val="1"/>
                <w:bCs w:val="1"/>
                <w:color w:val="auto"/>
              </w:rPr>
              <w:t>September 30,</w:t>
            </w:r>
          </w:p>
        </w:tc>
      </w:tr>
      <w:tr>
        <w:trPr>
          <w:trHeight w:val="202"/>
        </w:trPr>
        <w:tc>
          <w:tcPr>
            <w:tcW w:w="68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966"/>
              <w:spacing w:after="0"/>
              <w:rPr>
                <w:sz w:val="20"/>
                <w:szCs w:val="20"/>
                <w:color w:val="auto"/>
              </w:rPr>
            </w:pPr>
            <w:r>
              <w:rPr>
                <w:rFonts w:ascii="Arial" w:cs="Arial" w:eastAsia="Arial" w:hAnsi="Arial"/>
                <w:sz w:val="15"/>
                <w:szCs w:val="15"/>
                <w:b w:val="1"/>
                <w:bCs w:val="1"/>
                <w:color w:val="auto"/>
              </w:rPr>
              <w:t>2023</w:t>
            </w:r>
          </w:p>
        </w:tc>
      </w:tr>
      <w:tr>
        <w:trPr>
          <w:trHeight w:val="202"/>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December 31, 2022 - Current and non-current</w:t>
            </w:r>
          </w:p>
        </w:tc>
        <w:tc>
          <w:tcPr>
            <w:tcW w:w="40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6,256</w:t>
            </w:r>
          </w:p>
        </w:tc>
      </w:tr>
      <w:tr>
        <w:trPr>
          <w:trHeight w:val="192"/>
        </w:trPr>
        <w:tc>
          <w:tcPr>
            <w:tcW w:w="6840" w:type="dxa"/>
            <w:vAlign w:val="bottom"/>
          </w:tcPr>
          <w:p>
            <w:pPr>
              <w:ind w:left="20"/>
              <w:spacing w:after="0"/>
              <w:rPr>
                <w:sz w:val="20"/>
                <w:szCs w:val="20"/>
                <w:color w:val="auto"/>
              </w:rPr>
            </w:pPr>
            <w:r>
              <w:rPr>
                <w:rFonts w:ascii="Arial" w:cs="Arial" w:eastAsia="Arial" w:hAnsi="Arial"/>
                <w:sz w:val="15"/>
                <w:szCs w:val="15"/>
                <w:color w:val="auto"/>
              </w:rPr>
              <w:t>Accretion expense</w:t>
            </w:r>
          </w:p>
        </w:tc>
        <w:tc>
          <w:tcPr>
            <w:tcW w:w="400" w:type="dxa"/>
            <w:vAlign w:val="bottom"/>
          </w:tcPr>
          <w:p>
            <w:pPr>
              <w:spacing w:after="0"/>
              <w:rPr>
                <w:sz w:val="16"/>
                <w:szCs w:val="16"/>
                <w:color w:val="auto"/>
              </w:rPr>
            </w:pPr>
          </w:p>
        </w:tc>
        <w:tc>
          <w:tcPr>
            <w:tcW w:w="1960" w:type="dxa"/>
            <w:vAlign w:val="bottom"/>
          </w:tcPr>
          <w:p>
            <w:pPr>
              <w:jc w:val="right"/>
              <w:ind w:right="6"/>
              <w:spacing w:after="0"/>
              <w:rPr>
                <w:sz w:val="20"/>
                <w:szCs w:val="20"/>
                <w:color w:val="auto"/>
              </w:rPr>
            </w:pPr>
            <w:r>
              <w:rPr>
                <w:rFonts w:ascii="Arial" w:cs="Arial" w:eastAsia="Arial" w:hAnsi="Arial"/>
                <w:sz w:val="15"/>
                <w:szCs w:val="15"/>
                <w:color w:val="auto"/>
              </w:rPr>
              <w:t>307</w:t>
            </w:r>
          </w:p>
        </w:tc>
      </w:tr>
      <w:tr>
        <w:trPr>
          <w:trHeight w:val="30"/>
        </w:trPr>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94"/>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asset retirement obligation</w:t>
            </w:r>
          </w:p>
        </w:tc>
        <w:tc>
          <w:tcPr>
            <w:tcW w:w="40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6,563</w:t>
            </w:r>
          </w:p>
        </w:tc>
      </w:tr>
      <w:tr>
        <w:trPr>
          <w:trHeight w:val="192"/>
        </w:trPr>
        <w:tc>
          <w:tcPr>
            <w:tcW w:w="684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4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(1,296)</w:t>
            </w:r>
          </w:p>
        </w:tc>
      </w:tr>
      <w:tr>
        <w:trPr>
          <w:trHeight w:val="30"/>
        </w:trPr>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6"/>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asset retirement obligation, net of current portion</w:t>
            </w: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5,267</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77"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06"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87"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05" w:lineRule="exact"/>
        <w:rPr>
          <w:sz w:val="20"/>
          <w:szCs w:val="20"/>
          <w:color w:val="auto"/>
        </w:rPr>
      </w:pPr>
    </w:p>
    <w:p>
      <w:pPr>
        <w:jc w:val="both"/>
        <w:ind w:firstLine="296"/>
        <w:spacing w:after="0" w:line="286" w:lineRule="auto"/>
        <w:rPr>
          <w:sz w:val="20"/>
          <w:szCs w:val="20"/>
          <w:color w:val="auto"/>
        </w:rPr>
      </w:pPr>
      <w:r>
        <w:rPr>
          <w:rFonts w:ascii="Arial" w:cs="Arial" w:eastAsia="Arial" w:hAnsi="Arial"/>
          <w:sz w:val="15"/>
          <w:szCs w:val="15"/>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Renewable Identification Numbers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environmental credits held for sale within the unaudited condensed consolidated balance sheet based on the fair value of RINs or LCFSs at contract commencement.</w:t>
      </w:r>
    </w:p>
    <w:p>
      <w:pPr>
        <w:spacing w:after="0" w:line="94"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On November 29, 2021, the Company entered into a purchase and sale agreement with NextEra, a related party for the Environmental Attributes generated by the RNG Fuels business. Under this agreement, the Company plans to sell a minimum of 90% of the Environmental Attributes generated and will receive net proceeds based on the agreed upon price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less a specified discount. A specified volume of Environmental Attributes sold per quarter will incur a fee per Environmental Attribute in addition to the specified discount. The agreement was effective beginning January 1, 2022. For the three months ended September 30, 2023 and 2022, the Company earned net revenues after discount and fees of $25,724 and $19,336, respectively. These amounts were recorded as part of Revenues - RNG fuel and Fuel Station Services. For the nine months ended September 30, 2023 and 2022, the Company earned net revenues after discount and fees of $43,784 and $49,024, respectively.</w:t>
      </w:r>
    </w:p>
    <w:p>
      <w:pPr>
        <w:spacing w:after="0" w:line="300" w:lineRule="exact"/>
        <w:rPr>
          <w:sz w:val="20"/>
          <w:szCs w:val="20"/>
          <w:color w:val="auto"/>
        </w:rPr>
      </w:pPr>
    </w:p>
    <w:p>
      <w:pPr>
        <w:jc w:val="both"/>
        <w:ind w:firstLine="296"/>
        <w:spacing w:after="0" w:line="280" w:lineRule="auto"/>
        <w:rPr>
          <w:sz w:val="20"/>
          <w:szCs w:val="20"/>
          <w:color w:val="auto"/>
        </w:rPr>
      </w:pPr>
      <w:r>
        <w:rPr>
          <w:rFonts w:ascii="Arial" w:cs="Arial" w:eastAsia="Arial" w:hAnsi="Arial"/>
          <w:sz w:val="15"/>
          <w:szCs w:val="15"/>
          <w:color w:val="auto"/>
        </w:rPr>
        <w:t>During third and fourth quarter of 2022, two of the wholly-owned subsidiaries from our Renewable Power portfolio entered into a purchase and sale agreement with an environmental attribute marketing firm to sell environmental attributes associated with renewable bio methane ("ISCC Carbon Credits") and purchase brown gas back at contracted fixed prices per million British thermal units ("MMbtu"). One of these contracts has a term of 3 years from the date of certification of the facility with an auto-renewal option. The other contract was terminated in August 2023. During the third quarter of 2023, two additional Renewable Power facilities entered into purchase and sale agreements with 3 year terms and similar terms and conditions as the previous contracts. These two facilities are expected to receive certification in the fourth quarter of 2023. These two facilities are expected to receive certification in the fourth quarter of 2023. For the three and nine months ended September 30, 2023, the Company earned net revenues of $3,732 and $13,425, respectively under this contract which were recorded as part of Revenues - Renewable Power in the unaudited condensed consolidated statement of operations. For the three and nine months ended September 30, 2022, the Company earned net revenues of $842 and recorded as part of Revenues - Renewable Power in the condensed consolidated statement of operations.</w:t>
      </w:r>
    </w:p>
    <w:p>
      <w:pPr>
        <w:spacing w:after="0" w:line="99"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Sales of Environmental Attributes such as RINs, renewable energy credits ("RECs"), and LCFS are generally recorded as revenue when the certificates related to them are delivered to a buyer. However, the Company may recognize revenue from the sale of such Environmental Attributes at the time of the related renewable power sales when the contract provides that title to the Environmental Attributes transfers at the time of production, the Company's price to the buyer is fixed, and collection of the sales proceeds is certain.</w:t>
      </w:r>
    </w:p>
    <w:p>
      <w:pPr>
        <w:spacing w:after="0" w:line="105"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Management operating fees are earned for the operation, maintenance, and repair of the gas collection system of a landfill site. Revenue is calculated on the volume of per MMBtu of LFG collected and the megawatt hours ("MWhs") produced at that site. This revenue is recognized when LFG is collected and renewable power is delivered.</w:t>
      </w:r>
    </w:p>
    <w:p>
      <w:pPr>
        <w:spacing w:after="0" w:line="87"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05"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99"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Arial" w:cs="Arial" w:eastAsia="Arial" w:hAnsi="Arial"/>
          <w:sz w:val="16"/>
          <w:szCs w:val="16"/>
          <w:i w:val="1"/>
          <w:iCs w:val="1"/>
          <w:color w:val="auto"/>
        </w:rPr>
        <w:t>Leases</w:t>
      </w:r>
      <w:r>
        <w:rPr>
          <w:rFonts w:ascii="Arial" w:cs="Arial" w:eastAsia="Arial" w:hAnsi="Arial"/>
          <w:sz w:val="16"/>
          <w:szCs w:val="16"/>
          <w:color w:val="auto"/>
        </w:rPr>
        <w:t>, the Company has concluded that these agreements meet the criteria for a lease and are classified as operating leases. Typically, these agreements do not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minimum consumption amounts and, therefore, no minimum payments. Upon adoption of ASC 842, the Company adopted the practical expedient not to reassess the classification. For additional information on lease revenues earned, please see Note 8. </w:t>
      </w:r>
      <w:r>
        <w:rPr>
          <w:rFonts w:ascii="Arial" w:cs="Arial" w:eastAsia="Arial" w:hAnsi="Arial"/>
          <w:sz w:val="16"/>
          <w:szCs w:val="16"/>
          <w:i w:val="1"/>
          <w:iCs w:val="1"/>
          <w:color w:val="auto"/>
        </w:rPr>
        <w:t>Leases.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Disaggregation of Revenue</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shows the disaggregation of revenue according to product line: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4"/>
          </w:tcPr>
          <w:p>
            <w:pPr>
              <w:jc w:val="right"/>
              <w:ind w:right="526"/>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6100" w:type="dxa"/>
            <w:vAlign w:val="bottom"/>
          </w:tcPr>
          <w:p>
            <w:pPr>
              <w:spacing w:after="0"/>
              <w:rPr>
                <w:sz w:val="17"/>
                <w:szCs w:val="17"/>
                <w:color w:val="auto"/>
              </w:rPr>
            </w:pPr>
          </w:p>
        </w:tc>
        <w:tc>
          <w:tcPr>
            <w:tcW w:w="2440" w:type="dxa"/>
            <w:vAlign w:val="bottom"/>
            <w:gridSpan w:val="6"/>
          </w:tcPr>
          <w:p>
            <w:pPr>
              <w:ind w:left="40"/>
              <w:spacing w:after="0"/>
              <w:rPr>
                <w:sz w:val="20"/>
                <w:szCs w:val="20"/>
                <w:color w:val="auto"/>
              </w:rPr>
            </w:pPr>
            <w:r>
              <w:rPr>
                <w:rFonts w:ascii="Arial" w:cs="Arial" w:eastAsia="Arial" w:hAnsi="Arial"/>
                <w:sz w:val="15"/>
                <w:szCs w:val="15"/>
                <w:b w:val="1"/>
                <w:bCs w:val="1"/>
                <w:color w:val="auto"/>
                <w:w w:val="93"/>
              </w:rPr>
              <w:t>Three Months Ended September 30,</w:t>
            </w:r>
          </w:p>
        </w:tc>
        <w:tc>
          <w:tcPr>
            <w:tcW w:w="300" w:type="dxa"/>
            <w:vAlign w:val="bottom"/>
          </w:tcPr>
          <w:p>
            <w:pPr>
              <w:spacing w:after="0"/>
              <w:rPr>
                <w:sz w:val="17"/>
                <w:szCs w:val="17"/>
                <w:color w:val="auto"/>
              </w:rPr>
            </w:pPr>
          </w:p>
        </w:tc>
        <w:tc>
          <w:tcPr>
            <w:tcW w:w="1500" w:type="dxa"/>
            <w:vAlign w:val="bottom"/>
            <w:gridSpan w:val="3"/>
          </w:tcPr>
          <w:p>
            <w:pPr>
              <w:jc w:val="right"/>
              <w:ind w:right="6"/>
              <w:spacing w:after="0"/>
              <w:rPr>
                <w:sz w:val="20"/>
                <w:szCs w:val="20"/>
                <w:color w:val="auto"/>
              </w:rPr>
            </w:pPr>
            <w:r>
              <w:rPr>
                <w:rFonts w:ascii="Arial" w:cs="Arial" w:eastAsia="Arial" w:hAnsi="Arial"/>
                <w:sz w:val="15"/>
                <w:szCs w:val="15"/>
                <w:b w:val="1"/>
                <w:bCs w:val="1"/>
                <w:color w:val="auto"/>
              </w:rPr>
              <w:t>September 30,</w:t>
            </w:r>
          </w:p>
        </w:tc>
        <w:tc>
          <w:tcPr>
            <w:tcW w:w="700" w:type="dxa"/>
            <w:vAlign w:val="bottom"/>
          </w:tcPr>
          <w:p>
            <w:pPr>
              <w:spacing w:after="0"/>
              <w:rPr>
                <w:sz w:val="17"/>
                <w:szCs w:val="17"/>
                <w:color w:val="auto"/>
              </w:rPr>
            </w:pPr>
          </w:p>
        </w:tc>
      </w:tr>
      <w:tr>
        <w:trPr>
          <w:trHeight w:val="192"/>
        </w:trPr>
        <w:tc>
          <w:tcPr>
            <w:tcW w:w="6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2022</w:t>
            </w:r>
          </w:p>
        </w:tc>
      </w:tr>
      <w:tr>
        <w:trPr>
          <w:trHeight w:val="30"/>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Electricity sales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8,929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9,666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26,925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27,205</w:t>
            </w:r>
          </w:p>
        </w:tc>
      </w:tr>
      <w:tr>
        <w:trPr>
          <w:trHeight w:val="192"/>
        </w:trPr>
        <w:tc>
          <w:tcPr>
            <w:tcW w:w="6100" w:type="dxa"/>
            <w:vAlign w:val="bottom"/>
          </w:tcPr>
          <w:p>
            <w:pPr>
              <w:ind w:left="20"/>
              <w:spacing w:after="0"/>
              <w:rPr>
                <w:sz w:val="20"/>
                <w:szCs w:val="20"/>
                <w:color w:val="auto"/>
              </w:rPr>
            </w:pPr>
            <w:r>
              <w:rPr>
                <w:rFonts w:ascii="Arial" w:cs="Arial" w:eastAsia="Arial" w:hAnsi="Arial"/>
                <w:sz w:val="15"/>
                <w:szCs w:val="15"/>
                <w:color w:val="auto"/>
              </w:rPr>
              <w:t>Third party construction</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15,182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18,661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37,429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41,476</w:t>
            </w:r>
          </w:p>
        </w:tc>
      </w:tr>
      <w:tr>
        <w:trPr>
          <w:trHeight w:val="30"/>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2"/>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Fuel Station Service</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4,824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3,480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13,728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11,910</w:t>
            </w:r>
          </w:p>
        </w:tc>
      </w:tr>
      <w:tr>
        <w:trPr>
          <w:trHeight w:val="192"/>
        </w:trPr>
        <w:tc>
          <w:tcPr>
            <w:tcW w:w="6100" w:type="dxa"/>
            <w:vAlign w:val="bottom"/>
          </w:tcPr>
          <w:p>
            <w:pPr>
              <w:ind w:left="20"/>
              <w:spacing w:after="0"/>
              <w:rPr>
                <w:sz w:val="20"/>
                <w:szCs w:val="20"/>
                <w:color w:val="auto"/>
              </w:rPr>
            </w:pPr>
            <w:r>
              <w:rPr>
                <w:rFonts w:ascii="Arial" w:cs="Arial" w:eastAsia="Arial" w:hAnsi="Arial"/>
                <w:sz w:val="15"/>
                <w:szCs w:val="15"/>
                <w:color w:val="auto"/>
              </w:rPr>
              <w:t>Brown gas sales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12,430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17,268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23,398</w:t>
            </w:r>
          </w:p>
        </w:tc>
      </w:tr>
      <w:tr>
        <w:trPr>
          <w:trHeight w:val="30"/>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2"/>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Environmental attributes</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38,480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19,648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68,848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58,444</w:t>
            </w:r>
          </w:p>
        </w:tc>
      </w:tr>
      <w:tr>
        <w:trPr>
          <w:trHeight w:val="192"/>
        </w:trPr>
        <w:tc>
          <w:tcPr>
            <w:tcW w:w="6100" w:type="dxa"/>
            <w:vAlign w:val="bottom"/>
          </w:tcPr>
          <w:p>
            <w:pPr>
              <w:ind w:left="20"/>
              <w:spacing w:after="0"/>
              <w:rPr>
                <w:sz w:val="20"/>
                <w:szCs w:val="20"/>
                <w:color w:val="auto"/>
              </w:rPr>
            </w:pPr>
            <w:r>
              <w:rPr>
                <w:rFonts w:ascii="Arial" w:cs="Arial" w:eastAsia="Arial" w:hAnsi="Arial"/>
                <w:sz w:val="15"/>
                <w:szCs w:val="15"/>
                <w:color w:val="auto"/>
              </w:rPr>
              <w:t>Parts sales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2,332</w:t>
            </w:r>
          </w:p>
        </w:tc>
      </w:tr>
      <w:tr>
        <w:trPr>
          <w:trHeight w:val="30"/>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2"/>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agreements</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893</w:t>
            </w:r>
          </w:p>
        </w:tc>
      </w:tr>
      <w:tr>
        <w:trPr>
          <w:trHeight w:val="192"/>
        </w:trPr>
        <w:tc>
          <w:tcPr>
            <w:tcW w:w="6100" w:type="dxa"/>
            <w:vAlign w:val="bottom"/>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236</w:t>
            </w:r>
          </w:p>
        </w:tc>
      </w:tr>
      <w:tr>
        <w:trPr>
          <w:trHeight w:val="30"/>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4"/>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revenue from contracts with customers</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69,961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65,310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166,163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165,894</w:t>
            </w:r>
          </w:p>
        </w:tc>
      </w:tr>
      <w:tr>
        <w:trPr>
          <w:trHeight w:val="192"/>
        </w:trPr>
        <w:tc>
          <w:tcPr>
            <w:tcW w:w="6100" w:type="dxa"/>
            <w:vAlign w:val="bottom"/>
          </w:tcPr>
          <w:p>
            <w:pPr>
              <w:ind w:left="20"/>
              <w:spacing w:after="0"/>
              <w:rPr>
                <w:sz w:val="20"/>
                <w:szCs w:val="20"/>
                <w:color w:val="auto"/>
              </w:rPr>
            </w:pPr>
            <w:r>
              <w:rPr>
                <w:rFonts w:ascii="Arial" w:cs="Arial" w:eastAsia="Arial" w:hAnsi="Arial"/>
                <w:sz w:val="15"/>
                <w:szCs w:val="15"/>
                <w:color w:val="auto"/>
              </w:rPr>
              <w:t>Lease revenue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2,920</w:t>
            </w:r>
          </w:p>
        </w:tc>
      </w:tr>
      <w:tr>
        <w:trPr>
          <w:trHeight w:val="30"/>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revenue</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66,550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169,100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168,814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right="100" w:firstLine="296"/>
        <w:spacing w:after="0" w:line="273" w:lineRule="auto"/>
        <w:rPr>
          <w:sz w:val="20"/>
          <w:szCs w:val="20"/>
          <w:color w:val="auto"/>
        </w:rPr>
      </w:pPr>
      <w:r>
        <w:rPr>
          <w:rFonts w:ascii="Arial" w:cs="Arial" w:eastAsia="Arial" w:hAnsi="Arial"/>
          <w:sz w:val="16"/>
          <w:szCs w:val="16"/>
          <w:color w:val="auto"/>
        </w:rPr>
        <w:t>For the three months ended September 30, 2023 and 2022, 21.4% and 28.0%, respectively of revenue was recognized over time, and the remainder was for products and services transferred at a point in time. For the nine months ended September 30, 2023 and 2022, 22.1% and 24.6%, respectively of revenue was recognized over time, and the remainder was for products and services transferred at a point in time.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items recorded as Other income:</w:t>
      </w:r>
    </w:p>
    <w:p>
      <w:pPr>
        <w:spacing w:after="0" w:line="260"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4000" w:type="dxa"/>
            <w:vAlign w:val="bottom"/>
          </w:tcPr>
          <w:p>
            <w:pPr>
              <w:spacing w:after="0"/>
              <w:rPr>
                <w:sz w:val="17"/>
                <w:szCs w:val="17"/>
                <w:color w:val="auto"/>
              </w:rPr>
            </w:pPr>
          </w:p>
        </w:tc>
        <w:tc>
          <w:tcPr>
            <w:tcW w:w="2920" w:type="dxa"/>
            <w:vAlign w:val="bottom"/>
            <w:gridSpan w:val="6"/>
          </w:tcPr>
          <w:p>
            <w:pPr>
              <w:ind w:left="28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7"/>
                <w:szCs w:val="17"/>
                <w:color w:val="auto"/>
              </w:rPr>
            </w:pPr>
          </w:p>
        </w:tc>
        <w:tc>
          <w:tcPr>
            <w:tcW w:w="2560" w:type="dxa"/>
            <w:vAlign w:val="bottom"/>
            <w:gridSpan w:val="4"/>
          </w:tcPr>
          <w:p>
            <w:pPr>
              <w:jc w:val="center"/>
              <w:ind w:right="106"/>
              <w:spacing w:after="0"/>
              <w:rPr>
                <w:sz w:val="20"/>
                <w:szCs w:val="20"/>
                <w:color w:val="auto"/>
              </w:rPr>
            </w:pPr>
            <w:r>
              <w:rPr>
                <w:rFonts w:ascii="Arial" w:cs="Arial" w:eastAsia="Arial" w:hAnsi="Arial"/>
                <w:sz w:val="15"/>
                <w:szCs w:val="15"/>
                <w:b w:val="1"/>
                <w:bCs w:val="1"/>
                <w:color w:val="auto"/>
                <w:w w:val="89"/>
              </w:rPr>
              <w:t>Nine Months Ended September 30,</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06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2023</w:t>
            </w: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30"/>
        </w:trPr>
        <w:tc>
          <w:tcPr>
            <w:tcW w:w="4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Loss on warrant exchange</w:t>
            </w:r>
          </w:p>
        </w:tc>
        <w:tc>
          <w:tcPr>
            <w:tcW w:w="1060" w:type="dxa"/>
            <w:vAlign w:val="bottom"/>
            <w:tcBorders>
              <w:bottom w:val="single" w:sz="8" w:color="CCEEFF"/>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center"/>
              <w:ind w:right="1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5"/>
                <w:szCs w:val="15"/>
                <w:color w:val="auto"/>
              </w:rPr>
              <w:t xml:space="preserve">Gain on deconsolidation of VIEs </w:t>
            </w:r>
            <w:r>
              <w:rPr>
                <w:rFonts w:ascii="Arial" w:cs="Arial" w:eastAsia="Arial" w:hAnsi="Arial"/>
                <w:sz w:val="19"/>
                <w:szCs w:val="19"/>
                <w:color w:val="auto"/>
                <w:vertAlign w:val="superscript"/>
              </w:rPr>
              <w:t>(1)</w:t>
            </w:r>
          </w:p>
        </w:tc>
        <w:tc>
          <w:tcPr>
            <w:tcW w:w="10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122,873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Gain on extinguishment of contingent liability</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4,365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4,365</w:t>
            </w: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Arial" w:cs="Arial" w:eastAsia="Arial" w:hAnsi="Arial"/>
                <w:sz w:val="15"/>
                <w:szCs w:val="15"/>
                <w:color w:val="auto"/>
              </w:rPr>
              <w:t>Gain on repayment of Note Receivable</w:t>
            </w:r>
          </w:p>
        </w:tc>
        <w:tc>
          <w:tcPr>
            <w:tcW w:w="10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1,943</w:t>
            </w:r>
          </w:p>
        </w:tc>
        <w:tc>
          <w:tcPr>
            <w:tcW w:w="0" w:type="dxa"/>
            <w:vAlign w:val="bottom"/>
          </w:tcPr>
          <w:p>
            <w:pPr>
              <w:spacing w:after="0"/>
              <w:rPr>
                <w:sz w:val="1"/>
                <w:szCs w:val="1"/>
                <w:color w:val="auto"/>
              </w:rPr>
            </w:pPr>
          </w:p>
        </w:tc>
      </w:tr>
      <w:tr>
        <w:trPr>
          <w:trHeight w:val="30"/>
        </w:trPr>
        <w:tc>
          <w:tcPr>
            <w:tcW w:w="4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Gain on transfer of non-financial asset in exchange for services</w:t>
            </w:r>
          </w:p>
        </w:tc>
        <w:tc>
          <w:tcPr>
            <w:tcW w:w="10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604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1,110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line="205" w:lineRule="exact"/>
              <w:rPr>
                <w:sz w:val="20"/>
                <w:szCs w:val="20"/>
                <w:color w:val="auto"/>
              </w:rPr>
            </w:pPr>
            <w:r>
              <w:rPr>
                <w:rFonts w:ascii="Arial" w:cs="Arial" w:eastAsia="Arial" w:hAnsi="Arial"/>
                <w:sz w:val="15"/>
                <w:szCs w:val="15"/>
                <w:color w:val="auto"/>
              </w:rPr>
              <w:t xml:space="preserve">received </w:t>
            </w:r>
            <w:r>
              <w:rPr>
                <w:rFonts w:ascii="Arial" w:cs="Arial" w:eastAsia="Arial" w:hAnsi="Arial"/>
                <w:sz w:val="19"/>
                <w:szCs w:val="19"/>
                <w:color w:val="auto"/>
                <w:vertAlign w:val="superscript"/>
              </w:rPr>
              <w:t>(2)</w:t>
            </w:r>
          </w:p>
        </w:tc>
        <w:tc>
          <w:tcPr>
            <w:tcW w:w="106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tcPr>
          <w:p>
            <w:pPr>
              <w:ind w:left="120"/>
              <w:spacing w:after="0"/>
              <w:rPr>
                <w:sz w:val="20"/>
                <w:szCs w:val="20"/>
                <w:color w:val="auto"/>
              </w:rPr>
            </w:pPr>
            <w:r>
              <w:rPr>
                <w:rFonts w:ascii="Arial" w:cs="Arial" w:eastAsia="Arial" w:hAnsi="Arial"/>
                <w:sz w:val="15"/>
                <w:szCs w:val="15"/>
                <w:color w:val="auto"/>
              </w:rPr>
              <w:t>Other income</w:t>
            </w: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604</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6,308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123,645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center"/>
              <w:ind w:right="166"/>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6,308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740" w:hanging="150"/>
        <w:spacing w:after="0"/>
        <w:tabs>
          <w:tab w:leader="none" w:pos="7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Represents non-cash gain on deconsolidation of Emerald and Sapphire on May 30, 2023.</w:t>
      </w:r>
    </w:p>
    <w:p>
      <w:pPr>
        <w:spacing w:after="0" w:line="187" w:lineRule="exact"/>
        <w:rPr>
          <w:rFonts w:ascii="Arial" w:cs="Arial" w:eastAsia="Arial" w:hAnsi="Arial"/>
          <w:sz w:val="18"/>
          <w:szCs w:val="18"/>
          <w:color w:val="auto"/>
          <w:vertAlign w:val="superscript"/>
        </w:rPr>
      </w:pPr>
    </w:p>
    <w:p>
      <w:pPr>
        <w:ind w:left="740" w:hanging="150"/>
        <w:spacing w:after="0"/>
        <w:tabs>
          <w:tab w:leader="none" w:pos="7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Represents the fair value of RINs transferred as consideration for services received.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Balances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provides information about receivables, contract assets, and contract liabilities from contracts with customers:</w:t>
      </w: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5" w:name="page26"/>
    <w:bookmarkEnd w:id="25"/>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6"/>
                <w:szCs w:val="16"/>
                <w:color w:val="auto"/>
              </w:rPr>
            </w:pPr>
          </w:p>
        </w:tc>
        <w:tc>
          <w:tcPr>
            <w:tcW w:w="1280" w:type="dxa"/>
            <w:vAlign w:val="bottom"/>
          </w:tcPr>
          <w:p>
            <w:pPr>
              <w:jc w:val="right"/>
              <w:ind w:right="226"/>
              <w:spacing w:after="0"/>
              <w:rPr>
                <w:sz w:val="20"/>
                <w:szCs w:val="20"/>
                <w:color w:val="auto"/>
              </w:rPr>
            </w:pPr>
            <w:r>
              <w:rPr>
                <w:rFonts w:ascii="Arial" w:cs="Arial" w:eastAsia="Arial" w:hAnsi="Arial"/>
                <w:sz w:val="15"/>
                <w:szCs w:val="15"/>
                <w:b w:val="1"/>
                <w:bCs w:val="1"/>
                <w:color w:val="auto"/>
                <w:w w:val="98"/>
              </w:rPr>
              <w:t>December 31,</w:t>
            </w:r>
          </w:p>
        </w:tc>
        <w:tc>
          <w:tcPr>
            <w:tcW w:w="0" w:type="dxa"/>
            <w:vAlign w:val="bottom"/>
          </w:tcPr>
          <w:p>
            <w:pPr>
              <w:spacing w:after="0"/>
              <w:rPr>
                <w:sz w:val="1"/>
                <w:szCs w:val="1"/>
                <w:color w:val="auto"/>
              </w:rPr>
            </w:pPr>
          </w:p>
        </w:tc>
      </w:tr>
      <w:tr>
        <w:trPr>
          <w:trHeight w:val="202"/>
        </w:trPr>
        <w:tc>
          <w:tcPr>
            <w:tcW w:w="8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Accounts receivable, net</w:t>
            </w: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31,000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31,083</w:t>
            </w:r>
          </w:p>
        </w:tc>
        <w:tc>
          <w:tcPr>
            <w:tcW w:w="0" w:type="dxa"/>
            <w:vAlign w:val="bottom"/>
          </w:tcPr>
          <w:p>
            <w:pPr>
              <w:spacing w:after="0"/>
              <w:rPr>
                <w:sz w:val="1"/>
                <w:szCs w:val="1"/>
                <w:color w:val="auto"/>
              </w:rPr>
            </w:pP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Contract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Cost and estimated earnings in excess of billings</w:t>
            </w: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10,975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7,027</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Accounts receivable retainage,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2,744</w:t>
            </w:r>
          </w:p>
        </w:tc>
        <w:tc>
          <w:tcPr>
            <w:tcW w:w="0" w:type="dxa"/>
            <w:vAlign w:val="bottom"/>
          </w:tcPr>
          <w:p>
            <w:pPr>
              <w:spacing w:after="0"/>
              <w:rPr>
                <w:sz w:val="1"/>
                <w:szCs w:val="1"/>
                <w:color w:val="auto"/>
              </w:rPr>
            </w:pP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Contract assets total</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Contract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Billings in excess of costs and estimated earnings</w:t>
            </w: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7,429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8,013</w:t>
            </w:r>
          </w:p>
        </w:tc>
        <w:tc>
          <w:tcPr>
            <w:tcW w:w="0" w:type="dxa"/>
            <w:vAlign w:val="bottom"/>
          </w:tcPr>
          <w:p>
            <w:pPr>
              <w:spacing w:after="0"/>
              <w:rPr>
                <w:sz w:val="1"/>
                <w:szCs w:val="1"/>
                <w:color w:val="auto"/>
              </w:rPr>
            </w:pPr>
          </w:p>
        </w:tc>
      </w:tr>
      <w:tr>
        <w:trPr>
          <w:trHeight w:val="211"/>
        </w:trPr>
        <w:tc>
          <w:tcPr>
            <w:tcW w:w="8160" w:type="dxa"/>
            <w:vAlign w:val="bottom"/>
          </w:tcPr>
          <w:p>
            <w:pPr>
              <w:ind w:left="300"/>
              <w:spacing w:after="0"/>
              <w:rPr>
                <w:sz w:val="20"/>
                <w:szCs w:val="20"/>
                <w:color w:val="auto"/>
              </w:rPr>
            </w:pPr>
            <w:r>
              <w:rPr>
                <w:rFonts w:ascii="Arial" w:cs="Arial" w:eastAsia="Arial" w:hAnsi="Arial"/>
                <w:sz w:val="15"/>
                <w:szCs w:val="15"/>
                <w:color w:val="auto"/>
              </w:rPr>
              <w:t>Contract liabilities total</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7,429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8,013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During the nine months ended September 30, 2023, the Company recognized revenue of $8,013 that was included in "Contract liabilities" at December 31, 2022.</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During the nine months ended September 30, 2022, the Company recognized revenue of $9,785 that was included in "Contract liabilities" at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53"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The Company's remaining performance obligations ("Backlog") represent the unrecognized revenue value of its contract commitments. The Company's backlog may significantly vary each reporting period based on the timing of major new contract commitments. At September 30, 2023, the Company had a Backlog of $46,549 which is anticipated to be recognized as revenue in the next 12 months.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53"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5"/>
          <w:szCs w:val="15"/>
          <w:color w:val="auto"/>
        </w:rPr>
        <w:t>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w:t>
      </w:r>
    </w:p>
    <w:p>
      <w:pPr>
        <w:spacing w:after="0" w:line="70" w:lineRule="exact"/>
        <w:rPr>
          <w:sz w:val="20"/>
          <w:szCs w:val="20"/>
          <w:color w:val="auto"/>
        </w:rPr>
      </w:pPr>
    </w:p>
    <w:p>
      <w:pPr>
        <w:jc w:val="both"/>
        <w:ind w:firstLine="296"/>
        <w:spacing w:after="0" w:line="262" w:lineRule="auto"/>
        <w:rPr>
          <w:sz w:val="20"/>
          <w:szCs w:val="20"/>
          <w:color w:val="auto"/>
        </w:rPr>
      </w:pPr>
      <w:r>
        <w:rPr>
          <w:rFonts w:ascii="Arial" w:cs="Arial" w:eastAsia="Arial" w:hAnsi="Arial"/>
          <w:sz w:val="16"/>
          <w:szCs w:val="16"/>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unaudited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 Vendors and Concentration of Credit Risk</w:t>
      </w:r>
    </w:p>
    <w:p>
      <w:pPr>
        <w:spacing w:after="0" w:line="153"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For the three and nine months ended September 30, 2023, two customers accounted for 49% and 41%, respectively of the Company's revenue. For the three and nine months ended September 30, 2022, two customers accounted for 49% and 45%, respectively of the Company's revenue. At September 30, 2023, one customers accounted for 22% of accounts receivable. At December 31, 2022, two customers accounted for 44% of accounts receivable.</w:t>
      </w:r>
    </w:p>
    <w:p>
      <w:pPr>
        <w:spacing w:after="0" w:line="99"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and trade receivables. The Company places its cash in high credit quality financial institutions located in the United States of America. The Company performs ongoing credit evaluations of its customers.</w:t>
      </w:r>
    </w:p>
    <w:p>
      <w:pPr>
        <w:spacing w:after="0" w:line="83" w:lineRule="exact"/>
        <w:rPr>
          <w:sz w:val="20"/>
          <w:szCs w:val="20"/>
          <w:color w:val="auto"/>
        </w:rPr>
      </w:pPr>
    </w:p>
    <w:p>
      <w:pPr>
        <w:jc w:val="both"/>
        <w:ind w:firstLine="296"/>
        <w:spacing w:after="0" w:line="294" w:lineRule="auto"/>
        <w:rPr>
          <w:sz w:val="20"/>
          <w:szCs w:val="20"/>
          <w:color w:val="auto"/>
        </w:rPr>
      </w:pPr>
      <w:r>
        <w:rPr>
          <w:rFonts w:ascii="Arial" w:cs="Arial" w:eastAsia="Arial" w:hAnsi="Arial"/>
          <w:sz w:val="16"/>
          <w:szCs w:val="16"/>
          <w:color w:val="auto"/>
        </w:rPr>
        <w:t>As of September 30, 2023</w:t>
      </w:r>
      <w:r>
        <w:rPr>
          <w:rFonts w:ascii="Arial" w:cs="Arial" w:eastAsia="Arial" w:hAnsi="Arial"/>
          <w:sz w:val="16"/>
          <w:szCs w:val="16"/>
          <w:b w:val="1"/>
          <w:bCs w:val="1"/>
          <w:color w:val="auto"/>
        </w:rPr>
        <w:t>,</w:t>
      </w:r>
      <w:r>
        <w:rPr>
          <w:rFonts w:ascii="Arial" w:cs="Arial" w:eastAsia="Arial" w:hAnsi="Arial"/>
          <w:sz w:val="16"/>
          <w:szCs w:val="16"/>
          <w:color w:val="auto"/>
        </w:rPr>
        <w:t xml:space="preserve"> two vendors accounted for 39% of the accounts payable. As of December 31, 2022, one vendor accounted for 19% of the accounts payable.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Investment in Other Entities</w:t>
      </w:r>
    </w:p>
    <w:p>
      <w:pPr>
        <w:spacing w:after="0" w:line="153"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unaudited condensed consolidated statements of operations as (loss) income from equity method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Formation Of A New Joint Venture</w:t>
      </w:r>
    </w:p>
    <w:p>
      <w:pPr>
        <w:spacing w:after="0" w:line="149" w:lineRule="exact"/>
        <w:rPr>
          <w:sz w:val="20"/>
          <w:szCs w:val="20"/>
          <w:color w:val="auto"/>
        </w:rPr>
      </w:pPr>
    </w:p>
    <w:p>
      <w:pPr>
        <w:jc w:val="both"/>
        <w:ind w:firstLine="296"/>
        <w:spacing w:after="0" w:line="260" w:lineRule="auto"/>
        <w:rPr>
          <w:sz w:val="20"/>
          <w:szCs w:val="20"/>
          <w:color w:val="auto"/>
        </w:rPr>
      </w:pPr>
      <w:r>
        <w:rPr>
          <w:rFonts w:ascii="Arial" w:cs="Arial" w:eastAsia="Arial" w:hAnsi="Arial"/>
          <w:sz w:val="16"/>
          <w:szCs w:val="16"/>
          <w:color w:val="auto"/>
        </w:rPr>
        <w:t>On September 14, 2023, OPAL L2G, a wholly-owned indirect subsidiary of the Company, entered into the Agreement with SJI LRNG, a wholly-owned indirect subsidiary of SJI, establishing the terms and conditions of governance and operation of the SJI Joint Venture. The purpose of the SJI Joint Venture, which is owned 50/50 by OPAL L2G and SJI LRNG, is to develop, construct, own and operate Facilities to produce RNG using biogas generated by certain landfills. The Agreement governs the terms and conditions of capital contributions to be made by the SJI Joint Venture members to fund the development, construction and operations of the Facilities. The Agreement requires members of the SJI Joint Venture to contribute their respective share (50% each) of such capital requirements. The Agreement initially contemplates two RNG projects (RNG Atlantic and RNG Burlington) in New Jersey with each RNG project represented as a separate series of membership interests, also owned 50-50 by the members. Further, the Agreement provides for the SJI Joint Venture to enter into a MSA, O&amp;M Agreement, and dispensing agreement with certain wholly-owned, indirect subsidiaries of the Company. The MSA establishes the terms and conditions for the day-to-day administration of the projects, including responsibility for managing the development and overseeing the construction of the Facilities. The O&amp;M Agreement establishes the terms and conditions for operating and maintaining the Facilities once construction is completed. The Dispensing Agreement provides for the acquisition, marketing and sale of the Environmental Attributes associated with RNG produced by the Facilities.</w:t>
      </w:r>
    </w:p>
    <w:p>
      <w:pPr>
        <w:spacing w:after="0" w:line="112" w:lineRule="exact"/>
        <w:rPr>
          <w:sz w:val="20"/>
          <w:szCs w:val="20"/>
          <w:color w:val="auto"/>
        </w:rPr>
      </w:pPr>
    </w:p>
    <w:p>
      <w:pPr>
        <w:jc w:val="both"/>
        <w:ind w:firstLine="296"/>
        <w:spacing w:after="0" w:line="290" w:lineRule="auto"/>
        <w:rPr>
          <w:sz w:val="20"/>
          <w:szCs w:val="20"/>
          <w:color w:val="auto"/>
        </w:rPr>
      </w:pPr>
      <w:r>
        <w:rPr>
          <w:rFonts w:ascii="Arial" w:cs="Arial" w:eastAsia="Arial" w:hAnsi="Arial"/>
          <w:sz w:val="15"/>
          <w:szCs w:val="15"/>
          <w:color w:val="auto"/>
        </w:rPr>
        <w:t xml:space="preserve">Upon the execution of the above transaction, the Company reassessed its equity interests in the SJI Joint Venture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and determined that the Company does not have a controlling financial interest in SJI Joint Venture under ASC 810 because the governance of the joint venture is driven by a board jointly controlled by the joint venture partner and OPAL equally and there are substantive participating rights held by the joint venture partner in the significant activities of SJI Joint Venture. As of September 30, 2023, there have been no material contribution made by the Company in the SJI Joint Venture.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Deconsolidation of Emerald and Sapphire</w:t>
      </w:r>
    </w:p>
    <w:p>
      <w:pPr>
        <w:spacing w:after="0" w:line="149" w:lineRule="exact"/>
        <w:rPr>
          <w:sz w:val="20"/>
          <w:szCs w:val="20"/>
          <w:color w:val="auto"/>
        </w:rPr>
      </w:pPr>
    </w:p>
    <w:p>
      <w:pPr>
        <w:jc w:val="both"/>
        <w:ind w:firstLine="591"/>
        <w:spacing w:after="0" w:line="324" w:lineRule="auto"/>
        <w:rPr>
          <w:sz w:val="20"/>
          <w:szCs w:val="20"/>
          <w:color w:val="auto"/>
        </w:rPr>
      </w:pPr>
      <w:r>
        <w:rPr>
          <w:rFonts w:ascii="Arial" w:cs="Arial" w:eastAsia="Arial" w:hAnsi="Arial"/>
          <w:sz w:val="15"/>
          <w:szCs w:val="15"/>
          <w:color w:val="auto"/>
        </w:rPr>
        <w:t>On May 30, 2023, the Company together with a third-party environmental solutions company formed Paragon. The Company owns 50% of the ownership interest in Paragon. Concurrent to the formation of Paragon, the Company contributed its 50% ownership interests in Emerald and Sapphire to Paragon.</w:t>
      </w:r>
    </w:p>
    <w:p>
      <w:pPr>
        <w:spacing w:after="0" w:line="64" w:lineRule="exact"/>
        <w:rPr>
          <w:sz w:val="20"/>
          <w:szCs w:val="20"/>
          <w:color w:val="auto"/>
        </w:rPr>
      </w:pPr>
    </w:p>
    <w:p>
      <w:pPr>
        <w:jc w:val="both"/>
        <w:ind w:firstLine="591"/>
        <w:spacing w:after="0" w:line="288" w:lineRule="auto"/>
        <w:rPr>
          <w:sz w:val="20"/>
          <w:szCs w:val="20"/>
          <w:color w:val="auto"/>
        </w:rPr>
      </w:pPr>
      <w:r>
        <w:rPr>
          <w:rFonts w:ascii="Arial" w:cs="Arial" w:eastAsia="Arial" w:hAnsi="Arial"/>
          <w:sz w:val="16"/>
          <w:szCs w:val="16"/>
          <w:color w:val="auto"/>
        </w:rPr>
        <w:t>On May 30, 2023, OPAL Fuels Intermediate Holdco 2 LLC (“OPAL Intermediate Holdco 2”), a wholly-owned indirect subsidiary of the Company, assigned to Paragon its rights and obligations under its existing senior secured credit facility, OPAL Term Loan II.</w:t>
      </w:r>
    </w:p>
    <w:p>
      <w:pPr>
        <w:spacing w:after="0" w:line="76" w:lineRule="exact"/>
        <w:rPr>
          <w:sz w:val="20"/>
          <w:szCs w:val="20"/>
          <w:color w:val="auto"/>
        </w:rPr>
      </w:pPr>
    </w:p>
    <w:p>
      <w:pPr>
        <w:jc w:val="both"/>
        <w:ind w:firstLine="591"/>
        <w:spacing w:after="0" w:line="267" w:lineRule="auto"/>
        <w:rPr>
          <w:sz w:val="20"/>
          <w:szCs w:val="20"/>
          <w:color w:val="auto"/>
        </w:rPr>
      </w:pPr>
      <w:r>
        <w:rPr>
          <w:rFonts w:ascii="Arial" w:cs="Arial" w:eastAsia="Arial" w:hAnsi="Arial"/>
          <w:sz w:val="16"/>
          <w:szCs w:val="16"/>
          <w:color w:val="auto"/>
        </w:rPr>
        <w:t xml:space="preserve">Upon the execution of the above two transactions, the Company reassessed its equity interests in Emerald and Sapphire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and determined that the Company does not have a controlling financial interest in Paragon under ASC 810 because the governance of the Paragon is driven by a board jointly controlled by the joint venture partner and OPAL equally and there are substantive participating rights held by the joint venture partner in the significant activities of Paragon.</w:t>
      </w:r>
    </w:p>
    <w:p>
      <w:pPr>
        <w:spacing w:after="0" w:line="105" w:lineRule="exact"/>
        <w:rPr>
          <w:sz w:val="20"/>
          <w:szCs w:val="20"/>
          <w:color w:val="auto"/>
        </w:rPr>
      </w:pPr>
    </w:p>
    <w:p>
      <w:pPr>
        <w:jc w:val="both"/>
        <w:ind w:firstLine="591"/>
        <w:spacing w:after="0" w:line="273" w:lineRule="auto"/>
        <w:rPr>
          <w:sz w:val="20"/>
          <w:szCs w:val="20"/>
          <w:color w:val="auto"/>
        </w:rPr>
      </w:pPr>
      <w:r>
        <w:rPr>
          <w:rFonts w:ascii="Arial" w:cs="Arial" w:eastAsia="Arial" w:hAnsi="Arial"/>
          <w:sz w:val="16"/>
          <w:szCs w:val="16"/>
          <w:color w:val="auto"/>
        </w:rPr>
        <w:t xml:space="preserve">Based on the above analysis, the Company determined that it should account for its ownership interests in Paragon under the equity method of accounting pursuant to ASC 323, </w:t>
      </w:r>
      <w:r>
        <w:rPr>
          <w:rFonts w:ascii="Arial" w:cs="Arial" w:eastAsia="Arial" w:hAnsi="Arial"/>
          <w:sz w:val="16"/>
          <w:szCs w:val="16"/>
          <w:i w:val="1"/>
          <w:iCs w:val="1"/>
          <w:color w:val="auto"/>
        </w:rPr>
        <w:t>Investments Equity Method and Joint Ventures</w:t>
      </w:r>
      <w:r>
        <w:rPr>
          <w:rFonts w:ascii="Arial" w:cs="Arial" w:eastAsia="Arial" w:hAnsi="Arial"/>
          <w:sz w:val="16"/>
          <w:szCs w:val="16"/>
          <w:color w:val="auto"/>
        </w:rPr>
        <w:t>, prospectively, as the Company has the ability to exercise significant influence, but not control over the joint venture company.</w:t>
      </w:r>
    </w:p>
    <w:p>
      <w:pPr>
        <w:spacing w:after="0" w:line="99" w:lineRule="exact"/>
        <w:rPr>
          <w:sz w:val="20"/>
          <w:szCs w:val="20"/>
          <w:color w:val="auto"/>
        </w:rPr>
      </w:pPr>
    </w:p>
    <w:p>
      <w:pPr>
        <w:jc w:val="both"/>
        <w:ind w:firstLine="591"/>
        <w:spacing w:after="0" w:line="265" w:lineRule="auto"/>
        <w:rPr>
          <w:sz w:val="20"/>
          <w:szCs w:val="20"/>
          <w:color w:val="auto"/>
        </w:rPr>
      </w:pPr>
      <w:r>
        <w:rPr>
          <w:rFonts w:ascii="Arial" w:cs="Arial" w:eastAsia="Arial" w:hAnsi="Arial"/>
          <w:sz w:val="16"/>
          <w:szCs w:val="16"/>
          <w:color w:val="auto"/>
        </w:rPr>
        <w:t>Prior to May 30, 2023, the Company consolidated these two entities in accordance with the variable interest entity model guidance under ASC 810, Consolidation. Additionally, the Company deconsolidated $2,765 capitalized interest on these two projects. Upon deconsolidation, the Company remeasured the fair value of the retained investment and recognized a gain of $122,873 in the condensed consolidated statement of operations for the nine months ended September 30, 2023 and a corresponding increase in its basis in Investment in Other Entities on its condensed consolidated balance sheet as of September 30, 2023. The Company determined that the gain on deconsolidation is attributable to the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4" w:lineRule="exact"/>
        <w:rPr>
          <w:sz w:val="20"/>
          <w:szCs w:val="20"/>
          <w:color w:val="auto"/>
        </w:rPr>
      </w:pPr>
    </w:p>
    <w:p>
      <w:pPr>
        <w:jc w:val="both"/>
        <w:ind w:left="1"/>
        <w:spacing w:after="0" w:line="273" w:lineRule="auto"/>
        <w:rPr>
          <w:sz w:val="20"/>
          <w:szCs w:val="20"/>
          <w:color w:val="auto"/>
        </w:rPr>
      </w:pPr>
      <w:r>
        <w:rPr>
          <w:rFonts w:ascii="Arial" w:cs="Arial" w:eastAsia="Arial" w:hAnsi="Arial"/>
          <w:sz w:val="16"/>
          <w:szCs w:val="16"/>
          <w:color w:val="auto"/>
        </w:rPr>
        <w:t>construction in progress and, therefore, will be amortized over the useful life of the asset which begins on the date the asset is placed in service. The fair value of the retained investment was measured based on a discounted cash flows model in which the future net cash flows from the two RNG facilities were discounted to their present value using a discount factor of 14%.</w:t>
      </w:r>
    </w:p>
    <w:p>
      <w:pPr>
        <w:spacing w:after="0" w:line="87"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following table shows the change in Investment in Other Entities:</w:t>
      </w:r>
    </w:p>
    <w:p>
      <w:pPr>
        <w:spacing w:after="0" w:line="223"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4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Pine Bend</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Paragon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Noble Road</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GREP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Total</w:t>
            </w:r>
          </w:p>
        </w:tc>
      </w:tr>
      <w:tr>
        <w:trPr>
          <w:trHeight w:val="201"/>
        </w:trPr>
        <w:tc>
          <w:tcPr>
            <w:tcW w:w="4940" w:type="dxa"/>
            <w:vAlign w:val="bottom"/>
          </w:tcPr>
          <w:p>
            <w:pPr>
              <w:ind w:left="20"/>
              <w:spacing w:after="0"/>
              <w:rPr>
                <w:sz w:val="20"/>
                <w:szCs w:val="20"/>
                <w:color w:val="auto"/>
              </w:rPr>
            </w:pPr>
            <w:r>
              <w:rPr>
                <w:rFonts w:ascii="Arial" w:cs="Arial" w:eastAsia="Arial" w:hAnsi="Arial"/>
                <w:sz w:val="16"/>
                <w:szCs w:val="16"/>
                <w:color w:val="auto"/>
              </w:rPr>
              <w:t>Percentage of ownership</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47"/>
        </w:trPr>
        <w:tc>
          <w:tcPr>
            <w:tcW w:w="4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22,518</w:t>
            </w:r>
          </w:p>
        </w:tc>
        <w:tc>
          <w:tcPr>
            <w:tcW w:w="10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25,165</w:t>
            </w:r>
          </w:p>
        </w:tc>
        <w:tc>
          <w:tcPr>
            <w:tcW w:w="8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8"/>
              <w:spacing w:after="0"/>
              <w:rPr>
                <w:sz w:val="20"/>
                <w:szCs w:val="20"/>
                <w:color w:val="auto"/>
              </w:rPr>
            </w:pPr>
            <w:r>
              <w:rPr>
                <w:rFonts w:ascii="Arial" w:cs="Arial" w:eastAsia="Arial" w:hAnsi="Arial"/>
                <w:sz w:val="16"/>
                <w:szCs w:val="16"/>
                <w:color w:val="auto"/>
              </w:rPr>
              <w:t>4,082</w:t>
            </w:r>
          </w:p>
        </w:tc>
        <w:tc>
          <w:tcPr>
            <w:tcW w:w="8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51,765</w:t>
            </w: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Deconsolidation of Emerald and Sapphire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34,662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34,662</w:t>
            </w: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auto"/>
              </w:rPr>
              <w:t>Deconsolidation of deferred financing costs and capitalized interest</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ind w:right="118"/>
              <w:spacing w:after="0"/>
              <w:rPr>
                <w:sz w:val="20"/>
                <w:szCs w:val="20"/>
                <w:color w:val="auto"/>
              </w:rPr>
            </w:pPr>
            <w:r>
              <w:rPr>
                <w:rFonts w:ascii="Arial" w:cs="Arial" w:eastAsia="Arial" w:hAnsi="Arial"/>
                <w:sz w:val="16"/>
                <w:szCs w:val="16"/>
                <w:color w:val="auto"/>
              </w:rPr>
              <w:t>1,383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1,383</w:t>
            </w:r>
          </w:p>
        </w:tc>
      </w:tr>
      <w:tr>
        <w:trPr>
          <w:trHeight w:val="210"/>
        </w:trPr>
        <w:tc>
          <w:tcPr>
            <w:tcW w:w="49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income from equity method investment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1,884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3,190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(810)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w:t>
            </w: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auto"/>
              </w:rPr>
              <w:t>Reclassification of adjustments into earnings</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(334)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10"/>
        </w:trPr>
        <w:tc>
          <w:tcPr>
            <w:tcW w:w="49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Contribution by the Company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auto"/>
              </w:rPr>
              <w:t>Distributions from return of investment in equity method investment</w:t>
            </w:r>
          </w:p>
        </w:tc>
        <w:tc>
          <w:tcPr>
            <w:tcW w:w="200" w:type="dxa"/>
            <w:vAlign w:val="bottom"/>
          </w:tcPr>
          <w:p>
            <w:pPr>
              <w:spacing w:after="0"/>
              <w:rPr>
                <w:sz w:val="18"/>
                <w:szCs w:val="18"/>
                <w:color w:val="auto"/>
              </w:rPr>
            </w:pPr>
          </w:p>
        </w:tc>
        <w:tc>
          <w:tcPr>
            <w:tcW w:w="1060" w:type="dxa"/>
            <w:vAlign w:val="bottom"/>
          </w:tcPr>
          <w:p>
            <w:pPr>
              <w:jc w:val="right"/>
              <w:ind w:right="78"/>
              <w:spacing w:after="0"/>
              <w:rPr>
                <w:sz w:val="20"/>
                <w:szCs w:val="20"/>
                <w:color w:val="auto"/>
              </w:rPr>
            </w:pPr>
            <w:r>
              <w:rPr>
                <w:rFonts w:ascii="Arial" w:cs="Arial" w:eastAsia="Arial" w:hAnsi="Arial"/>
                <w:sz w:val="16"/>
                <w:szCs w:val="16"/>
                <w:color w:val="auto"/>
              </w:rPr>
              <w:t>(3,525)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(3,585)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78"/>
              <w:spacing w:after="0"/>
              <w:rPr>
                <w:sz w:val="20"/>
                <w:szCs w:val="20"/>
                <w:color w:val="auto"/>
              </w:rPr>
            </w:pPr>
            <w:r>
              <w:rPr>
                <w:rFonts w:ascii="Arial" w:cs="Arial" w:eastAsia="Arial" w:hAnsi="Arial"/>
                <w:sz w:val="16"/>
                <w:szCs w:val="16"/>
                <w:color w:val="auto"/>
              </w:rPr>
              <w:t>(5,700)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(521)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(13,331)</w:t>
            </w: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515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09"/>
        </w:trPr>
        <w:tc>
          <w:tcPr>
            <w:tcW w:w="49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Gain on deconsolidation of Emerald and Sapphire </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ind w:right="118"/>
              <w:spacing w:after="0"/>
              <w:rPr>
                <w:sz w:val="20"/>
                <w:szCs w:val="20"/>
                <w:color w:val="auto"/>
              </w:rPr>
            </w:pPr>
            <w:r>
              <w:rPr>
                <w:rFonts w:ascii="Arial" w:cs="Arial" w:eastAsia="Arial" w:hAnsi="Arial"/>
                <w:sz w:val="16"/>
                <w:szCs w:val="16"/>
                <w:color w:val="auto"/>
              </w:rPr>
              <w:t>122,873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122,873</w:t>
            </w:r>
          </w:p>
        </w:tc>
      </w:tr>
      <w:tr>
        <w:trPr>
          <w:trHeight w:val="209"/>
        </w:trPr>
        <w:tc>
          <w:tcPr>
            <w:tcW w:w="49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Amortization of basis difference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(1,035)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r>
      <w:tr>
        <w:trPr>
          <w:trHeight w:val="202"/>
        </w:trPr>
        <w:tc>
          <w:tcPr>
            <w:tcW w:w="4940" w:type="dxa"/>
            <w:vAlign w:val="bottom"/>
          </w:tcPr>
          <w:p>
            <w:pPr>
              <w:ind w:left="20"/>
              <w:spacing w:after="0"/>
              <w:rPr>
                <w:sz w:val="20"/>
                <w:szCs w:val="20"/>
                <w:color w:val="auto"/>
              </w:rPr>
            </w:pPr>
            <w:r>
              <w:rPr>
                <w:rFonts w:ascii="Arial" w:cs="Arial" w:eastAsia="Arial" w:hAnsi="Arial"/>
                <w:sz w:val="16"/>
                <w:szCs w:val="16"/>
                <w:color w:val="auto"/>
              </w:rPr>
              <w:t>Balance at September 30, 2023</w:t>
            </w: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rPr>
              <w:t>20,659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rPr>
              <w:t>154,770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rPr>
              <w:t>21,620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rPr>
              <w:t>2,417</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199,466</w:t>
            </w: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1" w:right="240"/>
        <w:spacing w:after="0" w:line="231" w:lineRule="auto"/>
        <w:rPr>
          <w:sz w:val="20"/>
          <w:szCs w:val="20"/>
          <w:color w:val="auto"/>
        </w:rPr>
      </w:pPr>
      <w:r>
        <w:rPr>
          <w:rFonts w:ascii="Arial" w:cs="Arial" w:eastAsia="Arial" w:hAnsi="Arial"/>
          <w:sz w:val="21"/>
          <w:szCs w:val="21"/>
          <w:i w:val="1"/>
          <w:iCs w:val="1"/>
          <w:color w:val="auto"/>
          <w:vertAlign w:val="superscript"/>
        </w:rPr>
        <w: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Reflected in Income from equity method investments in the condensed consolidated statement of operations for the three and nine months ended September 30, 2023 and 2022.</w:t>
      </w:r>
    </w:p>
    <w:p>
      <w:pPr>
        <w:spacing w:after="0" w:line="139" w:lineRule="exact"/>
        <w:rPr>
          <w:sz w:val="20"/>
          <w:szCs w:val="20"/>
          <w:color w:val="auto"/>
        </w:rPr>
      </w:pPr>
    </w:p>
    <w:p>
      <w:pPr>
        <w:ind w:left="161" w:hanging="161"/>
        <w:spacing w:after="0"/>
        <w:tabs>
          <w:tab w:leader="none" w:pos="161"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Represents 50% of the $1,000 contributed by the Company in the third quarter of 2023.</w:t>
      </w:r>
    </w:p>
    <w:p>
      <w:pPr>
        <w:spacing w:after="0" w:line="138" w:lineRule="exact"/>
        <w:rPr>
          <w:rFonts w:ascii="Arial" w:cs="Arial" w:eastAsia="Arial" w:hAnsi="Arial"/>
          <w:sz w:val="19"/>
          <w:szCs w:val="19"/>
          <w:color w:val="auto"/>
          <w:vertAlign w:val="superscript"/>
        </w:rPr>
      </w:pPr>
    </w:p>
    <w:p>
      <w:pPr>
        <w:ind w:left="161" w:hanging="161"/>
        <w:spacing w:after="0"/>
        <w:tabs>
          <w:tab w:leader="none" w:pos="161"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Recorded as part of Other income in our condensed consolidated statement of operations for the three and nine months ended September 30, 2023.</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Note receivable</w:t>
      </w:r>
    </w:p>
    <w:p>
      <w:pPr>
        <w:spacing w:after="0" w:line="173" w:lineRule="exact"/>
        <w:rPr>
          <w:sz w:val="20"/>
          <w:szCs w:val="20"/>
          <w:color w:val="auto"/>
        </w:rPr>
      </w:pPr>
    </w:p>
    <w:p>
      <w:pPr>
        <w:jc w:val="both"/>
        <w:ind w:left="1" w:firstLine="296"/>
        <w:spacing w:after="0" w:line="273" w:lineRule="auto"/>
        <w:rPr>
          <w:sz w:val="20"/>
          <w:szCs w:val="20"/>
          <w:color w:val="auto"/>
        </w:rPr>
      </w:pPr>
      <w:r>
        <w:rPr>
          <w:rFonts w:ascii="Arial" w:cs="Arial" w:eastAsia="Arial" w:hAnsi="Arial"/>
          <w:sz w:val="16"/>
          <w:szCs w:val="16"/>
          <w:color w:val="auto"/>
        </w:rPr>
        <w:t>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w:t>
      </w:r>
    </w:p>
    <w:p>
      <w:pPr>
        <w:spacing w:after="0" w:line="99" w:lineRule="exact"/>
        <w:rPr>
          <w:sz w:val="20"/>
          <w:szCs w:val="20"/>
          <w:color w:val="auto"/>
        </w:rPr>
      </w:pPr>
    </w:p>
    <w:p>
      <w:pPr>
        <w:ind w:left="301"/>
        <w:spacing w:after="0"/>
        <w:rPr>
          <w:sz w:val="20"/>
          <w:szCs w:val="20"/>
          <w:color w:val="auto"/>
        </w:rPr>
      </w:pPr>
      <w:r>
        <w:rPr>
          <w:rFonts w:ascii="Arial" w:cs="Arial" w:eastAsia="Arial" w:hAnsi="Arial"/>
          <w:sz w:val="16"/>
          <w:szCs w:val="16"/>
          <w:color w:val="auto"/>
        </w:rPr>
        <w:t>On July 15, 2022, Biotown repaid the total amount outstanding under the Note receivable including paid-in-kind interest and prepayment penalty.</w:t>
      </w:r>
    </w:p>
    <w:p>
      <w:pPr>
        <w:spacing w:after="0" w:line="136" w:lineRule="exact"/>
        <w:rPr>
          <w:sz w:val="20"/>
          <w:szCs w:val="20"/>
          <w:color w:val="auto"/>
        </w:rPr>
      </w:pPr>
    </w:p>
    <w:p>
      <w:pPr>
        <w:jc w:val="both"/>
        <w:ind w:left="1" w:firstLine="296"/>
        <w:spacing w:after="0" w:line="286" w:lineRule="auto"/>
        <w:rPr>
          <w:sz w:val="20"/>
          <w:szCs w:val="20"/>
          <w:color w:val="auto"/>
        </w:rPr>
      </w:pPr>
      <w:r>
        <w:rPr>
          <w:rFonts w:ascii="Arial" w:cs="Arial" w:eastAsia="Arial" w:hAnsi="Arial"/>
          <w:sz w:val="15"/>
          <w:szCs w:val="15"/>
          <w:color w:val="auto"/>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$81 and $236 as a reduction in the interest and financing expense, net in the condensed consolidated statement of operations for the three and nine months ended September 30, 2023, respectively. The Company recorded $73 and $209 as a reduction to interest and financing expense, net in its condensed consolidated statement of operations for the three and nine months ended September 30, 2022.</w:t>
      </w:r>
    </w:p>
    <w:p>
      <w:pPr>
        <w:spacing w:after="0" w:line="94" w:lineRule="exact"/>
        <w:rPr>
          <w:sz w:val="20"/>
          <w:szCs w:val="20"/>
          <w:color w:val="auto"/>
        </w:rPr>
      </w:pPr>
    </w:p>
    <w:p>
      <w:pPr>
        <w:jc w:val="both"/>
        <w:ind w:left="1" w:firstLine="296"/>
        <w:spacing w:after="0" w:line="288" w:lineRule="auto"/>
        <w:rPr>
          <w:sz w:val="20"/>
          <w:szCs w:val="20"/>
          <w:color w:val="auto"/>
        </w:rPr>
      </w:pPr>
      <w:r>
        <w:rPr>
          <w:rFonts w:ascii="Arial" w:cs="Arial" w:eastAsia="Arial" w:hAnsi="Arial"/>
          <w:sz w:val="16"/>
          <w:szCs w:val="16"/>
          <w:color w:val="auto"/>
        </w:rPr>
        <w:t>The Note receivable - variable fee component of $2,178 and $1,942 is recorded as a long-term asset on its condensed consolidated balance sheets as of September 30, 2023 and December 31, 2022, respectively.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716978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28" w:name="page29"/>
    <w:bookmarkEnd w:id="28"/>
    <w:p>
      <w:pPr>
        <w:spacing w:after="0" w:line="154"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following table summarizes the net income from equity method investments:</w:t>
      </w:r>
    </w:p>
    <w:p>
      <w:pPr>
        <w:spacing w:after="0" w:line="200" w:lineRule="exact"/>
        <w:rPr>
          <w:sz w:val="20"/>
          <w:szCs w:val="20"/>
          <w:color w:val="auto"/>
        </w:rPr>
      </w:pPr>
    </w:p>
    <w:p>
      <w:pPr>
        <w:spacing w:after="0" w:line="306" w:lineRule="exact"/>
        <w:rPr>
          <w:sz w:val="20"/>
          <w:szCs w:val="20"/>
          <w:color w:val="auto"/>
        </w:rPr>
      </w:pPr>
    </w:p>
    <w:tbl>
      <w:tblPr>
        <w:tblLayout w:type="fixed"/>
        <w:tblInd w:w="1" w:type="dxa"/>
        <w:tblCellMar>
          <w:top w:w="0" w:type="dxa"/>
          <w:left w:w="0" w:type="dxa"/>
          <w:bottom w:w="0" w:type="dxa"/>
          <w:right w:w="0" w:type="dxa"/>
        </w:tblCellMar>
      </w:tblPr>
      <w:tr>
        <w:trPr>
          <w:trHeight w:val="202"/>
        </w:trPr>
        <w:tc>
          <w:tcPr>
            <w:tcW w:w="4920" w:type="dxa"/>
            <w:vAlign w:val="bottom"/>
          </w:tcPr>
          <w:p>
            <w:pPr>
              <w:spacing w:after="0"/>
              <w:rPr>
                <w:sz w:val="17"/>
                <w:szCs w:val="17"/>
                <w:color w:val="auto"/>
              </w:rPr>
            </w:pPr>
          </w:p>
        </w:tc>
        <w:tc>
          <w:tcPr>
            <w:tcW w:w="3140" w:type="dxa"/>
            <w:vAlign w:val="bottom"/>
            <w:tcBorders>
              <w:bottom w:val="single" w:sz="8" w:color="auto"/>
            </w:tcBorders>
            <w:gridSpan w:val="5"/>
          </w:tcPr>
          <w:p>
            <w:pPr>
              <w:jc w:val="right"/>
              <w:ind w:right="366"/>
              <w:spacing w:after="0"/>
              <w:rPr>
                <w:sz w:val="20"/>
                <w:szCs w:val="20"/>
                <w:color w:val="auto"/>
              </w:rPr>
            </w:pPr>
            <w:r>
              <w:rPr>
                <w:rFonts w:ascii="Arial" w:cs="Arial" w:eastAsia="Arial" w:hAnsi="Arial"/>
                <w:sz w:val="15"/>
                <w:szCs w:val="15"/>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5"/>
                <w:szCs w:val="15"/>
                <w:b w:val="1"/>
                <w:bCs w:val="1"/>
                <w:color w:val="auto"/>
                <w:w w:val="95"/>
              </w:rPr>
              <w:t>Nine Months Ended September 30,</w:t>
            </w:r>
          </w:p>
        </w:tc>
      </w:tr>
      <w:tr>
        <w:trPr>
          <w:trHeight w:val="207"/>
        </w:trPr>
        <w:tc>
          <w:tcPr>
            <w:tcW w:w="49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b w:val="1"/>
                <w:bCs w:val="1"/>
                <w:color w:val="auto"/>
              </w:rPr>
              <w:t>2022</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2022</w:t>
            </w:r>
          </w:p>
        </w:tc>
      </w:tr>
      <w:tr>
        <w:trPr>
          <w:trHeight w:val="217"/>
        </w:trPr>
        <w:tc>
          <w:tcPr>
            <w:tcW w:w="4920" w:type="dxa"/>
            <w:vAlign w:val="bottom"/>
            <w:shd w:val="clear" w:color="auto" w:fill="CCEEFF"/>
          </w:tcPr>
          <w:p>
            <w:pPr>
              <w:ind w:left="20"/>
              <w:spacing w:after="0" w:line="217" w:lineRule="exact"/>
              <w:rPr>
                <w:sz w:val="20"/>
                <w:szCs w:val="20"/>
                <w:color w:val="auto"/>
              </w:rPr>
            </w:pPr>
            <w:r>
              <w:rPr>
                <w:rFonts w:ascii="Arial" w:cs="Arial" w:eastAsia="Arial" w:hAnsi="Arial"/>
                <w:sz w:val="15"/>
                <w:szCs w:val="15"/>
                <w:color w:val="auto"/>
              </w:rPr>
              <w:t xml:space="preserve">Revenue </w:t>
            </w:r>
            <w:r>
              <w:rPr>
                <w:rFonts w:ascii="Arial" w:cs="Arial" w:eastAsia="Arial" w:hAnsi="Arial"/>
                <w:sz w:val="19"/>
                <w:szCs w:val="19"/>
                <w:color w:val="auto"/>
                <w:vertAlign w:val="superscript"/>
              </w:rPr>
              <w:t>(1)</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9,463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42,158</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47,247</w:t>
            </w:r>
          </w:p>
        </w:tc>
      </w:tr>
      <w:tr>
        <w:trPr>
          <w:trHeight w:val="192"/>
        </w:trPr>
        <w:tc>
          <w:tcPr>
            <w:tcW w:w="492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3"/>
              </w:rPr>
              <w:t>(11,268)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6"/>
              <w:spacing w:after="0"/>
              <w:rPr>
                <w:sz w:val="20"/>
                <w:szCs w:val="20"/>
                <w:color w:val="auto"/>
              </w:rPr>
            </w:pPr>
            <w:r>
              <w:rPr>
                <w:rFonts w:ascii="Arial" w:cs="Arial" w:eastAsia="Arial" w:hAnsi="Arial"/>
                <w:sz w:val="15"/>
                <w:szCs w:val="15"/>
                <w:color w:val="auto"/>
              </w:rPr>
              <w:t>33,053</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(1,392)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34,665</w:t>
            </w:r>
          </w:p>
        </w:tc>
      </w:tr>
      <w:tr>
        <w:trPr>
          <w:trHeight w:val="30"/>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2"/>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4,533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31,356</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1,634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29,615</w:t>
            </w:r>
          </w:p>
        </w:tc>
      </w:tr>
      <w:tr>
        <w:trPr>
          <w:trHeight w:val="246"/>
        </w:trPr>
        <w:tc>
          <w:tcPr>
            <w:tcW w:w="4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2"/>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Net income from equity method investments </w:t>
            </w:r>
            <w:r>
              <w:rPr>
                <w:rFonts w:ascii="Arial" w:cs="Arial" w:eastAsia="Arial" w:hAnsi="Arial"/>
                <w:sz w:val="19"/>
                <w:szCs w:val="19"/>
                <w:color w:val="auto"/>
                <w:vertAlign w:val="superscript"/>
              </w:rPr>
              <w:t>(2)</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3,694</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3,658</w:t>
            </w:r>
          </w:p>
        </w:tc>
      </w:tr>
    </w:tbl>
    <w:p>
      <w:pPr>
        <w:spacing w:after="0" w:line="271" w:lineRule="exact"/>
        <w:rPr>
          <w:sz w:val="20"/>
          <w:szCs w:val="20"/>
          <w:color w:val="auto"/>
        </w:rPr>
      </w:pPr>
    </w:p>
    <w:p>
      <w:pPr>
        <w:ind w:left="1" w:firstLine="294"/>
        <w:spacing w:after="0" w:line="221" w:lineRule="auto"/>
        <w:tabs>
          <w:tab w:leader="none" w:pos="487" w:val="left"/>
        </w:tabs>
        <w:numPr>
          <w:ilvl w:val="1"/>
          <w:numId w:val="10"/>
        </w:numPr>
        <w:rPr>
          <w:rFonts w:ascii="Arial" w:cs="Arial" w:eastAsia="Arial" w:hAnsi="Arial"/>
          <w:sz w:val="21"/>
          <w:szCs w:val="21"/>
          <w:color w:val="auto"/>
          <w:vertAlign w:val="superscript"/>
        </w:rPr>
      </w:pPr>
      <w:r>
        <w:rPr>
          <w:rFonts w:ascii="Arial" w:cs="Arial" w:eastAsia="Arial" w:hAnsi="Arial"/>
          <w:sz w:val="16"/>
          <w:szCs w:val="16"/>
          <w:color w:val="auto"/>
        </w:rPr>
        <w:t>Revenues include a realized gain of $32,796 from commodity swap contracts on our equity method investment, GREP for the three and nine months ended September 30, 2022.</w:t>
      </w:r>
    </w:p>
    <w:p>
      <w:pPr>
        <w:spacing w:after="0" w:line="199" w:lineRule="exact"/>
        <w:rPr>
          <w:rFonts w:ascii="Arial" w:cs="Arial" w:eastAsia="Arial" w:hAnsi="Arial"/>
          <w:sz w:val="21"/>
          <w:szCs w:val="21"/>
          <w:color w:val="auto"/>
          <w:vertAlign w:val="superscript"/>
        </w:rPr>
      </w:pPr>
    </w:p>
    <w:p>
      <w:pPr>
        <w:ind w:left="1" w:firstLine="294"/>
        <w:spacing w:after="0" w:line="221" w:lineRule="auto"/>
        <w:tabs>
          <w:tab w:leader="none" w:pos="492" w:val="left"/>
        </w:tabs>
        <w:numPr>
          <w:ilvl w:val="1"/>
          <w:numId w:val="10"/>
        </w:numPr>
        <w:rPr>
          <w:rFonts w:ascii="Arial" w:cs="Arial" w:eastAsia="Arial" w:hAnsi="Arial"/>
          <w:sz w:val="21"/>
          <w:szCs w:val="21"/>
          <w:color w:val="auto"/>
          <w:vertAlign w:val="superscript"/>
        </w:rPr>
      </w:pPr>
      <w:r>
        <w:rPr>
          <w:rFonts w:ascii="Arial" w:cs="Arial" w:eastAsia="Arial" w:hAnsi="Arial"/>
          <w:sz w:val="16"/>
          <w:szCs w:val="16"/>
          <w:color w:val="auto"/>
        </w:rPr>
        <w:t>Net income from equity method investments represents our portion of the net income from equity method investments including amortization of any basis differences.</w:t>
      </w:r>
    </w:p>
    <w:p>
      <w:pPr>
        <w:spacing w:after="0" w:line="121" w:lineRule="exact"/>
        <w:rPr>
          <w:rFonts w:ascii="Arial" w:cs="Arial" w:eastAsia="Arial" w:hAnsi="Arial"/>
          <w:sz w:val="21"/>
          <w:szCs w:val="21"/>
          <w:color w:val="auto"/>
          <w:vertAlign w:val="superscript"/>
        </w:rPr>
      </w:pPr>
    </w:p>
    <w:p>
      <w:pPr>
        <w:ind w:left="161" w:hanging="161"/>
        <w:spacing w:after="0"/>
        <w:tabs>
          <w:tab w:leader="none" w:pos="161"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 Net</w:t>
      </w:r>
    </w:p>
    <w:p>
      <w:pPr>
        <w:spacing w:after="0" w:line="116" w:lineRule="exact"/>
        <w:rPr>
          <w:sz w:val="20"/>
          <w:szCs w:val="20"/>
          <w:color w:val="auto"/>
        </w:rPr>
      </w:pPr>
    </w:p>
    <w:p>
      <w:pPr>
        <w:ind w:left="301"/>
        <w:spacing w:after="0"/>
        <w:rPr>
          <w:sz w:val="20"/>
          <w:szCs w:val="20"/>
          <w:color w:val="auto"/>
        </w:rPr>
      </w:pPr>
      <w:r>
        <w:rPr>
          <w:rFonts w:ascii="Arial" w:cs="Arial" w:eastAsia="Arial" w:hAnsi="Arial"/>
          <w:sz w:val="16"/>
          <w:szCs w:val="16"/>
          <w:color w:val="auto"/>
        </w:rPr>
        <w:t>Property, plant, and equipment, net, consisted of the following as of September 30, 2023 and December 31, 2022:</w:t>
      </w:r>
    </w:p>
    <w:p>
      <w:pPr>
        <w:spacing w:after="0" w:line="63" w:lineRule="exact"/>
        <w:rPr>
          <w:sz w:val="20"/>
          <w:szCs w:val="20"/>
          <w:color w:val="auto"/>
        </w:rPr>
      </w:pPr>
    </w:p>
    <w:tbl>
      <w:tblPr>
        <w:tblLayout w:type="fixed"/>
        <w:tblInd w:w="1" w:type="dxa"/>
        <w:tblCellMar>
          <w:top w:w="0" w:type="dxa"/>
          <w:left w:w="0" w:type="dxa"/>
          <w:bottom w:w="0" w:type="dxa"/>
          <w:right w:w="0" w:type="dxa"/>
        </w:tblCellMar>
      </w:tblPr>
      <w:tr>
        <w:trPr>
          <w:trHeight w:val="173"/>
        </w:trPr>
        <w:tc>
          <w:tcPr>
            <w:tcW w:w="8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5"/>
                <w:szCs w:val="15"/>
                <w:color w:val="auto"/>
              </w:rPr>
            </w:pPr>
          </w:p>
        </w:tc>
        <w:tc>
          <w:tcPr>
            <w:tcW w:w="1280" w:type="dxa"/>
            <w:vAlign w:val="bottom"/>
          </w:tcPr>
          <w:p>
            <w:pPr>
              <w:jc w:val="right"/>
              <w:ind w:right="226"/>
              <w:spacing w:after="0"/>
              <w:rPr>
                <w:sz w:val="20"/>
                <w:szCs w:val="20"/>
                <w:color w:val="auto"/>
              </w:rPr>
            </w:pPr>
            <w:r>
              <w:rPr>
                <w:rFonts w:ascii="Arial" w:cs="Arial" w:eastAsia="Arial" w:hAnsi="Arial"/>
                <w:sz w:val="15"/>
                <w:szCs w:val="15"/>
                <w:b w:val="1"/>
                <w:bCs w:val="1"/>
                <w:color w:val="auto"/>
                <w:w w:val="98"/>
              </w:rPr>
              <w:t>December 31,</w:t>
            </w:r>
          </w:p>
        </w:tc>
      </w:tr>
      <w:tr>
        <w:trPr>
          <w:trHeight w:val="192"/>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26"/>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06"/>
              <w:spacing w:after="0"/>
              <w:rPr>
                <w:sz w:val="20"/>
                <w:szCs w:val="20"/>
                <w:color w:val="auto"/>
              </w:rPr>
            </w:pPr>
            <w:r>
              <w:rPr>
                <w:rFonts w:ascii="Arial" w:cs="Arial" w:eastAsia="Arial" w:hAnsi="Arial"/>
                <w:sz w:val="15"/>
                <w:szCs w:val="15"/>
                <w:b w:val="1"/>
                <w:bCs w:val="1"/>
                <w:color w:val="auto"/>
              </w:rPr>
              <w:t>2022</w:t>
            </w: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Plant and equipment</w:t>
            </w: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203,473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201,655</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CNG/RNG fueling stations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46,892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34,567</w:t>
            </w: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Construction in progress </w:t>
            </w:r>
            <w:r>
              <w:rPr>
                <w:rFonts w:ascii="Arial" w:cs="Arial" w:eastAsia="Arial" w:hAnsi="Arial"/>
                <w:sz w:val="19"/>
                <w:szCs w:val="19"/>
                <w:color w:val="auto"/>
                <w:vertAlign w:val="superscript"/>
              </w:rPr>
              <w:t>(1)</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152,105</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Buildings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2,585</w:t>
            </w: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Land</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1,303</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Service equipment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1,888</w:t>
            </w: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815</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Vehicles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313</w:t>
            </w: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Office furniture and equipment</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307</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Computer software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277</w:t>
            </w: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Vehicles - finance leases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1,708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1,236</w:t>
            </w: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487</w:t>
            </w: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8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411,018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397,538</w:t>
            </w:r>
          </w:p>
        </w:tc>
      </w:tr>
      <w:tr>
        <w:trPr>
          <w:trHeight w:val="184"/>
        </w:trPr>
        <w:tc>
          <w:tcPr>
            <w:tcW w:w="8160" w:type="dxa"/>
            <w:vAlign w:val="bottom"/>
          </w:tcPr>
          <w:p>
            <w:pPr>
              <w:ind w:left="20"/>
              <w:spacing w:after="0"/>
              <w:rPr>
                <w:sz w:val="20"/>
                <w:szCs w:val="20"/>
                <w:color w:val="auto"/>
              </w:rPr>
            </w:pPr>
            <w:r>
              <w:rPr>
                <w:rFonts w:ascii="Arial" w:cs="Arial" w:eastAsia="Arial" w:hAnsi="Arial"/>
                <w:sz w:val="15"/>
                <w:szCs w:val="15"/>
                <w:color w:val="auto"/>
              </w:rPr>
              <w:t>Less: accumulated depreciation</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(107,328)</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(100,215)</w:t>
            </w: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Property, plant, and equipment, net</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303,690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297,323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01"/>
        <w:spacing w:after="0"/>
        <w:rPr>
          <w:sz w:val="20"/>
          <w:szCs w:val="20"/>
          <w:color w:val="auto"/>
        </w:rPr>
      </w:pPr>
      <w:r>
        <w:rPr>
          <w:rFonts w:ascii="Arial" w:cs="Arial" w:eastAsia="Arial" w:hAnsi="Arial"/>
          <w:sz w:val="16"/>
          <w:szCs w:val="16"/>
          <w:color w:val="auto"/>
        </w:rPr>
        <w:t>(1) Includes $4,101 and $3,081 of capitalized interest on our OPAL Term Loan facility as of September 30, 2023 and December 31, 2022.</w:t>
      </w:r>
    </w:p>
    <w:p>
      <w:pPr>
        <w:spacing w:after="0" w:line="112" w:lineRule="exact"/>
        <w:rPr>
          <w:sz w:val="20"/>
          <w:szCs w:val="20"/>
          <w:color w:val="auto"/>
        </w:rPr>
      </w:pPr>
    </w:p>
    <w:p>
      <w:pPr>
        <w:jc w:val="both"/>
        <w:ind w:left="1" w:firstLine="296"/>
        <w:spacing w:after="0" w:line="290" w:lineRule="auto"/>
        <w:rPr>
          <w:sz w:val="20"/>
          <w:szCs w:val="20"/>
          <w:color w:val="auto"/>
        </w:rPr>
      </w:pPr>
      <w:r>
        <w:rPr>
          <w:rFonts w:ascii="Arial" w:cs="Arial" w:eastAsia="Arial" w:hAnsi="Arial"/>
          <w:sz w:val="15"/>
          <w:szCs w:val="15"/>
          <w:color w:val="auto"/>
        </w:rPr>
        <w:t>As of September 30, 2023, the construction in progress balance consists of our investment in the construction of RNG generation facilities including, but not limited to Prince William, Central Valley RNG projects and RNG dispensing facilities. The majority of these facilities, for which costs are in construction in progress as of September 30, 2023, are expected to be operational during the fourth quarter of 2023 and early 2024. As of December 31, 2022, the construction in progress balance consists of our investment in the construction of RNG generation facilities such as Emerald, Sapphire, Prince William, Central Valley and other RNG dispensing facilities.</w:t>
      </w:r>
    </w:p>
    <w:p>
      <w:pPr>
        <w:spacing w:after="0" w:line="54" w:lineRule="exact"/>
        <w:rPr>
          <w:sz w:val="20"/>
          <w:szCs w:val="20"/>
          <w:color w:val="auto"/>
        </w:rPr>
      </w:pPr>
    </w:p>
    <w:p>
      <w:pPr>
        <w:jc w:val="both"/>
        <w:ind w:left="1" w:firstLine="296"/>
        <w:spacing w:after="0" w:line="288" w:lineRule="auto"/>
        <w:rPr>
          <w:sz w:val="20"/>
          <w:szCs w:val="20"/>
          <w:color w:val="auto"/>
        </w:rPr>
      </w:pPr>
      <w:r>
        <w:rPr>
          <w:rFonts w:ascii="Arial" w:cs="Arial" w:eastAsia="Arial" w:hAnsi="Arial"/>
          <w:sz w:val="16"/>
          <w:szCs w:val="16"/>
          <w:color w:val="auto"/>
        </w:rPr>
        <w:t>Depreciation expense on property, plant, and equipment for the three months ended September 30, 2023 and 2022 was $3,485 and $2,992, respectively. The depreciation expense for the nine months ended September 30, 2023 and September 30, 2022 was $10,162 and $9,271, respectively.</w:t>
      </w:r>
    </w:p>
    <w:p>
      <w:pPr>
        <w:spacing w:after="0" w:line="8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5. Intangible Assets, Net</w:t>
      </w:r>
    </w:p>
    <w:p>
      <w:pPr>
        <w:spacing w:after="0" w:line="116" w:lineRule="exact"/>
        <w:rPr>
          <w:sz w:val="20"/>
          <w:szCs w:val="20"/>
          <w:color w:val="auto"/>
        </w:rPr>
      </w:pPr>
    </w:p>
    <w:p>
      <w:pPr>
        <w:ind w:left="301"/>
        <w:spacing w:after="0"/>
        <w:rPr>
          <w:sz w:val="20"/>
          <w:szCs w:val="20"/>
          <w:color w:val="auto"/>
        </w:rPr>
      </w:pPr>
      <w:r>
        <w:rPr>
          <w:rFonts w:ascii="Arial" w:cs="Arial" w:eastAsia="Arial" w:hAnsi="Arial"/>
          <w:sz w:val="16"/>
          <w:szCs w:val="16"/>
          <w:color w:val="auto"/>
        </w:rPr>
        <w:t>Intangible assets, net, consisted of the following at September 30, 2023 and December 31, 2022: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716978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29" w:name="page30"/>
    <w:bookmarkEnd w:id="29"/>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5"/>
          </w:tcPr>
          <w:p>
            <w:pPr>
              <w:jc w:val="right"/>
              <w:ind w:right="506"/>
              <w:spacing w:after="0"/>
              <w:rPr>
                <w:sz w:val="20"/>
                <w:szCs w:val="20"/>
                <w:color w:val="auto"/>
              </w:rPr>
            </w:pPr>
            <w:r>
              <w:rPr>
                <w:rFonts w:ascii="Arial" w:cs="Arial" w:eastAsia="Arial" w:hAnsi="Arial"/>
                <w:sz w:val="15"/>
                <w:szCs w:val="15"/>
                <w:b w:val="1"/>
                <w:bCs w:val="1"/>
                <w:color w:val="auto"/>
              </w:rPr>
              <w:t>September 30, 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30"/>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77"/>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Weighted</w:t>
            </w:r>
          </w:p>
        </w:tc>
      </w:tr>
      <w:tr>
        <w:trPr>
          <w:trHeight w:val="185"/>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Average</w:t>
            </w:r>
          </w:p>
        </w:tc>
      </w:tr>
      <w:tr>
        <w:trPr>
          <w:trHeight w:val="173"/>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306"/>
              <w:spacing w:after="0"/>
              <w:rPr>
                <w:sz w:val="20"/>
                <w:szCs w:val="20"/>
                <w:color w:val="auto"/>
              </w:rPr>
            </w:pPr>
            <w:r>
              <w:rPr>
                <w:rFonts w:ascii="Arial" w:cs="Arial" w:eastAsia="Arial" w:hAnsi="Arial"/>
                <w:sz w:val="15"/>
                <w:szCs w:val="15"/>
                <w:b w:val="1"/>
                <w:bCs w:val="1"/>
                <w:color w:val="auto"/>
                <w:w w:val="93"/>
              </w:rPr>
              <w:t>Intangible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1"/>
              </w:rPr>
              <w:t>Amortization</w:t>
            </w:r>
          </w:p>
        </w:tc>
      </w:tr>
      <w:tr>
        <w:trPr>
          <w:trHeight w:val="173"/>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b w:val="1"/>
                <w:bCs w:val="1"/>
                <w:color w:val="auto"/>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266"/>
              <w:spacing w:after="0"/>
              <w:rPr>
                <w:sz w:val="20"/>
                <w:szCs w:val="20"/>
                <w:color w:val="auto"/>
              </w:rPr>
            </w:pPr>
            <w:r>
              <w:rPr>
                <w:rFonts w:ascii="Arial" w:cs="Arial" w:eastAsia="Arial" w:hAnsi="Arial"/>
                <w:sz w:val="15"/>
                <w:szCs w:val="15"/>
                <w:b w:val="1"/>
                <w:bCs w:val="1"/>
                <w:color w:val="auto"/>
                <w:w w:val="78"/>
              </w:rPr>
              <w:t>Assets,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9"/>
              </w:rPr>
              <w:t>Period</w:t>
            </w:r>
          </w:p>
        </w:tc>
      </w:tr>
      <w:tr>
        <w:trPr>
          <w:trHeight w:val="214"/>
        </w:trPr>
        <w:tc>
          <w:tcPr>
            <w:tcW w:w="4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Cost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ind w:left="306"/>
              <w:spacing w:after="0"/>
              <w:rPr>
                <w:sz w:val="20"/>
                <w:szCs w:val="20"/>
                <w:color w:val="auto"/>
              </w:rPr>
            </w:pPr>
            <w:r>
              <w:rPr>
                <w:rFonts w:ascii="Arial" w:cs="Arial" w:eastAsia="Arial" w:hAnsi="Arial"/>
                <w:sz w:val="15"/>
                <w:szCs w:val="15"/>
                <w:b w:val="1"/>
                <w:bCs w:val="1"/>
                <w:color w:val="auto"/>
                <w:w w:val="90"/>
              </w:rPr>
              <w:t>Net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(Years)</w:t>
            </w:r>
          </w:p>
        </w:tc>
      </w:tr>
      <w:tr>
        <w:trPr>
          <w:trHeight w:val="20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Power purchase agreements</w:t>
            </w:r>
          </w:p>
        </w:tc>
        <w:tc>
          <w:tcPr>
            <w:tcW w:w="440" w:type="dxa"/>
            <w:vAlign w:val="bottom"/>
            <w:tcBorders>
              <w:bottom w:val="single" w:sz="8" w:color="CCEEFF"/>
            </w:tcBorders>
            <w:gridSpan w:val="2"/>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8,999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(7,889)</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04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79"/>
              </w:rPr>
              <w:t>1,110</w:t>
            </w:r>
          </w:p>
        </w:tc>
        <w:tc>
          <w:tcPr>
            <w:tcW w:w="1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18.1</w:t>
            </w:r>
          </w:p>
        </w:tc>
      </w:tr>
      <w:tr>
        <w:trPr>
          <w:trHeight w:val="192"/>
        </w:trPr>
        <w:tc>
          <w:tcPr>
            <w:tcW w:w="4280" w:type="dxa"/>
            <w:vAlign w:val="bottom"/>
          </w:tcPr>
          <w:p>
            <w:pPr>
              <w:ind w:left="20"/>
              <w:spacing w:after="0"/>
              <w:rPr>
                <w:sz w:val="20"/>
                <w:szCs w:val="20"/>
                <w:color w:val="auto"/>
              </w:rPr>
            </w:pPr>
            <w:r>
              <w:rPr>
                <w:rFonts w:ascii="Arial" w:cs="Arial" w:eastAsia="Arial" w:hAnsi="Arial"/>
                <w:sz w:val="15"/>
                <w:szCs w:val="15"/>
                <w:color w:val="auto"/>
              </w:rPr>
              <w:t>Transmission/distribution interconnection</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5"/>
                <w:szCs w:val="15"/>
                <w:color w:val="auto"/>
              </w:rPr>
              <w:t>1,600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5"/>
                <w:szCs w:val="15"/>
                <w:color w:val="auto"/>
              </w:rPr>
              <w:t>(1,019)</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5"/>
                <w:szCs w:val="15"/>
                <w:color w:val="auto"/>
              </w:rPr>
              <w:t>581</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15.1</w:t>
            </w:r>
          </w:p>
        </w:tc>
      </w:tr>
      <w:tr>
        <w:trPr>
          <w:trHeight w:val="30"/>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Intellectual property</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43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2"/>
              </w:rPr>
              <w:t>(34)</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9</w:t>
            </w:r>
          </w:p>
        </w:tc>
        <w:tc>
          <w:tcPr>
            <w:tcW w:w="1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211"/>
        </w:trPr>
        <w:tc>
          <w:tcPr>
            <w:tcW w:w="4280" w:type="dxa"/>
            <w:vAlign w:val="bottom"/>
          </w:tcPr>
          <w:p>
            <w:pPr>
              <w:ind w:left="140"/>
              <w:spacing w:after="0"/>
              <w:rPr>
                <w:sz w:val="20"/>
                <w:szCs w:val="20"/>
                <w:color w:val="auto"/>
              </w:rPr>
            </w:pPr>
            <w:r>
              <w:rPr>
                <w:rFonts w:ascii="Arial" w:cs="Arial" w:eastAsia="Arial" w:hAnsi="Arial"/>
                <w:sz w:val="15"/>
                <w:szCs w:val="15"/>
                <w:color w:val="auto"/>
              </w:rPr>
              <w:t>Total intangible assets</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5"/>
                <w:szCs w:val="15"/>
                <w:color w:val="auto"/>
              </w:rPr>
              <w:t>10,642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(8,942)</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w w:val="79"/>
              </w:rPr>
              <w:t>1,700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5"/>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jc w:val="right"/>
              <w:ind w:right="806"/>
              <w:spacing w:after="0"/>
              <w:rPr>
                <w:sz w:val="20"/>
                <w:szCs w:val="20"/>
                <w:color w:val="auto"/>
              </w:rPr>
            </w:pPr>
            <w:r>
              <w:rPr>
                <w:rFonts w:ascii="Arial" w:cs="Arial" w:eastAsia="Arial" w:hAnsi="Arial"/>
                <w:sz w:val="15"/>
                <w:szCs w:val="15"/>
                <w:b w:val="1"/>
                <w:bCs w:val="1"/>
                <w:color w:val="auto"/>
              </w:rPr>
              <w:t>December 31, 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
        </w:trPr>
        <w:tc>
          <w:tcPr>
            <w:tcW w:w="4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177"/>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740"/>
              <w:spacing w:after="0"/>
              <w:rPr>
                <w:sz w:val="20"/>
                <w:szCs w:val="20"/>
                <w:color w:val="auto"/>
              </w:rPr>
            </w:pPr>
            <w:r>
              <w:rPr>
                <w:rFonts w:ascii="Arial" w:cs="Arial" w:eastAsia="Arial" w:hAnsi="Arial"/>
                <w:sz w:val="15"/>
                <w:szCs w:val="15"/>
                <w:b w:val="1"/>
                <w:bCs w:val="1"/>
                <w:color w:val="auto"/>
                <w:w w:val="88"/>
              </w:rPr>
              <w:t>Weighted</w:t>
            </w:r>
          </w:p>
        </w:tc>
      </w:tr>
      <w:tr>
        <w:trPr>
          <w:trHeight w:val="185"/>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740"/>
              <w:spacing w:after="0"/>
              <w:rPr>
                <w:sz w:val="20"/>
                <w:szCs w:val="20"/>
                <w:color w:val="auto"/>
              </w:rPr>
            </w:pPr>
            <w:r>
              <w:rPr>
                <w:rFonts w:ascii="Arial" w:cs="Arial" w:eastAsia="Arial" w:hAnsi="Arial"/>
                <w:sz w:val="15"/>
                <w:szCs w:val="15"/>
                <w:b w:val="1"/>
                <w:bCs w:val="1"/>
                <w:color w:val="auto"/>
                <w:w w:val="87"/>
              </w:rPr>
              <w:t>Average</w:t>
            </w:r>
          </w:p>
        </w:tc>
      </w:tr>
      <w:tr>
        <w:trPr>
          <w:trHeight w:val="173"/>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166"/>
              <w:spacing w:after="0"/>
              <w:rPr>
                <w:sz w:val="20"/>
                <w:szCs w:val="20"/>
                <w:color w:val="auto"/>
              </w:rPr>
            </w:pPr>
            <w:r>
              <w:rPr>
                <w:rFonts w:ascii="Arial" w:cs="Arial" w:eastAsia="Arial" w:hAnsi="Arial"/>
                <w:sz w:val="15"/>
                <w:szCs w:val="15"/>
                <w:b w:val="1"/>
                <w:bCs w:val="1"/>
                <w:color w:val="auto"/>
                <w:w w:val="90"/>
              </w:rPr>
              <w:t>Intangible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740"/>
              <w:spacing w:after="0"/>
              <w:rPr>
                <w:sz w:val="20"/>
                <w:szCs w:val="20"/>
                <w:color w:val="auto"/>
              </w:rPr>
            </w:pPr>
            <w:r>
              <w:rPr>
                <w:rFonts w:ascii="Arial" w:cs="Arial" w:eastAsia="Arial" w:hAnsi="Arial"/>
                <w:sz w:val="15"/>
                <w:szCs w:val="15"/>
                <w:b w:val="1"/>
                <w:bCs w:val="1"/>
                <w:color w:val="auto"/>
                <w:w w:val="91"/>
              </w:rPr>
              <w:t>Amortization</w:t>
            </w:r>
          </w:p>
        </w:tc>
      </w:tr>
      <w:tr>
        <w:trPr>
          <w:trHeight w:val="173"/>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286"/>
              <w:spacing w:after="0"/>
              <w:rPr>
                <w:sz w:val="20"/>
                <w:szCs w:val="20"/>
                <w:color w:val="auto"/>
              </w:rPr>
            </w:pPr>
            <w:r>
              <w:rPr>
                <w:rFonts w:ascii="Arial" w:cs="Arial" w:eastAsia="Arial" w:hAnsi="Arial"/>
                <w:sz w:val="15"/>
                <w:szCs w:val="15"/>
                <w:b w:val="1"/>
                <w:bCs w:val="1"/>
                <w:color w:val="auto"/>
                <w:w w:val="89"/>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206"/>
              <w:spacing w:after="0"/>
              <w:rPr>
                <w:sz w:val="20"/>
                <w:szCs w:val="20"/>
                <w:color w:val="auto"/>
              </w:rPr>
            </w:pPr>
            <w:r>
              <w:rPr>
                <w:rFonts w:ascii="Arial" w:cs="Arial" w:eastAsia="Arial" w:hAnsi="Arial"/>
                <w:sz w:val="15"/>
                <w:szCs w:val="15"/>
                <w:b w:val="1"/>
                <w:bCs w:val="1"/>
                <w:color w:val="auto"/>
                <w:w w:val="82"/>
              </w:rPr>
              <w:t>Assets,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5"/>
                <w:szCs w:val="15"/>
                <w:b w:val="1"/>
                <w:bCs w:val="1"/>
                <w:color w:val="auto"/>
                <w:w w:val="89"/>
              </w:rPr>
              <w:t>Period</w:t>
            </w:r>
          </w:p>
        </w:tc>
      </w:tr>
      <w:tr>
        <w:trPr>
          <w:trHeight w:val="214"/>
        </w:trPr>
        <w:tc>
          <w:tcPr>
            <w:tcW w:w="4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Cost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w w:val="91"/>
              </w:rPr>
              <w:t>Amortization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46"/>
              <w:spacing w:after="0"/>
              <w:rPr>
                <w:sz w:val="20"/>
                <w:szCs w:val="20"/>
                <w:color w:val="auto"/>
              </w:rPr>
            </w:pPr>
            <w:r>
              <w:rPr>
                <w:rFonts w:ascii="Arial" w:cs="Arial" w:eastAsia="Arial" w:hAnsi="Arial"/>
                <w:sz w:val="15"/>
                <w:szCs w:val="15"/>
                <w:b w:val="1"/>
                <w:bCs w:val="1"/>
                <w:color w:val="auto"/>
                <w:w w:val="90"/>
              </w:rPr>
              <w:t>Net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86"/>
              <w:spacing w:after="0"/>
              <w:rPr>
                <w:sz w:val="20"/>
                <w:szCs w:val="20"/>
                <w:color w:val="auto"/>
              </w:rPr>
            </w:pPr>
            <w:r>
              <w:rPr>
                <w:rFonts w:ascii="Arial" w:cs="Arial" w:eastAsia="Arial" w:hAnsi="Arial"/>
                <w:sz w:val="15"/>
                <w:szCs w:val="15"/>
                <w:b w:val="1"/>
                <w:bCs w:val="1"/>
                <w:color w:val="auto"/>
                <w:w w:val="89"/>
              </w:rPr>
              <w:t>(years)</w:t>
            </w:r>
          </w:p>
        </w:tc>
        <w:tc>
          <w:tcPr>
            <w:tcW w:w="380" w:type="dxa"/>
            <w:vAlign w:val="bottom"/>
          </w:tcPr>
          <w:p>
            <w:pPr>
              <w:spacing w:after="0"/>
              <w:rPr>
                <w:sz w:val="18"/>
                <w:szCs w:val="18"/>
                <w:color w:val="auto"/>
              </w:rPr>
            </w:pPr>
          </w:p>
        </w:tc>
      </w:tr>
      <w:tr>
        <w:trPr>
          <w:trHeight w:val="20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Power purchase agreements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8,999</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(7,488)</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1,511</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380" w:type="dxa"/>
            <w:vAlign w:val="bottom"/>
          </w:tcPr>
          <w:p>
            <w:pPr>
              <w:spacing w:after="0"/>
              <w:rPr>
                <w:sz w:val="17"/>
                <w:szCs w:val="17"/>
                <w:color w:val="auto"/>
              </w:rPr>
            </w:pPr>
          </w:p>
        </w:tc>
      </w:tr>
      <w:tr>
        <w:trPr>
          <w:trHeight w:val="192"/>
        </w:trPr>
        <w:tc>
          <w:tcPr>
            <w:tcW w:w="4280" w:type="dxa"/>
            <w:vAlign w:val="bottom"/>
          </w:tcPr>
          <w:p>
            <w:pPr>
              <w:ind w:left="20"/>
              <w:spacing w:after="0"/>
              <w:rPr>
                <w:sz w:val="20"/>
                <w:szCs w:val="20"/>
                <w:color w:val="auto"/>
              </w:rPr>
            </w:pPr>
            <w:r>
              <w:rPr>
                <w:rFonts w:ascii="Arial" w:cs="Arial" w:eastAsia="Arial" w:hAnsi="Arial"/>
                <w:sz w:val="15"/>
                <w:szCs w:val="15"/>
                <w:color w:val="auto"/>
              </w:rPr>
              <w:t>Transmission/distribution interconnection</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15.1</w:t>
            </w:r>
          </w:p>
        </w:tc>
        <w:tc>
          <w:tcPr>
            <w:tcW w:w="380" w:type="dxa"/>
            <w:vAlign w:val="bottom"/>
          </w:tcPr>
          <w:p>
            <w:pPr>
              <w:spacing w:after="0"/>
              <w:rPr>
                <w:sz w:val="16"/>
                <w:szCs w:val="16"/>
                <w:color w:val="auto"/>
              </w:rPr>
            </w:pPr>
          </w:p>
        </w:tc>
      </w:tr>
      <w:tr>
        <w:trPr>
          <w:trHeight w:val="30"/>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r>
      <w:tr>
        <w:trPr>
          <w:trHeight w:val="20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CNG sales contract</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807</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380" w:type="dxa"/>
            <w:vAlign w:val="bottom"/>
          </w:tcPr>
          <w:p>
            <w:pPr>
              <w:spacing w:after="0"/>
              <w:rPr>
                <w:sz w:val="17"/>
                <w:szCs w:val="17"/>
                <w:color w:val="auto"/>
              </w:rPr>
            </w:pPr>
          </w:p>
        </w:tc>
      </w:tr>
      <w:tr>
        <w:trPr>
          <w:trHeight w:val="192"/>
        </w:trPr>
        <w:tc>
          <w:tcPr>
            <w:tcW w:w="4280" w:type="dxa"/>
            <w:vAlign w:val="bottom"/>
          </w:tcPr>
          <w:p>
            <w:pPr>
              <w:ind w:left="20"/>
              <w:spacing w:after="0"/>
              <w:rPr>
                <w:sz w:val="20"/>
                <w:szCs w:val="20"/>
                <w:color w:val="auto"/>
              </w:rPr>
            </w:pPr>
            <w:r>
              <w:rPr>
                <w:rFonts w:ascii="Arial" w:cs="Arial" w:eastAsia="Arial" w:hAnsi="Arial"/>
                <w:sz w:val="15"/>
                <w:szCs w:val="15"/>
                <w:color w:val="auto"/>
              </w:rPr>
              <w:t>Intellectual property</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380" w:type="dxa"/>
            <w:vAlign w:val="bottom"/>
          </w:tcPr>
          <w:p>
            <w:pPr>
              <w:spacing w:after="0"/>
              <w:rPr>
                <w:sz w:val="16"/>
                <w:szCs w:val="16"/>
                <w:color w:val="auto"/>
              </w:rPr>
            </w:pPr>
          </w:p>
        </w:tc>
      </w:tr>
      <w:tr>
        <w:trPr>
          <w:trHeight w:val="30"/>
        </w:trPr>
        <w:tc>
          <w:tcPr>
            <w:tcW w:w="4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80" w:type="dxa"/>
            <w:vAlign w:val="bottom"/>
          </w:tcPr>
          <w:p>
            <w:pPr>
              <w:spacing w:after="0"/>
              <w:rPr>
                <w:sz w:val="2"/>
                <w:szCs w:val="2"/>
                <w:color w:val="auto"/>
              </w:rPr>
            </w:pPr>
          </w:p>
        </w:tc>
      </w:tr>
      <w:tr>
        <w:trPr>
          <w:trHeight w:val="231"/>
        </w:trPr>
        <w:tc>
          <w:tcPr>
            <w:tcW w:w="4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11,449</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(9,282)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firstLine="296"/>
        <w:spacing w:after="0" w:line="324" w:lineRule="auto"/>
        <w:rPr>
          <w:sz w:val="20"/>
          <w:szCs w:val="20"/>
          <w:color w:val="auto"/>
        </w:rPr>
      </w:pPr>
      <w:r>
        <w:rPr>
          <w:rFonts w:ascii="Arial" w:cs="Arial" w:eastAsia="Arial" w:hAnsi="Arial"/>
          <w:sz w:val="15"/>
          <w:szCs w:val="15"/>
          <w:color w:val="auto"/>
        </w:rPr>
        <w:t>Amortization expense for the three and nine months ended September 30, 2023 was $154 and $467, respectively. Amortization expense for the three and nine months ended September 30, 2022 was $197 and $595, respectively. At September 30, 2023, estimated future amortization expense for intangible assets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 the remainder of the year ending December 31, 2023</w:t>
            </w: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r>
      <w:tr>
        <w:trPr>
          <w:trHeight w:val="192"/>
        </w:trPr>
        <w:tc>
          <w:tcPr>
            <w:tcW w:w="9760" w:type="dxa"/>
            <w:vAlign w:val="bottom"/>
          </w:tcPr>
          <w:p>
            <w:pPr>
              <w:ind w:left="20"/>
              <w:spacing w:after="0"/>
              <w:rPr>
                <w:sz w:val="20"/>
                <w:szCs w:val="20"/>
                <w:color w:val="auto"/>
              </w:rPr>
            </w:pPr>
            <w:r>
              <w:rPr>
                <w:rFonts w:ascii="Arial" w:cs="Arial" w:eastAsia="Arial" w:hAnsi="Arial"/>
                <w:sz w:val="15"/>
                <w:szCs w:val="15"/>
                <w:color w:val="auto"/>
              </w:rPr>
              <w:t>Fiscal year:</w:t>
            </w: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0"/>
        </w:trPr>
        <w:tc>
          <w:tcPr>
            <w:tcW w:w="9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2"/>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6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w:t>
            </w:r>
          </w:p>
        </w:tc>
      </w:tr>
      <w:tr>
        <w:trPr>
          <w:trHeight w:val="192"/>
        </w:trPr>
        <w:tc>
          <w:tcPr>
            <w:tcW w:w="9760" w:type="dxa"/>
            <w:vAlign w:val="bottom"/>
          </w:tcPr>
          <w:p>
            <w:pPr>
              <w:ind w:left="20"/>
              <w:spacing w:after="0"/>
              <w:rPr>
                <w:sz w:val="20"/>
                <w:szCs w:val="20"/>
                <w:color w:val="auto"/>
              </w:rPr>
            </w:pPr>
            <w:r>
              <w:rPr>
                <w:rFonts w:ascii="Arial" w:cs="Arial" w:eastAsia="Arial" w:hAnsi="Arial"/>
                <w:sz w:val="15"/>
                <w:szCs w:val="15"/>
                <w:color w:val="auto"/>
              </w:rPr>
              <w:t>2025</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267</w:t>
            </w:r>
          </w:p>
        </w:tc>
      </w:tr>
      <w:tr>
        <w:trPr>
          <w:trHeight w:val="30"/>
        </w:trPr>
        <w:tc>
          <w:tcPr>
            <w:tcW w:w="9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2"/>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6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239</w:t>
            </w:r>
          </w:p>
        </w:tc>
      </w:tr>
      <w:tr>
        <w:trPr>
          <w:trHeight w:val="192"/>
        </w:trPr>
        <w:tc>
          <w:tcPr>
            <w:tcW w:w="9760" w:type="dxa"/>
            <w:vAlign w:val="bottom"/>
          </w:tcPr>
          <w:p>
            <w:pPr>
              <w:ind w:left="20"/>
              <w:spacing w:after="0"/>
              <w:rPr>
                <w:sz w:val="20"/>
                <w:szCs w:val="20"/>
                <w:color w:val="auto"/>
              </w:rPr>
            </w:pPr>
            <w:r>
              <w:rPr>
                <w:rFonts w:ascii="Arial" w:cs="Arial" w:eastAsia="Arial" w:hAnsi="Arial"/>
                <w:sz w:val="15"/>
                <w:szCs w:val="15"/>
                <w:color w:val="auto"/>
              </w:rPr>
              <w:t>2027</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238</w:t>
            </w:r>
          </w:p>
        </w:tc>
      </w:tr>
      <w:tr>
        <w:trPr>
          <w:trHeight w:val="30"/>
        </w:trPr>
        <w:tc>
          <w:tcPr>
            <w:tcW w:w="9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2"/>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608</w:t>
            </w:r>
          </w:p>
        </w:tc>
      </w:tr>
      <w:tr>
        <w:trPr>
          <w:trHeight w:val="184"/>
        </w:trPr>
        <w:tc>
          <w:tcPr>
            <w:tcW w:w="9760" w:type="dxa"/>
            <w:vAlign w:val="bottom"/>
          </w:tcPr>
          <w:p>
            <w:pPr>
              <w:spacing w:after="0"/>
              <w:rPr>
                <w:sz w:val="16"/>
                <w:szCs w:val="16"/>
                <w:color w:val="auto"/>
              </w:rPr>
            </w:pPr>
          </w:p>
        </w:tc>
        <w:tc>
          <w:tcPr>
            <w:tcW w:w="600" w:type="dxa"/>
            <w:vAlign w:val="bottom"/>
            <w:tcBorders>
              <w:top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1,700</w:t>
            </w:r>
          </w:p>
        </w:tc>
      </w:tr>
      <w:tr>
        <w:trPr>
          <w:trHeight w:val="30"/>
        </w:trPr>
        <w:tc>
          <w:tcPr>
            <w:tcW w:w="9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Goodwill</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the changes in goodwill, if any, by reporting segment from the beginning of the period to the end of the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RNG Fuel</w:t>
            </w:r>
          </w:p>
        </w:tc>
        <w:tc>
          <w:tcPr>
            <w:tcW w:w="1580" w:type="dxa"/>
            <w:vAlign w:val="bottom"/>
            <w:gridSpan w:val="3"/>
          </w:tcPr>
          <w:p>
            <w:pPr>
              <w:ind w:left="80"/>
              <w:spacing w:after="0"/>
              <w:rPr>
                <w:sz w:val="20"/>
                <w:szCs w:val="20"/>
                <w:color w:val="auto"/>
              </w:rPr>
            </w:pPr>
            <w:r>
              <w:rPr>
                <w:rFonts w:ascii="Arial" w:cs="Arial" w:eastAsia="Arial" w:hAnsi="Arial"/>
                <w:sz w:val="15"/>
                <w:szCs w:val="15"/>
                <w:b w:val="1"/>
                <w:bCs w:val="1"/>
                <w:color w:val="auto"/>
                <w:w w:val="97"/>
              </w:rPr>
              <w:t>Fuel Station Services</w:t>
            </w:r>
          </w:p>
        </w:tc>
        <w:tc>
          <w:tcPr>
            <w:tcW w:w="320" w:type="dxa"/>
            <w:vAlign w:val="bottom"/>
          </w:tcPr>
          <w:p>
            <w:pPr>
              <w:spacing w:after="0"/>
              <w:rPr>
                <w:sz w:val="16"/>
                <w:szCs w:val="16"/>
                <w:color w:val="auto"/>
              </w:rPr>
            </w:pPr>
          </w:p>
        </w:tc>
        <w:tc>
          <w:tcPr>
            <w:tcW w:w="1160" w:type="dxa"/>
            <w:vAlign w:val="bottom"/>
          </w:tcPr>
          <w:p>
            <w:pPr>
              <w:jc w:val="right"/>
              <w:ind w:right="506"/>
              <w:spacing w:after="0"/>
              <w:rPr>
                <w:sz w:val="20"/>
                <w:szCs w:val="20"/>
                <w:color w:val="auto"/>
              </w:rPr>
            </w:pPr>
            <w:r>
              <w:rPr>
                <w:rFonts w:ascii="Arial" w:cs="Arial" w:eastAsia="Arial" w:hAnsi="Arial"/>
                <w:sz w:val="15"/>
                <w:szCs w:val="15"/>
                <w:b w:val="1"/>
                <w:bCs w:val="1"/>
                <w:color w:val="auto"/>
              </w:rPr>
              <w:t>Total</w:t>
            </w:r>
          </w:p>
        </w:tc>
      </w:tr>
      <w:tr>
        <w:trPr>
          <w:trHeight w:val="30"/>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2022</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51,155</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3,453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54,608</w:t>
            </w:r>
          </w:p>
        </w:tc>
      </w:tr>
      <w:tr>
        <w:trPr>
          <w:trHeight w:val="211"/>
        </w:trPr>
        <w:tc>
          <w:tcPr>
            <w:tcW w:w="6120" w:type="dxa"/>
            <w:vAlign w:val="bottom"/>
          </w:tcPr>
          <w:p>
            <w:pPr>
              <w:ind w:left="20"/>
              <w:spacing w:after="0"/>
              <w:rPr>
                <w:sz w:val="20"/>
                <w:szCs w:val="20"/>
                <w:color w:val="auto"/>
              </w:rPr>
            </w:pPr>
            <w:r>
              <w:rPr>
                <w:rFonts w:ascii="Arial" w:cs="Arial" w:eastAsia="Arial" w:hAnsi="Arial"/>
                <w:sz w:val="15"/>
                <w:szCs w:val="15"/>
                <w:b w:val="1"/>
                <w:bCs w:val="1"/>
                <w:color w:val="auto"/>
              </w:rPr>
              <w:t>Balance at September 30, 2023</w:t>
            </w: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51,155</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3,453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54,608</w:t>
            </w: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Borrowings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the borrowings under the various debt facilities as of September 30, 2023 and December 31, 2022: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5"/>
                <w:szCs w:val="15"/>
                <w:b w:val="1"/>
                <w:bCs w:val="1"/>
                <w:color w:val="auto"/>
                <w:w w:val="95"/>
              </w:rPr>
              <w:t>September 30, 2023</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December 31, 2022</w:t>
            </w:r>
          </w:p>
        </w:tc>
      </w:tr>
      <w:tr>
        <w:trPr>
          <w:trHeight w:val="30"/>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 term loan</w:t>
            </w: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15,250</w:t>
            </w:r>
          </w:p>
        </w:tc>
      </w:tr>
      <w:tr>
        <w:trPr>
          <w:trHeight w:val="192"/>
        </w:trPr>
        <w:tc>
          <w:tcPr>
            <w:tcW w:w="7200" w:type="dxa"/>
            <w:vAlign w:val="bottom"/>
          </w:tcPr>
          <w:p>
            <w:pPr>
              <w:ind w:left="20"/>
              <w:spacing w:after="0"/>
              <w:rPr>
                <w:sz w:val="20"/>
                <w:szCs w:val="20"/>
                <w:color w:val="auto"/>
              </w:rPr>
            </w:pPr>
            <w:r>
              <w:rPr>
                <w:rFonts w:ascii="Arial" w:cs="Arial" w:eastAsia="Arial" w:hAnsi="Arial"/>
                <w:sz w:val="15"/>
                <w:szCs w:val="15"/>
                <w:color w:val="auto"/>
              </w:rPr>
              <w:t>Less: unamortized debt issuance costs</w:t>
            </w:r>
          </w:p>
        </w:tc>
        <w:tc>
          <w:tcPr>
            <w:tcW w:w="3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w:t>
            </w:r>
          </w:p>
        </w:tc>
        <w:tc>
          <w:tcPr>
            <w:tcW w:w="3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(15,250)</w:t>
            </w:r>
          </w:p>
        </w:tc>
      </w:tr>
      <w:tr>
        <w:trPr>
          <w:trHeight w:val="184"/>
        </w:trPr>
        <w:tc>
          <w:tcPr>
            <w:tcW w:w="7200" w:type="dxa"/>
            <w:vAlign w:val="bottom"/>
          </w:tcPr>
          <w:p>
            <w:pPr>
              <w:ind w:left="140"/>
              <w:spacing w:after="0"/>
              <w:rPr>
                <w:sz w:val="20"/>
                <w:szCs w:val="20"/>
                <w:color w:val="auto"/>
              </w:rPr>
            </w:pPr>
            <w:r>
              <w:rPr>
                <w:rFonts w:ascii="Arial" w:cs="Arial" w:eastAsia="Arial" w:hAnsi="Arial"/>
                <w:sz w:val="15"/>
                <w:szCs w:val="15"/>
                <w:color w:val="auto"/>
              </w:rPr>
              <w:t>Senior Secured Credit Facility, term loan, net of debt issuance costs</w:t>
            </w: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30"/>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 working capital facility</w:t>
            </w:r>
          </w:p>
        </w:tc>
        <w:tc>
          <w:tcPr>
            <w:tcW w:w="3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7,500</w:t>
            </w:r>
          </w:p>
        </w:tc>
      </w:tr>
      <w:tr>
        <w:trPr>
          <w:trHeight w:val="192"/>
        </w:trPr>
        <w:tc>
          <w:tcPr>
            <w:tcW w:w="720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3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30"/>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4"/>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Senior Secured Credit Facility, working capital facility</w:t>
            </w:r>
          </w:p>
        </w:tc>
        <w:tc>
          <w:tcPr>
            <w:tcW w:w="3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4"/>
        </w:trPr>
        <w:tc>
          <w:tcPr>
            <w:tcW w:w="7200" w:type="dxa"/>
            <w:vAlign w:val="bottom"/>
          </w:tcPr>
          <w:p>
            <w:pPr>
              <w:ind w:left="20"/>
              <w:spacing w:after="0"/>
              <w:rPr>
                <w:sz w:val="20"/>
                <w:szCs w:val="20"/>
                <w:color w:val="auto"/>
              </w:rPr>
            </w:pPr>
            <w:r>
              <w:rPr>
                <w:rFonts w:ascii="Arial" w:cs="Arial" w:eastAsia="Arial" w:hAnsi="Arial"/>
                <w:sz w:val="15"/>
                <w:szCs w:val="15"/>
                <w:color w:val="auto"/>
              </w:rPr>
              <w:t>OPAL Term Loan</w:t>
            </w: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164,118</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96,090</w:t>
            </w:r>
          </w:p>
        </w:tc>
      </w:tr>
      <w:tr>
        <w:trPr>
          <w:trHeight w:val="30"/>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unamortized debt issuance costs</w:t>
            </w: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(10,492)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(1,758)</w:t>
            </w:r>
          </w:p>
        </w:tc>
      </w:tr>
      <w:tr>
        <w:trPr>
          <w:trHeight w:val="192"/>
        </w:trPr>
        <w:tc>
          <w:tcPr>
            <w:tcW w:w="720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3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(27,732)</w:t>
            </w:r>
          </w:p>
        </w:tc>
      </w:tr>
      <w:tr>
        <w:trPr>
          <w:trHeight w:val="30"/>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4"/>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OPAL Term Loan, net of debt issuance costs</w:t>
            </w: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153,626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66,600</w:t>
            </w:r>
          </w:p>
        </w:tc>
      </w:tr>
      <w:tr>
        <w:trPr>
          <w:trHeight w:val="184"/>
        </w:trPr>
        <w:tc>
          <w:tcPr>
            <w:tcW w:w="7200" w:type="dxa"/>
            <w:vAlign w:val="bottom"/>
          </w:tcPr>
          <w:p>
            <w:pPr>
              <w:ind w:left="20"/>
              <w:spacing w:after="0"/>
              <w:rPr>
                <w:sz w:val="20"/>
                <w:szCs w:val="20"/>
                <w:color w:val="auto"/>
              </w:rPr>
            </w:pPr>
            <w:r>
              <w:rPr>
                <w:rFonts w:ascii="Arial" w:cs="Arial" w:eastAsia="Arial" w:hAnsi="Arial"/>
                <w:sz w:val="15"/>
                <w:szCs w:val="15"/>
                <w:color w:val="auto"/>
              </w:rPr>
              <w:t>Sunoma Loan</w:t>
            </w: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23,000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23,000</w:t>
            </w:r>
          </w:p>
        </w:tc>
      </w:tr>
      <w:tr>
        <w:trPr>
          <w:trHeight w:val="30"/>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unamortized debt issuance costs</w:t>
            </w: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(908)</w:t>
            </w:r>
          </w:p>
        </w:tc>
      </w:tr>
      <w:tr>
        <w:trPr>
          <w:trHeight w:val="192"/>
        </w:trPr>
        <w:tc>
          <w:tcPr>
            <w:tcW w:w="720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(1,739)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(380)</w:t>
            </w:r>
          </w:p>
        </w:tc>
      </w:tr>
      <w:tr>
        <w:trPr>
          <w:trHeight w:val="30"/>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4"/>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Sunoma Loan, net of debt issuance costs</w:t>
            </w: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20,402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21,712</w:t>
            </w:r>
          </w:p>
        </w:tc>
      </w:tr>
      <w:tr>
        <w:trPr>
          <w:trHeight w:val="184"/>
        </w:trPr>
        <w:tc>
          <w:tcPr>
            <w:tcW w:w="7200" w:type="dxa"/>
            <w:vAlign w:val="bottom"/>
          </w:tcPr>
          <w:p>
            <w:pPr>
              <w:ind w:left="140"/>
              <w:spacing w:after="0"/>
              <w:rPr>
                <w:sz w:val="20"/>
                <w:szCs w:val="20"/>
                <w:color w:val="auto"/>
              </w:rPr>
            </w:pPr>
            <w:r>
              <w:rPr>
                <w:rFonts w:ascii="Arial" w:cs="Arial" w:eastAsia="Arial" w:hAnsi="Arial"/>
                <w:sz w:val="15"/>
                <w:szCs w:val="15"/>
                <w:color w:val="auto"/>
              </w:rPr>
              <w:t>Convertible Note Payable</w:t>
            </w: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28,528</w:t>
            </w:r>
          </w:p>
        </w:tc>
      </w:tr>
      <w:tr>
        <w:trPr>
          <w:trHeight w:val="30"/>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w:t>
            </w:r>
          </w:p>
        </w:tc>
        <w:tc>
          <w:tcPr>
            <w:tcW w:w="3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(28,528)</w:t>
            </w:r>
          </w:p>
        </w:tc>
      </w:tr>
      <w:tr>
        <w:trPr>
          <w:trHeight w:val="184"/>
        </w:trPr>
        <w:tc>
          <w:tcPr>
            <w:tcW w:w="7200" w:type="dxa"/>
            <w:vAlign w:val="bottom"/>
          </w:tcPr>
          <w:p>
            <w:pPr>
              <w:ind w:left="140"/>
              <w:spacing w:after="0"/>
              <w:rPr>
                <w:sz w:val="20"/>
                <w:szCs w:val="20"/>
                <w:color w:val="auto"/>
              </w:rPr>
            </w:pPr>
            <w:r>
              <w:rPr>
                <w:rFonts w:ascii="Arial" w:cs="Arial" w:eastAsia="Arial" w:hAnsi="Arial"/>
                <w:sz w:val="15"/>
                <w:szCs w:val="15"/>
                <w:color w:val="auto"/>
              </w:rPr>
              <w:t>Convertible Note Payable</w:t>
            </w: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30"/>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Municipality Loan</w:t>
            </w:r>
          </w:p>
        </w:tc>
        <w:tc>
          <w:tcPr>
            <w:tcW w:w="3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192"/>
        </w:trPr>
        <w:tc>
          <w:tcPr>
            <w:tcW w:w="720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3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30"/>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4"/>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Municipality Loan</w:t>
            </w:r>
          </w:p>
        </w:tc>
        <w:tc>
          <w:tcPr>
            <w:tcW w:w="3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1"/>
        </w:trPr>
        <w:tc>
          <w:tcPr>
            <w:tcW w:w="7200" w:type="dxa"/>
            <w:vAlign w:val="bottom"/>
          </w:tcPr>
          <w:p>
            <w:pPr>
              <w:ind w:left="300"/>
              <w:spacing w:after="0"/>
              <w:rPr>
                <w:sz w:val="20"/>
                <w:szCs w:val="20"/>
                <w:color w:val="auto"/>
              </w:rPr>
            </w:pPr>
            <w:r>
              <w:rPr>
                <w:rFonts w:ascii="Arial" w:cs="Arial" w:eastAsia="Arial" w:hAnsi="Arial"/>
                <w:sz w:val="15"/>
                <w:szCs w:val="15"/>
                <w:color w:val="auto"/>
              </w:rPr>
              <w:t>Non-current borrowings total</w:t>
            </w: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174,028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88,312</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00" w:firstLine="296"/>
        <w:spacing w:after="0" w:line="288" w:lineRule="auto"/>
        <w:rPr>
          <w:sz w:val="20"/>
          <w:szCs w:val="20"/>
          <w:color w:val="auto"/>
        </w:rPr>
      </w:pPr>
      <w:r>
        <w:rPr>
          <w:rFonts w:ascii="Arial" w:cs="Arial" w:eastAsia="Arial" w:hAnsi="Arial"/>
          <w:sz w:val="16"/>
          <w:szCs w:val="16"/>
          <w:color w:val="auto"/>
        </w:rPr>
        <w:t>As of September 30, 2023, principal maturities of debt are expected as follows, excluding any subsequent refinancing transactions and any undrawn debt facilities as of the date of the condensed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80" w:type="dxa"/>
            <w:vAlign w:val="bottom"/>
            <w:tcBorders>
              <w:bottom w:val="single" w:sz="8" w:color="BFE4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1"/>
              </w:rPr>
              <w:t>OPAL Term Loan</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92"/>
              </w:rPr>
              <w:t>Sunoma Loan</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Total</w:t>
            </w:r>
          </w:p>
        </w:tc>
      </w:tr>
      <w:tr>
        <w:trPr>
          <w:trHeight w:val="202"/>
        </w:trPr>
        <w:tc>
          <w:tcPr>
            <w:tcW w:w="55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5"/>
                <w:szCs w:val="15"/>
                <w:color w:val="auto"/>
              </w:rPr>
              <w:t>For the remainder of the year ending December 31, 2023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533</w:t>
            </w:r>
          </w:p>
        </w:tc>
      </w:tr>
      <w:tr>
        <w:trPr>
          <w:trHeight w:val="192"/>
        </w:trPr>
        <w:tc>
          <w:tcPr>
            <w:tcW w:w="5580" w:type="dxa"/>
            <w:vAlign w:val="bottom"/>
          </w:tcPr>
          <w:p>
            <w:pPr>
              <w:ind w:left="20"/>
              <w:spacing w:after="0"/>
              <w:rPr>
                <w:sz w:val="20"/>
                <w:szCs w:val="20"/>
                <w:color w:val="auto"/>
              </w:rPr>
            </w:pPr>
            <w:r>
              <w:rPr>
                <w:rFonts w:ascii="Arial" w:cs="Arial" w:eastAsia="Arial" w:hAnsi="Arial"/>
                <w:sz w:val="15"/>
                <w:szCs w:val="15"/>
                <w:color w:val="auto"/>
              </w:rPr>
              <w:t>Fiscal year: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0"/>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1,620</w:t>
            </w:r>
          </w:p>
        </w:tc>
      </w:tr>
      <w:tr>
        <w:trPr>
          <w:trHeight w:val="192"/>
        </w:trPr>
        <w:tc>
          <w:tcPr>
            <w:tcW w:w="5580" w:type="dxa"/>
            <w:vAlign w:val="bottom"/>
          </w:tcPr>
          <w:p>
            <w:pPr>
              <w:ind w:left="20"/>
              <w:spacing w:after="0"/>
              <w:rPr>
                <w:sz w:val="20"/>
                <w:szCs w:val="20"/>
                <w:color w:val="auto"/>
              </w:rPr>
            </w:pPr>
            <w:r>
              <w:rPr>
                <w:rFonts w:ascii="Arial" w:cs="Arial" w:eastAsia="Arial" w:hAnsi="Arial"/>
                <w:sz w:val="15"/>
                <w:szCs w:val="15"/>
                <w:color w:val="auto"/>
              </w:rPr>
              <w:t>2025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Arial" w:cs="Arial" w:eastAsia="Arial" w:hAnsi="Arial"/>
                <w:sz w:val="15"/>
                <w:szCs w:val="15"/>
                <w:color w:val="auto"/>
              </w:rPr>
              <w:t>14,771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1,756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16,527</w:t>
            </w:r>
          </w:p>
        </w:tc>
      </w:tr>
      <w:tr>
        <w:trPr>
          <w:trHeight w:val="30"/>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19,694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21,592</w:t>
            </w:r>
          </w:p>
        </w:tc>
      </w:tr>
      <w:tr>
        <w:trPr>
          <w:trHeight w:val="21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2027</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129,653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17,193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146,846</w:t>
            </w:r>
          </w:p>
        </w:tc>
      </w:tr>
      <w:tr>
        <w:trPr>
          <w:trHeight w:val="242"/>
        </w:trPr>
        <w:tc>
          <w:tcPr>
            <w:tcW w:w="5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164,118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23,000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187,118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Secured Credit Facility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March 20, 2023, the Company repaid in full the remaining outstanding loan under this facility.</w:t>
      </w:r>
    </w:p>
    <w:p>
      <w:pPr>
        <w:spacing w:after="0" w:line="149"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On September 21, 2015, FM3, an indirect wholly-owned subsidiary of the Company, entered into a senior secured credit facility (the "Senior Secured Credit Facility") as a borrower and a syndicate of lenders, which provided for an aggregate principal amount of $150,000, consisting of (i) a term loan of $125,000, (ii) a working capital letter of credit facility of up to $19,000 and (iii) a debt service reserve and liquidity facility of up to $6,000. The Company paid $14,300 to the lenders in connection with the transaction.</w:t>
      </w:r>
    </w:p>
    <w:p>
      <w:pPr>
        <w:spacing w:after="0" w:line="81"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loans under the Senior Secured Credit Facility had an interest rate of a fixed margin plus the secured overnight financing rate ("SOFR") for the relevant interest period. The fixed margin is 2.75% for the first four years, then 3.0% until October 8, 2021, and 3.25% thereafter.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29"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credit agreement. Upon consummation of the FM3 Amendment, the Company repaid $54,929 of the outstanding term loan.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Patronage dividends</w:t>
      </w:r>
    </w:p>
    <w:p>
      <w:pPr>
        <w:spacing w:after="0" w:line="136"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The Company is eligible to receive annual patronage dividends from one of its lenders, Cobank ACB under a profit sharing program. For the three and nine months ended September 30, 2023 and 2022, the Company received cash dividends of $126 and $126, respectively, which were recorded as credits to interest expense in the condensed consolidated statements of operations. Additionally, the Company recorded $489 as a long-term asset in the condensed consolidated balance sheets at September 30, 2023 and December 31, 2022, which represents the Company's equity interest in Cobank SCB. These interests will be redeemed for cash beginning in 2024.</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OPAL Term Loan</w:t>
      </w:r>
    </w:p>
    <w:p>
      <w:pPr>
        <w:spacing w:after="0" w:line="153"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On October 22, 2021, OPAL Fuels Intermediate Holding Company LLC (“OPAL Intermediate Holdco”), an indirect wholly-owned subsidiary of the Company, entered into a $125,000 term loan agreement (the "OPAL Term Loan") with a syndicate of lenders. As of September 1, 2023, the total outstanding balance on the debt facility was $87,602.</w:t>
      </w:r>
    </w:p>
    <w:p>
      <w:pPr>
        <w:spacing w:after="0" w:line="87" w:lineRule="exact"/>
        <w:rPr>
          <w:sz w:val="20"/>
          <w:szCs w:val="20"/>
          <w:color w:val="auto"/>
        </w:rPr>
      </w:pPr>
    </w:p>
    <w:p>
      <w:pPr>
        <w:jc w:val="both"/>
        <w:ind w:firstLine="296"/>
        <w:spacing w:after="0" w:line="290" w:lineRule="auto"/>
        <w:rPr>
          <w:sz w:val="20"/>
          <w:szCs w:val="20"/>
          <w:color w:val="auto"/>
        </w:rPr>
      </w:pPr>
      <w:r>
        <w:rPr>
          <w:rFonts w:ascii="Arial" w:cs="Arial" w:eastAsia="Arial" w:hAnsi="Arial"/>
          <w:sz w:val="15"/>
          <w:szCs w:val="15"/>
          <w:color w:val="auto"/>
        </w:rPr>
        <w:t>On September 1, 2023, OPAL Intermediate Holdco restructured its existing credit agreement and entered into a new senior secured credit facility with OPAL Intermediate HoldCo as the Borrower, direct and indirect subsidiaries of the Borrower as guarantors (the “Guarantors”), the lenders party thereto, as lenders, Apterra Infrastructure Capital LLC, Barclays Bank PLC, BofA Securities, Inc., Celtic Bank Corporation, Citibank, N.A., JP Morgan Chase Bank, N.A. Investec Inc. and ICBC Standard Bank PLC, as joint lead arrangers, and Bank of America, N.A., as administrative agent. Four of the existing lenders participated in the new credit facility.</w:t>
      </w:r>
    </w:p>
    <w:p>
      <w:pPr>
        <w:spacing w:after="0" w:line="91" w:lineRule="exact"/>
        <w:rPr>
          <w:sz w:val="20"/>
          <w:szCs w:val="20"/>
          <w:color w:val="auto"/>
        </w:rPr>
      </w:pPr>
    </w:p>
    <w:p>
      <w:pPr>
        <w:jc w:val="both"/>
        <w:ind w:firstLine="296"/>
        <w:spacing w:after="0" w:line="261" w:lineRule="auto"/>
        <w:rPr>
          <w:sz w:val="20"/>
          <w:szCs w:val="20"/>
          <w:color w:val="auto"/>
        </w:rPr>
      </w:pPr>
      <w:r>
        <w:rPr>
          <w:rFonts w:ascii="Arial" w:cs="Arial" w:eastAsia="Arial" w:hAnsi="Arial"/>
          <w:sz w:val="16"/>
          <w:szCs w:val="16"/>
          <w:color w:val="auto"/>
        </w:rPr>
        <w:t>The Credit Agreement provides for up to $450.0 million of initial and delayed draw term loans (with such delayed draw term loans available for up to 18 months after closing) and $50.0 million of revolving loans. On September 1, 2023, the Company drew down $144,118 and repaid (1) Intermediate HoldCo’s existing secured indebtedness in the amount of approximately $87,602 plus accrued interest, (2) certain accrued but unpaid returns in the amount of $15,669 of the paid-in-kind preferred dividend on our Redeemable preferred non-controlling interests, and (3) approximately $30,107 of indebtedness on Convertible Note Payable. Additionally, the Company utilized $9,000 of availability under the revolver loan to provide for the issuance of letters of credit to support the operations of the Borrower and Guarantors. The proceeds from the facility are expected to be used to fund other general corporate purposes of the Borrower and Guarantors. The Company paid transaction fees and expenses in the amount of approximately $10,790. The Company drew down additional $20,000 during the third quarter to fund capital expenditure on construction of our RNG projects.</w:t>
      </w:r>
    </w:p>
    <w:p>
      <w:pPr>
        <w:spacing w:after="0" w:line="112"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The outstanding loans under the Credit Agreement initially bear interest at an annual rate of Term SOFR plus 3.5%, increasing by 0.25% per annum during the term. Accrued interest on amounts outstanding under the delayed draw term loan facility must be paid on the last day of each applicable interest period. Commencing after the 18-month delayed draw term loan availability period expires, the outstanding principal amount of the term loans amortizes at a rate of 1% per quarter and the Borrower is obligated to pay a leverage based cash sweep ranging from 25% to 100% of distributable cash of Borrower and the Guarantors, and subject to certain other mandatory prepayment requirements. The term loans and revolving loans mature on September 1, 2028.</w:t>
      </w:r>
    </w:p>
    <w:p>
      <w:pPr>
        <w:spacing w:after="0" w:line="192" w:lineRule="exact"/>
        <w:rPr>
          <w:sz w:val="20"/>
          <w:szCs w:val="20"/>
          <w:color w:val="auto"/>
        </w:rPr>
      </w:pPr>
    </w:p>
    <w:p>
      <w:pPr>
        <w:jc w:val="both"/>
        <w:ind w:firstLine="591"/>
        <w:spacing w:after="0" w:line="272" w:lineRule="auto"/>
        <w:rPr>
          <w:sz w:val="20"/>
          <w:szCs w:val="20"/>
          <w:color w:val="auto"/>
        </w:rPr>
      </w:pPr>
      <w:r>
        <w:rPr>
          <w:rFonts w:ascii="Arial" w:cs="Arial" w:eastAsia="Arial" w:hAnsi="Arial"/>
          <w:sz w:val="16"/>
          <w:szCs w:val="16"/>
          <w:color w:val="auto"/>
        </w:rPr>
        <w:t>The Borrower’s and the Guarantors’ obligations under the Credit Agreement are secured by substantially all of their personal property assets (other than certain excluded assets identified in the Credit Agreement) and by a non-recourse pledge of the membership interests of the Borrower.</w:t>
      </w:r>
    </w:p>
    <w:p>
      <w:pPr>
        <w:spacing w:after="0" w:line="174" w:lineRule="exact"/>
        <w:rPr>
          <w:sz w:val="20"/>
          <w:szCs w:val="20"/>
          <w:color w:val="auto"/>
        </w:rPr>
      </w:pPr>
    </w:p>
    <w:p>
      <w:pPr>
        <w:jc w:val="both"/>
        <w:ind w:firstLine="591"/>
        <w:spacing w:after="0" w:line="265" w:lineRule="auto"/>
        <w:rPr>
          <w:sz w:val="20"/>
          <w:szCs w:val="20"/>
          <w:color w:val="auto"/>
        </w:rPr>
      </w:pPr>
      <w:r>
        <w:rPr>
          <w:rFonts w:ascii="Arial" w:cs="Arial" w:eastAsia="Arial" w:hAnsi="Arial"/>
          <w:sz w:val="16"/>
          <w:szCs w:val="16"/>
          <w:color w:val="auto"/>
        </w:rPr>
        <w:t>The Credit Agreement requires the Borrower to maintain a consolidated debt service coverage ratio of not less than 1.2:1.0, as tested on a trailing four fiscal basis as of the last day of each fiscal quarter during the term commencing with the quarter ending December 31, 2023, and to maintain a consolidated debt to cash flow ratio of not greater than 4.5 to 1.0 during the delayed draw availability period, and not greater than 4.0 to 1.0 thereafter.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 w:lineRule="exact"/>
        <w:rPr>
          <w:sz w:val="20"/>
          <w:szCs w:val="20"/>
          <w:color w:val="auto"/>
        </w:rPr>
      </w:pPr>
    </w:p>
    <w:p>
      <w:pPr>
        <w:jc w:val="both"/>
        <w:ind w:firstLine="591"/>
        <w:spacing w:after="0" w:line="267" w:lineRule="auto"/>
        <w:rPr>
          <w:sz w:val="20"/>
          <w:szCs w:val="20"/>
          <w:color w:val="auto"/>
        </w:rPr>
      </w:pPr>
      <w:r>
        <w:rPr>
          <w:rFonts w:ascii="Arial" w:cs="Arial" w:eastAsia="Arial" w:hAnsi="Arial"/>
          <w:sz w:val="16"/>
          <w:szCs w:val="16"/>
          <w:color w:val="auto"/>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As of September 30, 2023, the Company is in compliance with the financial covenants under the OPAL Term Loan. Additionally, the OPAL Term Loan contains restrictions on distributions and additional indebtedness.</w:t>
      </w:r>
    </w:p>
    <w:p>
      <w:pPr>
        <w:spacing w:after="0" w:line="105"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w:t>
      </w:r>
    </w:p>
    <w:p>
      <w:pPr>
        <w:spacing w:after="0" w:line="76"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 xml:space="preserve">The Company accounted for the above debt restructuring as debt modification for the existing lenders by performing an analysis on a lender by lender basis under </w:t>
      </w:r>
      <w:r>
        <w:rPr>
          <w:rFonts w:ascii="Arial" w:cs="Arial" w:eastAsia="Arial" w:hAnsi="Arial"/>
          <w:sz w:val="16"/>
          <w:szCs w:val="16"/>
          <w:i w:val="1"/>
          <w:iCs w:val="1"/>
          <w:color w:val="auto"/>
        </w:rPr>
        <w:t xml:space="preserve">ASC 470-50 Debt modifications and exchanges. </w:t>
      </w:r>
      <w:r>
        <w:rPr>
          <w:rFonts w:ascii="Arial" w:cs="Arial" w:eastAsia="Arial" w:hAnsi="Arial"/>
          <w:sz w:val="16"/>
          <w:szCs w:val="16"/>
          <w:color w:val="auto"/>
        </w:rPr>
        <w:t>As a result, the Company recorded debt extinguishment of $953 representing the fees allocated to the lenders who were</w:t>
      </w:r>
      <w:r>
        <w:rPr>
          <w:rFonts w:ascii="Arial" w:cs="Arial" w:eastAsia="Arial" w:hAnsi="Arial"/>
          <w:sz w:val="16"/>
          <w:szCs w:val="16"/>
          <w:i w:val="1"/>
          <w:iCs w:val="1"/>
          <w:color w:val="auto"/>
        </w:rPr>
        <w:t xml:space="preserve"> </w:t>
      </w:r>
      <w:r>
        <w:rPr>
          <w:rFonts w:ascii="Arial" w:cs="Arial" w:eastAsia="Arial" w:hAnsi="Arial"/>
          <w:sz w:val="16"/>
          <w:szCs w:val="16"/>
          <w:color w:val="auto"/>
        </w:rPr>
        <w:t>repaid in full as part of Other income in the condensed consolidated statement of operations for the three and nine months ended September 30, 2023. Additionally, the Company expensed $295 related to third party legal costs as part of Selling, general and administrative expenses in the condensed consolidated statement of operations for the three and nine months ended September 30, 2023.</w:t>
      </w:r>
    </w:p>
    <w:p>
      <w:pPr>
        <w:spacing w:after="0" w:line="106"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As of September 30, 2023 and December 31, 2022, the outstanding loan balance (current and non-current) excluding deferred financing costs was $164,118 and $96,090,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Sunoma Loan</w:t>
      </w:r>
    </w:p>
    <w:p>
      <w:pPr>
        <w:spacing w:after="0" w:line="153"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On August 27, 2020, Sunoma, an indirect wholly-owned subsidiary of the Company entered into a debt agreement (the "Sunoma Loan Agreement") with Live Oak Banking Company for an aggregate principal amount of $20,000. Sunoma paid $635 in financing fees. The loan bears interest at the greater of prime rate plus 3.50%, or 7.75%. The amounts outstanding under the Sunoma Loan are secured by Sunoma's assets.</w:t>
      </w:r>
    </w:p>
    <w:p>
      <w:pPr>
        <w:spacing w:after="0" w:line="87"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On July 19, 2022, Sunoma completed the conversion of the construction loan into a permanent loan and increased the commitment from $20,000 to $23,000.</w:t>
      </w:r>
    </w:p>
    <w:p>
      <w:pPr>
        <w:spacing w:after="0" w:line="99"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loans under the Sunoma Loan Agreement bear interest at a rate of 7.68% and have a maturity date of July 19, 2033. The Company is required to pay a quarterly amortization of principal of $533 beginning in October 2023.</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significant assets of Sunoma are parenthesized in the condensed consolidated balance sheets as September 30, 2023 and December 31, 2022. See Note 12.</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Variable Interest Entities </w:t>
      </w:r>
      <w:r>
        <w:rPr>
          <w:rFonts w:ascii="Arial" w:cs="Arial" w:eastAsia="Arial" w:hAnsi="Arial"/>
          <w:sz w:val="16"/>
          <w:szCs w:val="16"/>
          <w:color w:val="auto"/>
        </w:rPr>
        <w:t>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 Payable</w:t>
      </w:r>
    </w:p>
    <w:p>
      <w:pPr>
        <w:spacing w:after="0" w:line="128"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5"/>
          <w:szCs w:val="15"/>
          <w:color w:val="auto"/>
        </w:rPr>
        <w:t>On May 1, 2021, the Company acquired the remaining ownership interests in Beacon and signed an unsecured, contingently convertible note (the "Convertible Note Payable") with ARCC Beacon LLC ("Ares") for a total aggregate amount for $50,000 at an interest rate of 8.00% per annum. The Company had the option to pay interest on the Convertible Note in cash on a quarterly basis or payment-in-kind. The Company chose the option of payment-in-kind interest.</w:t>
      </w:r>
    </w:p>
    <w:p>
      <w:pPr>
        <w:spacing w:after="0" w:line="58"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 Company issued 3,059,533 shares of Class A common stock and redeemed outstanding debt of $30,595.</w:t>
      </w:r>
    </w:p>
    <w:p>
      <w:pPr>
        <w:spacing w:after="0" w:line="93"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 xml:space="preserve">The Company elected to account for the Convertible Note Payable using the fair value option 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The fair value was subsequently remeasured on each reporting date and the change in fair value recorded as interest expense in the condensed consolidated statement of operations for each reporting period. The Company repaid the outstanding balance in full on September 1, 2023.</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29"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The Company recorded $(436) and $(1,579) as change in fair value of Convertible Note for the three and nine months ended September 30, 2023, respectively. The Company recorded gains of $2,261 and $151 as change in fair value of the Convertible Note Payable for the three and nine months ended September 30, 2022, respectively as interest and financing expense, net.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Municipality Loan</w:t>
      </w:r>
    </w:p>
    <w:p>
      <w:pPr>
        <w:spacing w:after="0" w:line="153"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FM3, an indirect wholly-owned subsidiary of the Company, entered into a loan agreement for the construction of an interconnection that was initially funded by the municipality. The Company made payments to a municipality in the amount of $1,600 plus interest at a fixed annual rate of 3.00% through April 1, 2023. The loan was fully repaid in April 2023.</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OPAL Term Loan II</w:t>
      </w:r>
    </w:p>
    <w:p>
      <w:pPr>
        <w:spacing w:after="0" w:line="128" w:lineRule="exact"/>
        <w:rPr>
          <w:sz w:val="20"/>
          <w:szCs w:val="20"/>
          <w:color w:val="auto"/>
        </w:rPr>
      </w:pPr>
    </w:p>
    <w:p>
      <w:pPr>
        <w:jc w:val="both"/>
        <w:ind w:firstLine="296"/>
        <w:spacing w:after="0" w:line="262" w:lineRule="auto"/>
        <w:rPr>
          <w:sz w:val="20"/>
          <w:szCs w:val="20"/>
          <w:color w:val="auto"/>
        </w:rPr>
      </w:pPr>
      <w:r>
        <w:rPr>
          <w:rFonts w:ascii="Arial" w:cs="Arial" w:eastAsia="Arial" w:hAnsi="Arial"/>
          <w:sz w:val="16"/>
          <w:szCs w:val="16"/>
          <w:color w:val="auto"/>
        </w:rPr>
        <w:t>On August 4, 2022, OPAL Intermediate Holdco 2 entered into a new Senior Secured Credit Facility (the "OPAL Term Loan II") with a syndicate of lenders. The indebtedness is guaranteed by certain of the direct and indirect subsidiaries of OPAL Intermediate Holdco 2. The OPAL Term Loan II provides for an approximately two-year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The proceeds of the DSR Facility are to be used solely to satisfy the balance to be maintained in the debt service reserve account. In connection with the transaction, the Company paid $2,200 in financing fees to the lenders and incurred $1,376 in third party fees.</w:t>
      </w:r>
    </w:p>
    <w:p>
      <w:pPr>
        <w:spacing w:after="0" w:line="110" w:lineRule="exact"/>
        <w:rPr>
          <w:sz w:val="20"/>
          <w:szCs w:val="20"/>
          <w:color w:val="auto"/>
        </w:rPr>
      </w:pPr>
    </w:p>
    <w:p>
      <w:pPr>
        <w:jc w:val="both"/>
        <w:ind w:firstLine="591"/>
        <w:spacing w:after="0" w:line="288" w:lineRule="auto"/>
        <w:rPr>
          <w:sz w:val="20"/>
          <w:szCs w:val="20"/>
          <w:color w:val="auto"/>
        </w:rPr>
      </w:pPr>
      <w:r>
        <w:rPr>
          <w:rFonts w:ascii="Arial" w:cs="Arial" w:eastAsia="Arial" w:hAnsi="Arial"/>
          <w:sz w:val="16"/>
          <w:szCs w:val="16"/>
          <w:color w:val="auto"/>
        </w:rPr>
        <w:t>On May 30, 2023, OPAL Intermediate Holdco 2 assigned to Paragon its rights and obligations under OPAL Term Loan II. The joint venture partner of Paragon reimbursed the Company $826 as its portion of the transaction costs incurred.</w:t>
      </w:r>
    </w:p>
    <w:p>
      <w:pPr>
        <w:spacing w:after="0" w:line="88" w:lineRule="exact"/>
        <w:rPr>
          <w:sz w:val="20"/>
          <w:szCs w:val="20"/>
          <w:color w:val="auto"/>
        </w:rPr>
      </w:pPr>
    </w:p>
    <w:p>
      <w:pPr>
        <w:jc w:val="both"/>
        <w:ind w:firstLine="591"/>
        <w:spacing w:after="0" w:line="288" w:lineRule="auto"/>
        <w:rPr>
          <w:sz w:val="20"/>
          <w:szCs w:val="20"/>
          <w:color w:val="auto"/>
        </w:rPr>
      </w:pPr>
      <w:r>
        <w:rPr>
          <w:rFonts w:ascii="Arial" w:cs="Arial" w:eastAsia="Arial" w:hAnsi="Arial"/>
          <w:sz w:val="16"/>
          <w:szCs w:val="16"/>
          <w:color w:val="auto"/>
        </w:rPr>
        <w:t>The Company expensed the remaining deferred financing costs of ($1,895) as loss on debt extinguishment in its condensed consolidated statement of operations for the nine months ended September 30, 2023. There were no amounts outstanding under the OPAL Term Loan II as of May 30, 2023.</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2023</w:t>
      </w:r>
    </w:p>
    <w:p>
      <w:pPr>
        <w:spacing w:after="0" w:line="149"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For the three and nine months ended September 30, 2023, the weighted average effective interest rate including amortization of debt issuance costs on the Senior Secured Credit Facility was 5.6% including a margin plus SOFR. The debt was repaid in full in March 2023.</w:t>
      </w:r>
    </w:p>
    <w:p>
      <w:pPr>
        <w:spacing w:after="0" w:line="88"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For the three and nine months ended September 30, 2023, the weighted average effective interest rate including amortization of debt issuance costs on OPAL Term Loan was 9.2% and 8.0%.</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three and nine months ended September 30, 2023, the interest rate on the Sunoma Loan was 8.00%.</w:t>
      </w:r>
    </w:p>
    <w:p>
      <w:pPr>
        <w:spacing w:after="0" w:line="149"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For the three and nine months ended September 30, 2023, the payment-in-kind interest rate on Convertible Note Payable was 8.00%. The loan was fully repaid in September 2023.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16"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2022</w:t>
      </w:r>
    </w:p>
    <w:p>
      <w:pPr>
        <w:spacing w:after="0" w:line="198" w:lineRule="exact"/>
        <w:rPr>
          <w:sz w:val="20"/>
          <w:szCs w:val="20"/>
          <w:color w:val="auto"/>
        </w:rPr>
      </w:pPr>
    </w:p>
    <w:p>
      <w:pPr>
        <w:ind w:left="1" w:firstLine="296"/>
        <w:spacing w:after="0" w:line="256" w:lineRule="auto"/>
        <w:rPr>
          <w:sz w:val="20"/>
          <w:szCs w:val="20"/>
          <w:color w:val="auto"/>
        </w:rPr>
      </w:pPr>
      <w:r>
        <w:rPr>
          <w:rFonts w:ascii="Arial" w:cs="Arial" w:eastAsia="Arial" w:hAnsi="Arial"/>
          <w:sz w:val="16"/>
          <w:szCs w:val="16"/>
          <w:color w:val="auto"/>
        </w:rPr>
        <w:t>For the three and nine months ended September 30, 2022, the weighted average effective interest rate on the Senior Secured Credit Facility including amortization of debt issuance costs on Senior Secured Credit Facility was 6.80% and 5.40% including a margin plus LIBOR.</w:t>
      </w:r>
    </w:p>
    <w:p>
      <w:pPr>
        <w:spacing w:after="0" w:line="150" w:lineRule="exact"/>
        <w:rPr>
          <w:sz w:val="20"/>
          <w:szCs w:val="20"/>
          <w:color w:val="auto"/>
        </w:rPr>
      </w:pPr>
    </w:p>
    <w:p>
      <w:pPr>
        <w:ind w:left="1" w:firstLine="296"/>
        <w:spacing w:after="0" w:line="256" w:lineRule="auto"/>
        <w:rPr>
          <w:sz w:val="20"/>
          <w:szCs w:val="20"/>
          <w:color w:val="auto"/>
        </w:rPr>
      </w:pPr>
      <w:r>
        <w:rPr>
          <w:rFonts w:ascii="Arial" w:cs="Arial" w:eastAsia="Arial" w:hAnsi="Arial"/>
          <w:sz w:val="16"/>
          <w:szCs w:val="16"/>
          <w:color w:val="auto"/>
        </w:rPr>
        <w:t>For the three and nine months ended September 30, 2022, the weighted average effective interest rate on the OPAL Term Loan including amortization of debt issuance costs was 6.40% and 5.20%.</w:t>
      </w:r>
    </w:p>
    <w:p>
      <w:pPr>
        <w:spacing w:after="0" w:line="150" w:lineRule="exact"/>
        <w:rPr>
          <w:sz w:val="20"/>
          <w:szCs w:val="20"/>
          <w:color w:val="auto"/>
        </w:rPr>
      </w:pPr>
    </w:p>
    <w:p>
      <w:pPr>
        <w:ind w:left="301"/>
        <w:spacing w:after="0"/>
        <w:rPr>
          <w:sz w:val="20"/>
          <w:szCs w:val="20"/>
          <w:color w:val="auto"/>
        </w:rPr>
      </w:pPr>
      <w:r>
        <w:rPr>
          <w:rFonts w:ascii="Arial" w:cs="Arial" w:eastAsia="Arial" w:hAnsi="Arial"/>
          <w:sz w:val="16"/>
          <w:szCs w:val="16"/>
          <w:color w:val="auto"/>
        </w:rPr>
        <w:t>For three and nine months ended September 30, 2022, the interest rate on the Sunoma loan was 7.81% and 9.0%, respectively.</w:t>
      </w:r>
    </w:p>
    <w:p>
      <w:pPr>
        <w:spacing w:after="0" w:line="210" w:lineRule="exact"/>
        <w:rPr>
          <w:sz w:val="20"/>
          <w:szCs w:val="20"/>
          <w:color w:val="auto"/>
        </w:rPr>
      </w:pPr>
    </w:p>
    <w:p>
      <w:pPr>
        <w:ind w:left="301"/>
        <w:spacing w:after="0"/>
        <w:rPr>
          <w:sz w:val="20"/>
          <w:szCs w:val="20"/>
          <w:color w:val="auto"/>
        </w:rPr>
      </w:pPr>
      <w:r>
        <w:rPr>
          <w:rFonts w:ascii="Arial" w:cs="Arial" w:eastAsia="Arial" w:hAnsi="Arial"/>
          <w:sz w:val="16"/>
          <w:szCs w:val="16"/>
          <w:color w:val="auto"/>
        </w:rPr>
        <w:t>For the three and nine months ended September 30, 2022, the payment-in-kind interest rate on Convertible Note Payable was 8.0%.</w:t>
      </w:r>
    </w:p>
    <w:p>
      <w:pPr>
        <w:spacing w:after="0" w:line="200" w:lineRule="exact"/>
        <w:rPr>
          <w:sz w:val="20"/>
          <w:szCs w:val="20"/>
          <w:color w:val="auto"/>
        </w:rPr>
      </w:pPr>
    </w:p>
    <w:p>
      <w:pPr>
        <w:spacing w:after="0" w:line="232" w:lineRule="exact"/>
        <w:rPr>
          <w:sz w:val="20"/>
          <w:szCs w:val="20"/>
          <w:color w:val="auto"/>
        </w:rPr>
      </w:pPr>
    </w:p>
    <w:p>
      <w:pPr>
        <w:ind w:left="301"/>
        <w:spacing w:after="0"/>
        <w:rPr>
          <w:sz w:val="20"/>
          <w:szCs w:val="20"/>
          <w:color w:val="auto"/>
        </w:rPr>
      </w:pPr>
      <w:r>
        <w:rPr>
          <w:rFonts w:ascii="Arial" w:cs="Arial" w:eastAsia="Arial" w:hAnsi="Arial"/>
          <w:sz w:val="16"/>
          <w:szCs w:val="16"/>
          <w:color w:val="auto"/>
        </w:rPr>
        <w:t>For the three and nine months ended September 30, 2022, the weighted average interest rate on the Municipality Loan was 3.00%.</w:t>
      </w:r>
    </w:p>
    <w:p>
      <w:pPr>
        <w:spacing w:after="0" w:line="358"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following table summarizes the Company's total interest expense for the three and nine months ended September 30, 2023 and 2022:</w:t>
      </w:r>
    </w:p>
    <w:p>
      <w:pPr>
        <w:spacing w:after="0" w:line="211" w:lineRule="exact"/>
        <w:rPr>
          <w:sz w:val="20"/>
          <w:szCs w:val="20"/>
          <w:color w:val="auto"/>
        </w:rPr>
      </w:pPr>
    </w:p>
    <w:tbl>
      <w:tblPr>
        <w:tblLayout w:type="fixed"/>
        <w:tblInd w:w="1" w:type="dxa"/>
        <w:tblCellMar>
          <w:top w:w="0" w:type="dxa"/>
          <w:left w:w="0" w:type="dxa"/>
          <w:bottom w:w="0" w:type="dxa"/>
          <w:right w:w="0" w:type="dxa"/>
        </w:tblCellMar>
      </w:tblPr>
      <w:tr>
        <w:trPr>
          <w:trHeight w:val="205"/>
        </w:trPr>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w w:val="99"/>
              </w:rPr>
              <w:t>Three Months Ended September</w:t>
            </w:r>
          </w:p>
        </w:tc>
        <w:tc>
          <w:tcPr>
            <w:tcW w:w="300" w:type="dxa"/>
            <w:vAlign w:val="bottom"/>
            <w:shd w:val="clear" w:color="auto" w:fill="CCEEFF"/>
          </w:tcPr>
          <w:p>
            <w:pPr>
              <w:spacing w:after="0"/>
              <w:rPr>
                <w:sz w:val="17"/>
                <w:szCs w:val="17"/>
                <w:color w:val="auto"/>
              </w:rPr>
            </w:pPr>
          </w:p>
        </w:tc>
        <w:tc>
          <w:tcPr>
            <w:tcW w:w="2300" w:type="dxa"/>
            <w:vAlign w:val="bottom"/>
            <w:gridSpan w:val="4"/>
            <w:shd w:val="clear" w:color="auto" w:fill="CCEEFF"/>
          </w:tcPr>
          <w:p>
            <w:pPr>
              <w:jc w:val="right"/>
              <w:ind w:right="498"/>
              <w:spacing w:after="0"/>
              <w:rPr>
                <w:sz w:val="20"/>
                <w:szCs w:val="20"/>
                <w:color w:val="auto"/>
              </w:rPr>
            </w:pPr>
            <w:r>
              <w:rPr>
                <w:rFonts w:ascii="Arial" w:cs="Arial" w:eastAsia="Arial" w:hAnsi="Arial"/>
                <w:sz w:val="16"/>
                <w:szCs w:val="16"/>
                <w:b w:val="1"/>
                <w:bCs w:val="1"/>
                <w:color w:val="auto"/>
              </w:rPr>
              <w:t>Nine Months Ended</w:t>
            </w:r>
          </w:p>
        </w:tc>
      </w:tr>
      <w:tr>
        <w:trPr>
          <w:trHeight w:val="238"/>
        </w:trPr>
        <w:tc>
          <w:tcPr>
            <w:tcW w:w="5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right"/>
              <w:ind w:right="138"/>
              <w:spacing w:after="0"/>
              <w:rPr>
                <w:sz w:val="20"/>
                <w:szCs w:val="20"/>
                <w:color w:val="auto"/>
              </w:rPr>
            </w:pPr>
            <w:r>
              <w:rPr>
                <w:rFonts w:ascii="Arial" w:cs="Arial" w:eastAsia="Arial" w:hAnsi="Arial"/>
                <w:sz w:val="16"/>
                <w:szCs w:val="16"/>
                <w:b w:val="1"/>
                <w:bCs w:val="1"/>
                <w:color w:val="auto"/>
              </w:rPr>
              <w:t>30,</w:t>
            </w: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CCEEFF"/>
            </w:tcBorders>
            <w:shd w:val="clear" w:color="auto" w:fill="CCEEFF"/>
          </w:tcPr>
          <w:p>
            <w:pPr>
              <w:spacing w:after="0"/>
              <w:rPr>
                <w:sz w:val="20"/>
                <w:szCs w:val="20"/>
                <w:color w:val="auto"/>
              </w:rPr>
            </w:pPr>
          </w:p>
        </w:tc>
      </w:tr>
      <w:tr>
        <w:trPr>
          <w:trHeight w:val="220"/>
        </w:trPr>
        <w:tc>
          <w:tcPr>
            <w:tcW w:w="5000" w:type="dxa"/>
            <w:vAlign w:val="bottom"/>
            <w:tcBorders>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w w:val="89"/>
              </w:rPr>
              <w:t>2022</w:t>
            </w:r>
          </w:p>
        </w:tc>
      </w:tr>
      <w:tr>
        <w:trPr>
          <w:trHeight w:val="23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color w:val="auto"/>
              </w:rPr>
              <w:t>Convertible Note Payable mark-to-market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35"/>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Sunoma Loan</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r>
      <w:tr>
        <w:trPr>
          <w:trHeight w:val="234"/>
        </w:trPr>
        <w:tc>
          <w:tcPr>
            <w:tcW w:w="5000" w:type="dxa"/>
            <w:vAlign w:val="bottom"/>
          </w:tcPr>
          <w:p>
            <w:pPr>
              <w:ind w:left="20"/>
              <w:spacing w:after="0" w:line="234" w:lineRule="exact"/>
              <w:rPr>
                <w:sz w:val="20"/>
                <w:szCs w:val="20"/>
                <w:color w:val="auto"/>
              </w:rPr>
            </w:pPr>
            <w:r>
              <w:rPr>
                <w:rFonts w:ascii="Arial" w:cs="Arial" w:eastAsia="Arial" w:hAnsi="Arial"/>
                <w:sz w:val="16"/>
                <w:szCs w:val="16"/>
                <w:color w:val="auto"/>
              </w:rPr>
              <w:t xml:space="preserve">OPAL Term Loan </w:t>
            </w:r>
            <w:r>
              <w:rPr>
                <w:rFonts w:ascii="Arial" w:cs="Arial" w:eastAsia="Arial" w:hAnsi="Arial"/>
                <w:sz w:val="21"/>
                <w:szCs w:val="21"/>
                <w:color w:val="auto"/>
                <w:vertAlign w:val="superscript"/>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(2,850)</w:t>
            </w:r>
          </w:p>
        </w:tc>
      </w:tr>
      <w:tr>
        <w:trPr>
          <w:trHeight w:val="234"/>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 fees and other finance fees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color w:val="auto"/>
              </w:rPr>
              <w:t>Amortization of deferred financing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(1,514)</w:t>
            </w:r>
          </w:p>
        </w:tc>
      </w:tr>
      <w:tr>
        <w:trPr>
          <w:trHeight w:val="235"/>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on finance leases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w:t>
            </w:r>
          </w:p>
        </w:tc>
      </w:tr>
      <w:tr>
        <w:trPr>
          <w:trHeight w:val="247"/>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interest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 w:hanging="1"/>
        <w:spacing w:after="0" w:line="235" w:lineRule="auto"/>
        <w:tabs>
          <w:tab w:leader="none" w:pos="165"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Excludes $842 and $4,627 of interest capitalized and recorded as part of Property, Plant and Equipment for the three and nine months ended September 30, 2023, respectively.</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8. Leases</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are the types of contracts that fall under ASC 842:</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Lessor Contracts</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Fuel Provider Agreements</w:t>
      </w:r>
    </w:p>
    <w:p>
      <w:pPr>
        <w:spacing w:after="0" w:line="235" w:lineRule="exact"/>
        <w:rPr>
          <w:sz w:val="20"/>
          <w:szCs w:val="20"/>
          <w:color w:val="auto"/>
        </w:rPr>
      </w:pPr>
    </w:p>
    <w:p>
      <w:pPr>
        <w:jc w:val="both"/>
        <w:ind w:left="1" w:firstLine="296"/>
        <w:spacing w:after="0" w:line="257" w:lineRule="auto"/>
        <w:rPr>
          <w:sz w:val="20"/>
          <w:szCs w:val="20"/>
          <w:color w:val="auto"/>
        </w:rPr>
      </w:pPr>
      <w:r>
        <w:rPr>
          <w:rFonts w:ascii="Arial" w:cs="Arial" w:eastAsia="Arial" w:hAnsi="Arial"/>
          <w:sz w:val="16"/>
          <w:szCs w:val="16"/>
          <w:color w:val="auto"/>
        </w:rPr>
        <w:t>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Power Purchase Agreements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207010</wp:posOffset>
            </wp:positionV>
            <wp:extent cx="716978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35" w:name="page36"/>
    <w:bookmarkEnd w:id="35"/>
    <w:p>
      <w:pPr>
        <w:spacing w:after="0" w:line="216"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w:t>
      </w:r>
    </w:p>
    <w:p>
      <w:pPr>
        <w:spacing w:after="0" w:line="167" w:lineRule="exact"/>
        <w:rPr>
          <w:sz w:val="20"/>
          <w:szCs w:val="20"/>
          <w:color w:val="auto"/>
        </w:rPr>
      </w:pPr>
    </w:p>
    <w:p>
      <w:pPr>
        <w:jc w:val="both"/>
        <w:ind w:firstLine="296"/>
        <w:spacing w:after="0" w:line="324" w:lineRule="auto"/>
        <w:rPr>
          <w:sz w:val="20"/>
          <w:szCs w:val="20"/>
          <w:color w:val="auto"/>
        </w:rPr>
      </w:pPr>
      <w:r>
        <w:rPr>
          <w:rFonts w:ascii="Arial" w:cs="Arial" w:eastAsia="Arial" w:hAnsi="Arial"/>
          <w:sz w:val="15"/>
          <w:szCs w:val="15"/>
          <w:color w:val="auto"/>
        </w:rPr>
        <w:t>Included in Fuel Station Service revenues are $917 and $2,119 related to the lease portion of the FPAs for the three and nine months ended September 30, 2023, respectively. This includes $856 and $1,906 related to the lease portion of the FPAs for the three and nine months ended September 30, 2022, respectively.</w:t>
      </w:r>
    </w:p>
    <w:p>
      <w:pPr>
        <w:spacing w:after="0" w:line="126"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Included in Renewable Power revenues are $223 and $818 related to the lease element of the PPAs for the three and nine months ended September 30, 2023, respectively. Included in Renewable Power revenues are $384 and $1,014 related to the lease element of the PPAs for the three and nine ended September 30, 2022,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Lessee Contracts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Ground/Site Leases</w:t>
      </w:r>
    </w:p>
    <w:p>
      <w:pPr>
        <w:spacing w:after="0" w:line="210" w:lineRule="exact"/>
        <w:rPr>
          <w:sz w:val="20"/>
          <w:szCs w:val="20"/>
          <w:color w:val="auto"/>
        </w:rPr>
      </w:pPr>
    </w:p>
    <w:p>
      <w:pPr>
        <w:jc w:val="both"/>
        <w:ind w:firstLine="591"/>
        <w:spacing w:after="0" w:line="273" w:lineRule="auto"/>
        <w:rPr>
          <w:sz w:val="20"/>
          <w:szCs w:val="20"/>
          <w:color w:val="auto"/>
        </w:rPr>
      </w:pPr>
      <w:r>
        <w:rPr>
          <w:rFonts w:ascii="Arial" w:cs="Arial" w:eastAsia="Arial" w:hAnsi="Arial"/>
          <w:sz w:val="16"/>
          <w:szCs w:val="16"/>
          <w:color w:val="auto"/>
        </w:rPr>
        <w:t>The Company through various indirectly owned subsidiaries holds site leases on landfills and dairy farms to build RNG generation facilities. Typically, the lease payments over the lease term are immaterial except for three of our RNG facilities including Beacon and two sites at our Central Valley project - MS Digester ("MS") and VS Digester ("VS").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The lease at the Beacon facility is for 20 years at a monthly rent of $11.</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The lease term for MD and VS is for a period of 20 years from their commercial operation date at a quarterly rent of $125.</w:t>
      </w:r>
    </w:p>
    <w:p>
      <w:pPr>
        <w:spacing w:after="0" w:line="210" w:lineRule="exact"/>
        <w:rPr>
          <w:sz w:val="20"/>
          <w:szCs w:val="20"/>
          <w:color w:val="auto"/>
        </w:rPr>
      </w:pPr>
    </w:p>
    <w:p>
      <w:pPr>
        <w:jc w:val="both"/>
        <w:ind w:firstLine="591"/>
        <w:spacing w:after="0" w:line="290" w:lineRule="auto"/>
        <w:rPr>
          <w:sz w:val="20"/>
          <w:szCs w:val="20"/>
          <w:color w:val="auto"/>
        </w:rPr>
      </w:pPr>
      <w:r>
        <w:rPr>
          <w:rFonts w:ascii="Arial" w:cs="Arial" w:eastAsia="Arial" w:hAnsi="Arial"/>
          <w:sz w:val="15"/>
          <w:szCs w:val="15"/>
          <w:color w:val="auto"/>
        </w:rPr>
        <w:t>On July 5, 2023, the Company through one of its indirectly owned subsidiary entered into a site lease on a dairy farm to build a facility to collect, process and deliver feedstock to an RNG facility. The lease term is 20 years from its commercial operations date at a quarterly rent of $21,250 with a 5% escalator on the calendar quarter in which the fifth anniversary occurs and every fifth anniversary thereafter. The Company recorded $798 as right-of-use operating lease and corresponding lease liability on its condensed consolidated balance sheet as of September 30, 2023 using an incremental borrowing rate of 8.44%,</w:t>
      </w:r>
    </w:p>
    <w:p>
      <w:pPr>
        <w:spacing w:after="0" w:line="152" w:lineRule="exact"/>
        <w:rPr>
          <w:sz w:val="20"/>
          <w:szCs w:val="20"/>
          <w:color w:val="auto"/>
        </w:rPr>
      </w:pPr>
    </w:p>
    <w:p>
      <w:pPr>
        <w:jc w:val="both"/>
        <w:ind w:firstLine="591"/>
        <w:spacing w:after="0" w:line="273" w:lineRule="auto"/>
        <w:rPr>
          <w:sz w:val="20"/>
          <w:szCs w:val="20"/>
          <w:color w:val="auto"/>
        </w:rPr>
      </w:pPr>
      <w:r>
        <w:rPr>
          <w:rFonts w:ascii="Arial" w:cs="Arial" w:eastAsia="Arial" w:hAnsi="Arial"/>
          <w:sz w:val="16"/>
          <w:szCs w:val="16"/>
          <w:color w:val="auto"/>
        </w:rPr>
        <w:t>Additionally, the Company revised the commercial operation date for its leases for MD and VS by 10 months which changed the lease term for both the leases. The Company treated this as a lease modification and increased its right-of-use asset and corresponding lease liability by $280 on its condensed consolidated balance sheet as of September 30, 2023, using the incremental borrowing rate of 8.44%.</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Office Lease</w:t>
      </w:r>
    </w:p>
    <w:p>
      <w:pPr>
        <w:spacing w:after="0" w:line="21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6"/>
          <w:szCs w:val="16"/>
          <w:color w:val="auto"/>
        </w:rPr>
        <w:t>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for the change in the lease term as a lease modification and reassessed the right-of-use assets and corresponding lease liabilities as of March 31, 2022.</w:t>
      </w:r>
    </w:p>
    <w:p>
      <w:pPr>
        <w:spacing w:after="0" w:line="170" w:lineRule="exact"/>
        <w:rPr>
          <w:sz w:val="20"/>
          <w:szCs w:val="20"/>
          <w:color w:val="auto"/>
        </w:rPr>
      </w:pPr>
    </w:p>
    <w:p>
      <w:pPr>
        <w:jc w:val="both"/>
        <w:ind w:firstLine="591"/>
        <w:spacing w:after="0" w:line="324" w:lineRule="auto"/>
        <w:rPr>
          <w:sz w:val="20"/>
          <w:szCs w:val="20"/>
          <w:color w:val="auto"/>
        </w:rPr>
      </w:pPr>
      <w:r>
        <w:rPr>
          <w:rFonts w:ascii="Arial" w:cs="Arial" w:eastAsia="Arial" w:hAnsi="Arial"/>
          <w:sz w:val="15"/>
          <w:szCs w:val="15"/>
          <w:color w:val="auto"/>
        </w:rPr>
        <w:t>The Company currently shares office space with Fortistar and reimburses Fortistar on a monthly basis at a predetermined rate. The Company determined that this is not a lease under ASC 842 as there is no identifiable asset and the Company does not have the right to control the use of the office space.</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Company determined that the three site leases and the one office lease are operating leases.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16" w:lineRule="exact"/>
        <w:rPr>
          <w:sz w:val="20"/>
          <w:szCs w:val="20"/>
          <w:color w:val="auto"/>
        </w:rPr>
      </w:pPr>
    </w:p>
    <w:p>
      <w:pPr>
        <w:jc w:val="both"/>
        <w:ind w:firstLine="591"/>
        <w:spacing w:after="0" w:line="290" w:lineRule="auto"/>
        <w:rPr>
          <w:sz w:val="20"/>
          <w:szCs w:val="20"/>
          <w:color w:val="auto"/>
        </w:rPr>
      </w:pPr>
      <w:r>
        <w:rPr>
          <w:rFonts w:ascii="Arial" w:cs="Arial" w:eastAsia="Arial" w:hAnsi="Arial"/>
          <w:sz w:val="15"/>
          <w:szCs w:val="15"/>
          <w:color w:val="auto"/>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 the underlying asset for the lease term and the related lease liability represents an obligation to make lease payments pursuant to the contractual terms of the lease agreement.</w:t>
      </w:r>
    </w:p>
    <w:p>
      <w:pPr>
        <w:spacing w:after="0" w:line="152" w:lineRule="exact"/>
        <w:rPr>
          <w:sz w:val="20"/>
          <w:szCs w:val="20"/>
          <w:color w:val="auto"/>
        </w:rPr>
      </w:pPr>
    </w:p>
    <w:p>
      <w:pPr>
        <w:jc w:val="both"/>
        <w:ind w:firstLine="591"/>
        <w:spacing w:after="0" w:line="299" w:lineRule="auto"/>
        <w:rPr>
          <w:sz w:val="20"/>
          <w:szCs w:val="20"/>
          <w:color w:val="auto"/>
        </w:rPr>
      </w:pPr>
      <w:r>
        <w:rPr>
          <w:rFonts w:ascii="Arial" w:cs="Arial" w:eastAsia="Arial" w:hAnsi="Arial"/>
          <w:sz w:val="15"/>
          <w:szCs w:val="15"/>
          <w:color w:val="auto"/>
        </w:rPr>
        <w:t>Based on the above guidance, the lease expense for the site leases is included as part of Cost of sales - RNG Fuel in the condensed consolidated statement of operations for the three and nine months ended September 30, 2023 and 2022. The lease expense for the office lease is recorded as part of Selling, general and administrative expenses in its condensed consolidated statement of operations for the three and nine months ended September 30, 2023 and 2022.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Vehicle Leases</w:t>
      </w:r>
    </w:p>
    <w:p>
      <w:pPr>
        <w:spacing w:after="0" w:line="210" w:lineRule="exact"/>
        <w:rPr>
          <w:sz w:val="20"/>
          <w:szCs w:val="20"/>
          <w:color w:val="auto"/>
        </w:rPr>
      </w:pPr>
    </w:p>
    <w:p>
      <w:pPr>
        <w:jc w:val="both"/>
        <w:ind w:firstLine="591"/>
        <w:spacing w:after="0" w:line="288" w:lineRule="auto"/>
        <w:rPr>
          <w:sz w:val="20"/>
          <w:szCs w:val="20"/>
          <w:color w:val="auto"/>
        </w:rPr>
      </w:pPr>
      <w:r>
        <w:rPr>
          <w:rFonts w:ascii="Arial" w:cs="Arial" w:eastAsia="Arial" w:hAnsi="Arial"/>
          <w:sz w:val="16"/>
          <w:szCs w:val="16"/>
          <w:color w:val="auto"/>
        </w:rPr>
        <w:t>The Company leases approximately 65 vehicles in our FM3 and OPAL Fuel Station Services subsidiaries. The leases contain repurchase options at the end of the lease term and the sum total of the lease payments represents substantially the fair value of the asset.</w:t>
      </w:r>
    </w:p>
    <w:p>
      <w:pPr>
        <w:spacing w:after="0" w:line="150" w:lineRule="exact"/>
        <w:rPr>
          <w:sz w:val="20"/>
          <w:szCs w:val="20"/>
          <w:color w:val="auto"/>
        </w:rPr>
      </w:pPr>
    </w:p>
    <w:p>
      <w:pPr>
        <w:jc w:val="both"/>
        <w:ind w:firstLine="591"/>
        <w:spacing w:after="0" w:line="267" w:lineRule="auto"/>
        <w:rPr>
          <w:sz w:val="20"/>
          <w:szCs w:val="20"/>
          <w:color w:val="auto"/>
        </w:rPr>
      </w:pPr>
      <w:r>
        <w:rPr>
          <w:rFonts w:ascii="Arial" w:cs="Arial" w:eastAsia="Arial" w:hAnsi="Arial"/>
          <w:sz w:val="16"/>
          <w:szCs w:val="16"/>
          <w:color w:val="auto"/>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the condensed statement of operations for the three and nine months ended September 30, 2023 and 2022.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Disclosures Under ASC 842</w:t>
      </w:r>
    </w:p>
    <w:p>
      <w:pPr>
        <w:spacing w:after="0" w:line="214" w:lineRule="exact"/>
        <w:rPr>
          <w:sz w:val="20"/>
          <w:szCs w:val="20"/>
          <w:color w:val="auto"/>
        </w:rPr>
      </w:pPr>
    </w:p>
    <w:p>
      <w:pPr>
        <w:jc w:val="both"/>
        <w:ind w:firstLine="591"/>
        <w:spacing w:after="0" w:line="273" w:lineRule="auto"/>
        <w:rPr>
          <w:sz w:val="20"/>
          <w:szCs w:val="20"/>
          <w:color w:val="auto"/>
        </w:rPr>
      </w:pPr>
      <w:r>
        <w:rPr>
          <w:rFonts w:ascii="Arial" w:cs="Arial" w:eastAsia="Arial" w:hAnsi="Arial"/>
          <w:sz w:val="16"/>
          <w:szCs w:val="16"/>
          <w:color w:val="auto"/>
        </w:rPr>
        <w:t>The objective of the disclosure requirements under ASC 842 is to enable viewers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Right-of-use assets and Lease liabilities as of September 30, 2023 and December 31, 2022 are as follows: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33" w:lineRule="exact"/>
        <w:rPr>
          <w:sz w:val="20"/>
          <w:szCs w:val="20"/>
          <w:color w:val="auto"/>
        </w:rPr>
      </w:pPr>
    </w:p>
    <w:tbl>
      <w:tblPr>
        <w:tblLayout w:type="fixed"/>
        <w:tblInd w:w="1" w:type="dxa"/>
        <w:tblCellMar>
          <w:top w:w="0" w:type="dxa"/>
          <w:left w:w="0" w:type="dxa"/>
          <w:bottom w:w="0" w:type="dxa"/>
          <w:right w:w="0" w:type="dxa"/>
        </w:tblCellMar>
      </w:tblPr>
      <w:tr>
        <w:trPr>
          <w:trHeight w:val="222"/>
        </w:trPr>
        <w:tc>
          <w:tcPr>
            <w:tcW w:w="1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6"/>
                <w:szCs w:val="16"/>
                <w:b w:val="1"/>
                <w:bCs w:val="1"/>
                <w:color w:val="auto"/>
              </w:rPr>
              <w:t>Description</w:t>
            </w:r>
          </w:p>
        </w:tc>
        <w:tc>
          <w:tcPr>
            <w:tcW w:w="4740" w:type="dxa"/>
            <w:vAlign w:val="bottom"/>
            <w:tcBorders>
              <w:top w:val="single" w:sz="8" w:color="auto"/>
              <w:bottom w:val="single" w:sz="8" w:color="auto"/>
            </w:tcBorders>
            <w:shd w:val="clear" w:color="auto" w:fill="CCEEFF"/>
          </w:tcPr>
          <w:p>
            <w:pPr>
              <w:ind w:left="1620"/>
              <w:spacing w:after="0"/>
              <w:rPr>
                <w:sz w:val="20"/>
                <w:szCs w:val="20"/>
                <w:color w:val="auto"/>
              </w:rPr>
            </w:pPr>
            <w:r>
              <w:rPr>
                <w:rFonts w:ascii="Arial" w:cs="Arial" w:eastAsia="Arial" w:hAnsi="Arial"/>
                <w:sz w:val="16"/>
                <w:szCs w:val="16"/>
                <w:b w:val="1"/>
                <w:bCs w:val="1"/>
                <w:color w:val="auto"/>
              </w:rPr>
              <w:t>Location in Balance Sheet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2040" w:type="dxa"/>
            <w:vAlign w:val="bottom"/>
            <w:tcBorders>
              <w:top w:val="single" w:sz="8" w:color="auto"/>
              <w:bottom w:val="single" w:sz="8" w:color="auto"/>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b w:val="1"/>
                <w:bCs w:val="1"/>
                <w:color w:val="auto"/>
                <w:w w:val="98"/>
              </w:rPr>
              <w:t>December 31, 2022</w:t>
            </w: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6"/>
                <w:szCs w:val="16"/>
                <w:color w:val="auto"/>
              </w:rPr>
              <w:t>Assets:</w:t>
            </w:r>
          </w:p>
        </w:tc>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20"/>
              <w:spacing w:after="0"/>
              <w:rPr>
                <w:sz w:val="20"/>
                <w:szCs w:val="20"/>
                <w:color w:val="auto"/>
              </w:rPr>
            </w:pPr>
            <w:r>
              <w:rPr>
                <w:rFonts w:ascii="Arial" w:cs="Arial" w:eastAsia="Arial" w:hAnsi="Arial"/>
                <w:sz w:val="16"/>
                <w:szCs w:val="16"/>
                <w:color w:val="auto"/>
              </w:rPr>
              <w:t>Site leases</w:t>
            </w:r>
          </w:p>
        </w:tc>
        <w:tc>
          <w:tcPr>
            <w:tcW w:w="4740" w:type="dxa"/>
            <w:vAlign w:val="bottom"/>
          </w:tcPr>
          <w:p>
            <w:pPr>
              <w:ind w:left="420"/>
              <w:spacing w:after="0"/>
              <w:rPr>
                <w:sz w:val="20"/>
                <w:szCs w:val="20"/>
                <w:color w:val="auto"/>
              </w:rPr>
            </w:pPr>
            <w:r>
              <w:rPr>
                <w:rFonts w:ascii="Arial" w:cs="Arial" w:eastAsia="Arial" w:hAnsi="Arial"/>
                <w:sz w:val="16"/>
                <w:szCs w:val="16"/>
                <w:color w:val="auto"/>
              </w:rPr>
              <w:t>Right-of-use assets</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11,287</w:t>
            </w:r>
          </w:p>
        </w:tc>
        <w:tc>
          <w:tcPr>
            <w:tcW w:w="10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10,338</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lease</w:t>
            </w:r>
          </w:p>
        </w:tc>
        <w:tc>
          <w:tcPr>
            <w:tcW w:w="4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Right-of-use assets</w:t>
            </w:r>
          </w:p>
        </w:tc>
        <w:tc>
          <w:tcPr>
            <w:tcW w:w="2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02"/>
        </w:trPr>
        <w:tc>
          <w:tcPr>
            <w:tcW w:w="1920" w:type="dxa"/>
            <w:vAlign w:val="bottom"/>
            <w:tcBorders>
              <w:bottom w:val="single" w:sz="8" w:color="CCEEFF"/>
            </w:tcBorders>
          </w:tcPr>
          <w:p>
            <w:pPr>
              <w:spacing w:after="0"/>
              <w:rPr>
                <w:sz w:val="17"/>
                <w:szCs w:val="17"/>
                <w:color w:val="auto"/>
              </w:rPr>
            </w:pPr>
          </w:p>
        </w:tc>
        <w:tc>
          <w:tcPr>
            <w:tcW w:w="4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11,744</w:t>
            </w:r>
          </w:p>
        </w:tc>
        <w:tc>
          <w:tcPr>
            <w:tcW w:w="0" w:type="dxa"/>
            <w:vAlign w:val="bottom"/>
          </w:tcPr>
          <w:p>
            <w:pPr>
              <w:spacing w:after="0"/>
              <w:rPr>
                <w:sz w:val="1"/>
                <w:szCs w:val="1"/>
                <w:color w:val="auto"/>
              </w:rPr>
            </w:pPr>
          </w:p>
        </w:tc>
      </w:tr>
      <w:tr>
        <w:trPr>
          <w:trHeight w:val="190"/>
        </w:trPr>
        <w:tc>
          <w:tcPr>
            <w:tcW w:w="1920" w:type="dxa"/>
            <w:vAlign w:val="bottom"/>
            <w:shd w:val="clear" w:color="auto" w:fill="CCEEFF"/>
          </w:tcPr>
          <w:p>
            <w:pPr>
              <w:ind w:left="20"/>
              <w:spacing w:after="0" w:line="190" w:lineRule="exact"/>
              <w:rPr>
                <w:sz w:val="20"/>
                <w:szCs w:val="20"/>
                <w:color w:val="auto"/>
              </w:rPr>
            </w:pPr>
            <w:r>
              <w:rPr>
                <w:rFonts w:ascii="Arial" w:cs="Arial" w:eastAsia="Arial" w:hAnsi="Arial"/>
                <w:sz w:val="16"/>
                <w:szCs w:val="16"/>
                <w:color w:val="auto"/>
              </w:rPr>
              <w:t xml:space="preserve">Finance leases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4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Vehicle leases</w:t>
            </w:r>
          </w:p>
        </w:tc>
        <w:tc>
          <w:tcPr>
            <w:tcW w:w="47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27"/>
        </w:trPr>
        <w:tc>
          <w:tcPr>
            <w:tcW w:w="1920" w:type="dxa"/>
            <w:vAlign w:val="bottom"/>
            <w:tcBorders>
              <w:bottom w:val="single" w:sz="8" w:color="CCEEFF"/>
            </w:tcBorders>
            <w:shd w:val="clear" w:color="auto" w:fill="CCEEFF"/>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12,980</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ind w:left="20"/>
              <w:spacing w:after="0" w:line="195" w:lineRule="exact"/>
              <w:rPr>
                <w:sz w:val="20"/>
                <w:szCs w:val="20"/>
                <w:color w:val="auto"/>
              </w:rPr>
            </w:pPr>
            <w:r>
              <w:rPr>
                <w:rFonts w:ascii="Arial" w:cs="Arial" w:eastAsia="Arial" w:hAnsi="Arial"/>
                <w:sz w:val="16"/>
                <w:szCs w:val="16"/>
                <w:color w:val="auto"/>
              </w:rPr>
              <w:t xml:space="preserve">Liabilities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20" w:type="dxa"/>
            <w:vAlign w:val="bottom"/>
            <w:vMerge w:val="continue"/>
          </w:tcPr>
          <w:p>
            <w:pPr>
              <w:spacing w:after="0"/>
              <w:rPr>
                <w:sz w:val="13"/>
                <w:szCs w:val="13"/>
                <w:color w:val="auto"/>
              </w:rPr>
            </w:pPr>
          </w:p>
        </w:tc>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Sites leases</w:t>
            </w:r>
          </w:p>
        </w:tc>
        <w:tc>
          <w:tcPr>
            <w:tcW w:w="4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Lease liabilities - current portion</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9"/>
        </w:trPr>
        <w:tc>
          <w:tcPr>
            <w:tcW w:w="1920" w:type="dxa"/>
            <w:vAlign w:val="bottom"/>
          </w:tcPr>
          <w:p>
            <w:pPr>
              <w:ind w:left="20"/>
              <w:spacing w:after="0"/>
              <w:rPr>
                <w:sz w:val="20"/>
                <w:szCs w:val="20"/>
                <w:color w:val="auto"/>
              </w:rPr>
            </w:pPr>
            <w:r>
              <w:rPr>
                <w:rFonts w:ascii="Arial" w:cs="Arial" w:eastAsia="Arial" w:hAnsi="Arial"/>
                <w:sz w:val="16"/>
                <w:szCs w:val="16"/>
                <w:color w:val="auto"/>
              </w:rPr>
              <w:t>Office lease</w:t>
            </w:r>
          </w:p>
        </w:tc>
        <w:tc>
          <w:tcPr>
            <w:tcW w:w="4740" w:type="dxa"/>
            <w:vAlign w:val="bottom"/>
          </w:tcPr>
          <w:p>
            <w:pPr>
              <w:ind w:left="420"/>
              <w:spacing w:after="0"/>
              <w:rPr>
                <w:sz w:val="20"/>
                <w:szCs w:val="20"/>
                <w:color w:val="auto"/>
              </w:rPr>
            </w:pPr>
            <w:r>
              <w:rPr>
                <w:rFonts w:ascii="Arial" w:cs="Arial" w:eastAsia="Arial" w:hAnsi="Arial"/>
                <w:sz w:val="16"/>
                <w:szCs w:val="16"/>
                <w:color w:val="auto"/>
              </w:rPr>
              <w:t>Lease liabilities - current portion</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leases</w:t>
            </w:r>
          </w:p>
        </w:tc>
        <w:tc>
          <w:tcPr>
            <w:tcW w:w="4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02"/>
        </w:trPr>
        <w:tc>
          <w:tcPr>
            <w:tcW w:w="1920" w:type="dxa"/>
            <w:vAlign w:val="bottom"/>
            <w:tcBorders>
              <w:bottom w:val="single" w:sz="8" w:color="CCEEFF"/>
            </w:tcBorders>
          </w:tcPr>
          <w:p>
            <w:pPr>
              <w:spacing w:after="0"/>
              <w:rPr>
                <w:sz w:val="17"/>
                <w:szCs w:val="17"/>
                <w:color w:val="auto"/>
              </w:rPr>
            </w:pPr>
          </w:p>
        </w:tc>
        <w:tc>
          <w:tcPr>
            <w:tcW w:w="4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227"/>
        </w:trPr>
        <w:tc>
          <w:tcPr>
            <w:tcW w:w="192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20"/>
              <w:spacing w:after="0"/>
              <w:rPr>
                <w:sz w:val="20"/>
                <w:szCs w:val="20"/>
                <w:color w:val="auto"/>
              </w:rPr>
            </w:pPr>
            <w:r>
              <w:rPr>
                <w:rFonts w:ascii="Arial" w:cs="Arial" w:eastAsia="Arial" w:hAnsi="Arial"/>
                <w:sz w:val="16"/>
                <w:szCs w:val="16"/>
                <w:color w:val="auto"/>
              </w:rPr>
              <w:t>Sites leases</w:t>
            </w:r>
          </w:p>
        </w:tc>
        <w:tc>
          <w:tcPr>
            <w:tcW w:w="4740" w:type="dxa"/>
            <w:vAlign w:val="bottom"/>
          </w:tcPr>
          <w:p>
            <w:pPr>
              <w:ind w:left="420"/>
              <w:spacing w:after="0"/>
              <w:rPr>
                <w:sz w:val="20"/>
                <w:szCs w:val="20"/>
                <w:color w:val="auto"/>
              </w:rPr>
            </w:pPr>
            <w:r>
              <w:rPr>
                <w:rFonts w:ascii="Arial" w:cs="Arial" w:eastAsia="Arial" w:hAnsi="Arial"/>
                <w:sz w:val="16"/>
                <w:szCs w:val="16"/>
                <w:color w:val="auto"/>
              </w:rPr>
              <w:t>Lease liabilities - non-current portion</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10,135</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lease</w:t>
            </w:r>
          </w:p>
        </w:tc>
        <w:tc>
          <w:tcPr>
            <w:tcW w:w="4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Lease liabilities - non-current portion</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Vehicle leases</w:t>
            </w:r>
          </w:p>
        </w:tc>
        <w:tc>
          <w:tcPr>
            <w:tcW w:w="47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27"/>
        </w:trPr>
        <w:tc>
          <w:tcPr>
            <w:tcW w:w="1920" w:type="dxa"/>
            <w:vAlign w:val="bottom"/>
            <w:tcBorders>
              <w:bottom w:val="single" w:sz="8" w:color="CCEEFF"/>
            </w:tcBorders>
            <w:shd w:val="clear" w:color="auto" w:fill="CCEEFF"/>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12,070</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 w:hanging="1"/>
        <w:spacing w:after="0" w:line="227" w:lineRule="auto"/>
        <w:tabs>
          <w:tab w:leader="none" w:pos="167"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The Operating lease right-of-use asset and Operating lease liabilities represent the present value of lease payments for the remaining term of the lease. The discount rate used ranged from 2.30% to 8.44%.</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table below presents components of the Company's lease expense for the three and nine months ended September 30, 2023 and 2022:</w:t>
      </w:r>
    </w:p>
    <w:p>
      <w:pPr>
        <w:spacing w:after="0" w:line="22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40" w:type="dxa"/>
            <w:vAlign w:val="bottom"/>
            <w:tcBorders>
              <w:top w:val="single" w:sz="8" w:color="auto"/>
            </w:tcBorders>
            <w:shd w:val="clear" w:color="auto" w:fill="CCEEFF"/>
          </w:tcPr>
          <w:p>
            <w:pPr>
              <w:spacing w:after="0"/>
              <w:rPr>
                <w:sz w:val="15"/>
                <w:szCs w:val="15"/>
                <w:color w:val="auto"/>
              </w:rPr>
            </w:pPr>
          </w:p>
        </w:tc>
        <w:tc>
          <w:tcPr>
            <w:tcW w:w="2980" w:type="dxa"/>
            <w:vAlign w:val="bottom"/>
            <w:tcBorders>
              <w:top w:val="single" w:sz="8" w:color="auto"/>
            </w:tcBorders>
            <w:shd w:val="clear" w:color="auto" w:fill="CCEEFF"/>
          </w:tcPr>
          <w:p>
            <w:pPr>
              <w:spacing w:after="0"/>
              <w:rPr>
                <w:sz w:val="15"/>
                <w:szCs w:val="15"/>
                <w:color w:val="auto"/>
              </w:rPr>
            </w:pPr>
          </w:p>
        </w:tc>
        <w:tc>
          <w:tcPr>
            <w:tcW w:w="2600" w:type="dxa"/>
            <w:vAlign w:val="bottom"/>
            <w:tcBorders>
              <w:top w:val="single" w:sz="8" w:color="auto"/>
            </w:tcBorders>
            <w:gridSpan w:val="6"/>
            <w:shd w:val="clear" w:color="auto" w:fill="CCEEFF"/>
          </w:tcPr>
          <w:p>
            <w:pPr>
              <w:jc w:val="center"/>
              <w:ind w:right="100"/>
              <w:spacing w:after="0" w:line="181" w:lineRule="exact"/>
              <w:rPr>
                <w:sz w:val="20"/>
                <w:szCs w:val="20"/>
                <w:color w:val="auto"/>
              </w:rPr>
            </w:pPr>
            <w:r>
              <w:rPr>
                <w:rFonts w:ascii="Arial" w:cs="Arial" w:eastAsia="Arial" w:hAnsi="Arial"/>
                <w:sz w:val="16"/>
                <w:szCs w:val="16"/>
                <w:b w:val="1"/>
                <w:bCs w:val="1"/>
                <w:color w:val="auto"/>
                <w:w w:val="93"/>
              </w:rPr>
              <w:t>Three Months Ended September</w:t>
            </w:r>
          </w:p>
        </w:tc>
        <w:tc>
          <w:tcPr>
            <w:tcW w:w="100" w:type="dxa"/>
            <w:vAlign w:val="bottom"/>
            <w:tcBorders>
              <w:top w:val="single" w:sz="8" w:color="auto"/>
            </w:tcBorders>
            <w:shd w:val="clear" w:color="auto" w:fill="CCEEFF"/>
          </w:tcPr>
          <w:p>
            <w:pPr>
              <w:spacing w:after="0"/>
              <w:rPr>
                <w:sz w:val="15"/>
                <w:szCs w:val="15"/>
                <w:color w:val="auto"/>
              </w:rPr>
            </w:pPr>
          </w:p>
        </w:tc>
        <w:tc>
          <w:tcPr>
            <w:tcW w:w="2340" w:type="dxa"/>
            <w:vAlign w:val="bottom"/>
            <w:tcBorders>
              <w:top w:val="single" w:sz="8" w:color="auto"/>
            </w:tcBorders>
            <w:gridSpan w:val="4"/>
            <w:shd w:val="clear" w:color="auto" w:fill="CCEEFF"/>
          </w:tcPr>
          <w:p>
            <w:pPr>
              <w:jc w:val="center"/>
              <w:ind w:right="18"/>
              <w:spacing w:after="0" w:line="181" w:lineRule="exact"/>
              <w:rPr>
                <w:sz w:val="20"/>
                <w:szCs w:val="20"/>
                <w:color w:val="auto"/>
              </w:rPr>
            </w:pPr>
            <w:r>
              <w:rPr>
                <w:rFonts w:ascii="Arial" w:cs="Arial" w:eastAsia="Arial" w:hAnsi="Arial"/>
                <w:sz w:val="16"/>
                <w:szCs w:val="16"/>
                <w:b w:val="1"/>
                <w:bCs w:val="1"/>
                <w:color w:val="auto"/>
                <w:w w:val="93"/>
              </w:rPr>
              <w:t>Nine Months Ended September</w:t>
            </w:r>
          </w:p>
        </w:tc>
      </w:tr>
      <w:tr>
        <w:trPr>
          <w:trHeight w:val="213"/>
        </w:trPr>
        <w:tc>
          <w:tcPr>
            <w:tcW w:w="26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b w:val="1"/>
                <w:bCs w:val="1"/>
                <w:color w:val="auto"/>
              </w:rPr>
              <w:t>Description</w:t>
            </w:r>
          </w:p>
        </w:tc>
        <w:tc>
          <w:tcPr>
            <w:tcW w:w="29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Location in Statement of Operations</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r>
      <w:tr>
        <w:trPr>
          <w:trHeight w:val="202"/>
        </w:trPr>
        <w:tc>
          <w:tcPr>
            <w:tcW w:w="264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2022</w:t>
            </w:r>
          </w:p>
        </w:tc>
      </w:tr>
      <w:tr>
        <w:trPr>
          <w:trHeight w:val="202"/>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Operating lease expense for site leases</w:t>
            </w:r>
          </w:p>
        </w:tc>
        <w:tc>
          <w:tcPr>
            <w:tcW w:w="2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sales - RNG Fuel</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r>
      <w:tr>
        <w:trPr>
          <w:trHeight w:val="172"/>
        </w:trPr>
        <w:tc>
          <w:tcPr>
            <w:tcW w:w="2640" w:type="dxa"/>
            <w:vAlign w:val="bottom"/>
          </w:tcPr>
          <w:p>
            <w:pPr>
              <w:ind w:left="20"/>
              <w:spacing w:after="0" w:line="172" w:lineRule="exact"/>
              <w:rPr>
                <w:sz w:val="20"/>
                <w:szCs w:val="20"/>
                <w:color w:val="auto"/>
              </w:rPr>
            </w:pPr>
            <w:r>
              <w:rPr>
                <w:rFonts w:ascii="Arial" w:cs="Arial" w:eastAsia="Arial" w:hAnsi="Arial"/>
                <w:sz w:val="16"/>
                <w:szCs w:val="16"/>
                <w:color w:val="auto"/>
              </w:rPr>
              <w:t>Operating lease expense for office</w:t>
            </w:r>
          </w:p>
        </w:tc>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9"/>
        </w:trPr>
        <w:tc>
          <w:tcPr>
            <w:tcW w:w="2640" w:type="dxa"/>
            <w:vAlign w:val="bottom"/>
          </w:tcPr>
          <w:p>
            <w:pPr>
              <w:ind w:left="20"/>
              <w:spacing w:after="0"/>
              <w:rPr>
                <w:sz w:val="20"/>
                <w:szCs w:val="20"/>
                <w:color w:val="auto"/>
              </w:rPr>
            </w:pPr>
            <w:r>
              <w:rPr>
                <w:rFonts w:ascii="Arial" w:cs="Arial" w:eastAsia="Arial" w:hAnsi="Arial"/>
                <w:sz w:val="16"/>
                <w:szCs w:val="16"/>
                <w:color w:val="auto"/>
              </w:rPr>
              <w:t>lease</w:t>
            </w:r>
          </w:p>
        </w:tc>
        <w:tc>
          <w:tcPr>
            <w:tcW w:w="2980" w:type="dxa"/>
            <w:vAlign w:val="bottom"/>
          </w:tcPr>
          <w:p>
            <w:pPr>
              <w:ind w:left="80"/>
              <w:spacing w:after="0"/>
              <w:rPr>
                <w:sz w:val="20"/>
                <w:szCs w:val="20"/>
                <w:color w:val="auto"/>
              </w:rPr>
            </w:pPr>
            <w:r>
              <w:rPr>
                <w:rFonts w:ascii="Arial" w:cs="Arial" w:eastAsia="Arial" w:hAnsi="Arial"/>
                <w:sz w:val="16"/>
                <w:szCs w:val="16"/>
                <w:color w:val="auto"/>
                <w:w w:val="99"/>
              </w:rPr>
              <w:t>Selling, general, administrative expenses</w:t>
            </w: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173"/>
        </w:trPr>
        <w:tc>
          <w:tcPr>
            <w:tcW w:w="264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rPr>
              <w:t>Amortization of right-of-use assets -</w:t>
            </w:r>
          </w:p>
        </w:tc>
        <w:tc>
          <w:tcPr>
            <w:tcW w:w="2980" w:type="dxa"/>
            <w:vAlign w:val="bottom"/>
            <w:shd w:val="clear" w:color="auto" w:fill="CCEEFF"/>
          </w:tcPr>
          <w:p>
            <w:pPr>
              <w:ind w:left="80"/>
              <w:spacing w:after="0" w:line="173" w:lineRule="exact"/>
              <w:rPr>
                <w:sz w:val="20"/>
                <w:szCs w:val="20"/>
                <w:color w:val="auto"/>
              </w:rPr>
            </w:pPr>
            <w:r>
              <w:rPr>
                <w:rFonts w:ascii="Arial" w:cs="Arial" w:eastAsia="Arial" w:hAnsi="Arial"/>
                <w:sz w:val="16"/>
                <w:szCs w:val="16"/>
                <w:color w:val="auto"/>
              </w:rPr>
              <w:t>Depreciation, amortization and accretion</w:t>
            </w: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2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expense</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172"/>
        </w:trPr>
        <w:tc>
          <w:tcPr>
            <w:tcW w:w="2640" w:type="dxa"/>
            <w:vAlign w:val="bottom"/>
          </w:tcPr>
          <w:p>
            <w:pPr>
              <w:ind w:left="20"/>
              <w:spacing w:after="0" w:line="172" w:lineRule="exact"/>
              <w:rPr>
                <w:sz w:val="20"/>
                <w:szCs w:val="20"/>
                <w:color w:val="auto"/>
              </w:rPr>
            </w:pPr>
            <w:r>
              <w:rPr>
                <w:rFonts w:ascii="Arial" w:cs="Arial" w:eastAsia="Arial" w:hAnsi="Arial"/>
                <w:sz w:val="16"/>
                <w:szCs w:val="16"/>
                <w:color w:val="auto"/>
              </w:rPr>
              <w:t>Interest expense on lease liabilities -</w:t>
            </w:r>
          </w:p>
        </w:tc>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9"/>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leases</w:t>
            </w:r>
          </w:p>
        </w:tc>
        <w:tc>
          <w:tcPr>
            <w:tcW w:w="29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Interest and financing expense, net</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27"/>
        </w:trPr>
        <w:tc>
          <w:tcPr>
            <w:tcW w:w="264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Company does not have material short term lease expense for the three and nine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207010</wp:posOffset>
            </wp:positionV>
            <wp:extent cx="716978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01"/>
          </w:cols>
          <w:pgMar w:left="319" w:top="1440" w:right="379" w:bottom="1440" w:gutter="0" w:footer="0" w:header="0"/>
        </w:sectPr>
      </w:pPr>
    </w:p>
    <w:bookmarkStart w:id="38" w:name="page39"/>
    <w:bookmarkEnd w:id="38"/>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 (years)</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September 30, 2023</w:t>
            </w:r>
          </w:p>
        </w:tc>
      </w:tr>
      <w:tr>
        <w:trPr>
          <w:trHeight w:val="201"/>
        </w:trPr>
        <w:tc>
          <w:tcPr>
            <w:tcW w:w="402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19.1 years</w:t>
            </w: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leases</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years</w:t>
            </w: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7.84 %</w:t>
            </w:r>
          </w:p>
        </w:tc>
      </w:tr>
      <w:tr>
        <w:trPr>
          <w:trHeight w:val="208"/>
        </w:trPr>
        <w:tc>
          <w:tcPr>
            <w:tcW w:w="4020" w:type="dxa"/>
            <w:vAlign w:val="bottom"/>
          </w:tcPr>
          <w:p>
            <w:pPr>
              <w:ind w:left="20"/>
              <w:spacing w:after="0"/>
              <w:rPr>
                <w:sz w:val="20"/>
                <w:szCs w:val="20"/>
                <w:color w:val="auto"/>
              </w:rPr>
            </w:pPr>
            <w:r>
              <w:rPr>
                <w:rFonts w:ascii="Arial" w:cs="Arial" w:eastAsia="Arial" w:hAnsi="Arial"/>
                <w:sz w:val="16"/>
                <w:szCs w:val="16"/>
                <w:color w:val="auto"/>
              </w:rPr>
              <w:t>Financing leases</w:t>
            </w: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6.39 %</w:t>
            </w:r>
          </w:p>
        </w:tc>
      </w:tr>
      <w:tr>
        <w:trPr>
          <w:trHeight w:val="468"/>
        </w:trPr>
        <w:tc>
          <w:tcPr>
            <w:tcW w:w="9680" w:type="dxa"/>
            <w:vAlign w:val="bottom"/>
            <w:gridSpan w:val="11"/>
          </w:tcPr>
          <w:p>
            <w:pPr>
              <w:spacing w:after="0"/>
              <w:rPr>
                <w:sz w:val="20"/>
                <w:szCs w:val="20"/>
                <w:color w:val="auto"/>
              </w:rPr>
            </w:pPr>
            <w:r>
              <w:rPr>
                <w:rFonts w:ascii="Arial" w:cs="Arial" w:eastAsia="Arial" w:hAnsi="Arial"/>
                <w:sz w:val="16"/>
                <w:szCs w:val="16"/>
                <w:color w:val="auto"/>
                <w:w w:val="99"/>
              </w:rPr>
              <w:t>The table below provides the total amount of lease payments on an undiscounted basis on our lease contracts as of September 30, 2023:</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3"/>
        </w:trPr>
        <w:tc>
          <w:tcPr>
            <w:tcW w:w="4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40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Site leases</w:t>
            </w: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Office leases</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6"/>
                <w:szCs w:val="16"/>
                <w:b w:val="1"/>
                <w:bCs w:val="1"/>
                <w:color w:val="auto"/>
              </w:rPr>
              <w:t>Vehicle leases</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518"/>
              <w:spacing w:after="0"/>
              <w:rPr>
                <w:sz w:val="20"/>
                <w:szCs w:val="20"/>
                <w:color w:val="auto"/>
              </w:rPr>
            </w:pPr>
            <w:r>
              <w:rPr>
                <w:rFonts w:ascii="Arial" w:cs="Arial" w:eastAsia="Arial" w:hAnsi="Arial"/>
                <w:sz w:val="16"/>
                <w:szCs w:val="16"/>
                <w:b w:val="1"/>
                <w:bCs w:val="1"/>
                <w:color w:val="auto"/>
              </w:rPr>
              <w:t>Total</w:t>
            </w:r>
          </w:p>
        </w:tc>
      </w:tr>
      <w:tr>
        <w:trPr>
          <w:trHeight w:val="226"/>
        </w:trPr>
        <w:tc>
          <w:tcPr>
            <w:tcW w:w="4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 upon adoption</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6"/>
        </w:trPr>
        <w:tc>
          <w:tcPr>
            <w:tcW w:w="4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color w:val="auto"/>
              </w:rPr>
              <w:t>2024</w:t>
            </w:r>
          </w:p>
        </w:tc>
        <w:tc>
          <w:tcPr>
            <w:tcW w:w="340" w:type="dxa"/>
            <w:vAlign w:val="bottom"/>
          </w:tcPr>
          <w:p>
            <w:pPr>
              <w:spacing w:after="0"/>
              <w:rPr>
                <w:sz w:val="18"/>
                <w:szCs w:val="18"/>
                <w:color w:val="auto"/>
              </w:rPr>
            </w:pPr>
          </w:p>
        </w:tc>
        <w:tc>
          <w:tcPr>
            <w:tcW w:w="1580" w:type="dxa"/>
            <w:vAlign w:val="bottom"/>
          </w:tcPr>
          <w:p>
            <w:pPr>
              <w:jc w:val="right"/>
              <w:ind w:right="118"/>
              <w:spacing w:after="0"/>
              <w:rPr>
                <w:sz w:val="20"/>
                <w:szCs w:val="20"/>
                <w:color w:val="auto"/>
              </w:rPr>
            </w:pPr>
            <w:r>
              <w:rPr>
                <w:rFonts w:ascii="Arial" w:cs="Arial" w:eastAsia="Arial" w:hAnsi="Arial"/>
                <w:sz w:val="16"/>
                <w:szCs w:val="16"/>
                <w:color w:val="auto"/>
              </w:rPr>
              <w:t>1,058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118"/>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2,265</w:t>
            </w: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1,129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w:t>
            </w: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color w:val="auto"/>
              </w:rPr>
              <w:t>2026</w:t>
            </w:r>
          </w:p>
        </w:tc>
        <w:tc>
          <w:tcPr>
            <w:tcW w:w="340" w:type="dxa"/>
            <w:vAlign w:val="bottom"/>
          </w:tcPr>
          <w:p>
            <w:pPr>
              <w:spacing w:after="0"/>
              <w:rPr>
                <w:sz w:val="18"/>
                <w:szCs w:val="18"/>
                <w:color w:val="auto"/>
              </w:rPr>
            </w:pPr>
          </w:p>
        </w:tc>
        <w:tc>
          <w:tcPr>
            <w:tcW w:w="1580" w:type="dxa"/>
            <w:vAlign w:val="bottom"/>
          </w:tcPr>
          <w:p>
            <w:pPr>
              <w:jc w:val="right"/>
              <w:ind w:right="118"/>
              <w:spacing w:after="0"/>
              <w:rPr>
                <w:sz w:val="20"/>
                <w:szCs w:val="20"/>
                <w:color w:val="auto"/>
              </w:rPr>
            </w:pPr>
            <w:r>
              <w:rPr>
                <w:rFonts w:ascii="Arial" w:cs="Arial" w:eastAsia="Arial" w:hAnsi="Arial"/>
                <w:sz w:val="16"/>
                <w:szCs w:val="16"/>
                <w:color w:val="auto"/>
              </w:rPr>
              <w:t>1,129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118"/>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1,582</w:t>
            </w: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 and beyond</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20,145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20,260</w:t>
            </w:r>
          </w:p>
        </w:tc>
      </w:tr>
      <w:tr>
        <w:trPr>
          <w:trHeight w:val="202"/>
        </w:trPr>
        <w:tc>
          <w:tcPr>
            <w:tcW w:w="40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rPr>
              <w:t>23,722</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rPr>
              <w:t>1,279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1,896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26,897</w:t>
            </w:r>
          </w:p>
        </w:tc>
      </w:tr>
      <w:tr>
        <w:trPr>
          <w:trHeight w:val="227"/>
        </w:trPr>
        <w:tc>
          <w:tcPr>
            <w:tcW w:w="4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color w:val="auto"/>
              </w:rPr>
              <w:t>Present value of lease liability</w:t>
            </w:r>
          </w:p>
        </w:tc>
        <w:tc>
          <w:tcPr>
            <w:tcW w:w="340" w:type="dxa"/>
            <w:vAlign w:val="bottom"/>
          </w:tcPr>
          <w:p>
            <w:pPr>
              <w:spacing w:after="0"/>
              <w:rPr>
                <w:sz w:val="18"/>
                <w:szCs w:val="18"/>
                <w:color w:val="auto"/>
              </w:rPr>
            </w:pPr>
          </w:p>
        </w:tc>
        <w:tc>
          <w:tcPr>
            <w:tcW w:w="1580" w:type="dxa"/>
            <w:vAlign w:val="bottom"/>
          </w:tcPr>
          <w:p>
            <w:pPr>
              <w:jc w:val="right"/>
              <w:ind w:right="118"/>
              <w:spacing w:after="0"/>
              <w:rPr>
                <w:sz w:val="20"/>
                <w:szCs w:val="20"/>
                <w:color w:val="auto"/>
              </w:rPr>
            </w:pPr>
            <w:r>
              <w:rPr>
                <w:rFonts w:ascii="Arial" w:cs="Arial" w:eastAsia="Arial" w:hAnsi="Arial"/>
                <w:sz w:val="16"/>
                <w:szCs w:val="16"/>
                <w:color w:val="auto"/>
              </w:rPr>
              <w:t>11,294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118"/>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1,708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14,232</w:t>
            </w:r>
          </w:p>
        </w:tc>
      </w:tr>
      <w:tr>
        <w:trPr>
          <w:trHeight w:val="247"/>
        </w:trPr>
        <w:tc>
          <w:tcPr>
            <w:tcW w:w="4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color w:val="auto"/>
              </w:rPr>
              <w:t>Lease liabilities - current portion</w:t>
            </w:r>
          </w:p>
        </w:tc>
        <w:tc>
          <w:tcPr>
            <w:tcW w:w="340" w:type="dxa"/>
            <w:vAlign w:val="bottom"/>
          </w:tcPr>
          <w:p>
            <w:pPr>
              <w:spacing w:after="0"/>
              <w:rPr>
                <w:sz w:val="18"/>
                <w:szCs w:val="18"/>
                <w:color w:val="auto"/>
              </w:rPr>
            </w:pPr>
          </w:p>
        </w:tc>
        <w:tc>
          <w:tcPr>
            <w:tcW w:w="1580" w:type="dxa"/>
            <w:vAlign w:val="bottom"/>
          </w:tcPr>
          <w:p>
            <w:pPr>
              <w:jc w:val="right"/>
              <w:ind w:right="118"/>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118"/>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1,202</w:t>
            </w: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 non-current portion</w:t>
            </w:r>
          </w:p>
        </w:tc>
        <w:tc>
          <w:tcPr>
            <w:tcW w:w="3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11,168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13,030</w:t>
            </w:r>
          </w:p>
        </w:tc>
      </w:tr>
      <w:tr>
        <w:trPr>
          <w:trHeight w:val="201"/>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lease liabilities</w:t>
            </w: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11,294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1,230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1,708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14,232</w:t>
            </w:r>
          </w:p>
        </w:tc>
      </w:tr>
      <w:tr>
        <w:trPr>
          <w:trHeight w:val="227"/>
        </w:trPr>
        <w:tc>
          <w:tcPr>
            <w:tcW w:w="4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8"/>
        </w:trPr>
        <w:tc>
          <w:tcPr>
            <w:tcW w:w="4020" w:type="dxa"/>
            <w:vAlign w:val="bottom"/>
          </w:tcPr>
          <w:p>
            <w:pPr>
              <w:ind w:left="20"/>
              <w:spacing w:after="0"/>
              <w:rPr>
                <w:sz w:val="20"/>
                <w:szCs w:val="20"/>
                <w:color w:val="auto"/>
              </w:rPr>
            </w:pPr>
            <w:r>
              <w:rPr>
                <w:rFonts w:ascii="Arial" w:cs="Arial" w:eastAsia="Arial" w:hAnsi="Arial"/>
                <w:sz w:val="16"/>
                <w:szCs w:val="16"/>
                <w:color w:val="auto"/>
              </w:rPr>
              <w:t>Discount based on incremental borrowing rate</w:t>
            </w:r>
          </w:p>
        </w:tc>
        <w:tc>
          <w:tcPr>
            <w:tcW w:w="340" w:type="dxa"/>
            <w:vAlign w:val="bottom"/>
          </w:tcPr>
          <w:p>
            <w:pPr>
              <w:jc w:val="right"/>
              <w:ind w:right="158"/>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8"/>
              <w:spacing w:after="0"/>
              <w:rPr>
                <w:sz w:val="20"/>
                <w:szCs w:val="20"/>
                <w:color w:val="auto"/>
              </w:rPr>
            </w:pPr>
            <w:r>
              <w:rPr>
                <w:rFonts w:ascii="Arial" w:cs="Arial" w:eastAsia="Arial" w:hAnsi="Arial"/>
                <w:sz w:val="16"/>
                <w:szCs w:val="16"/>
                <w:color w:val="auto"/>
              </w:rPr>
              <w:t>12,428</w:t>
            </w:r>
          </w:p>
        </w:tc>
        <w:tc>
          <w:tcPr>
            <w:tcW w:w="80" w:type="dxa"/>
            <w:vAlign w:val="bottom"/>
          </w:tcPr>
          <w:p>
            <w:pPr>
              <w:spacing w:after="0"/>
              <w:rPr>
                <w:sz w:val="18"/>
                <w:szCs w:val="18"/>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18"/>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12,665</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Derivative Financial Instruments and Fair Value Measurements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w:t>
      </w:r>
    </w:p>
    <w:p>
      <w:pPr>
        <w:spacing w:after="0" w:line="112"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During August 2022, the Company entered into two interest rate swaps for the notional amount of $61,926 of the OPAL Term Loan II at a fixed interest rate of 2.47% to hedge the SOFR-based floating interest rate. On August 16, 2022, the Company entered into a swaption for a notional amount of $13,074 with fixed rate of 2.32% with a maturity date of May 31, 2023. The Company accounted for the swaption as an economic hedge and included the change in the fair market value in the condensed consolidated statement of operations.</w:t>
      </w:r>
    </w:p>
    <w:p>
      <w:pPr>
        <w:spacing w:after="0" w:line="69" w:lineRule="exact"/>
        <w:rPr>
          <w:sz w:val="20"/>
          <w:szCs w:val="20"/>
          <w:color w:val="auto"/>
        </w:rPr>
      </w:pPr>
    </w:p>
    <w:p>
      <w:pPr>
        <w:jc w:val="both"/>
        <w:ind w:firstLine="296"/>
        <w:spacing w:after="0" w:line="262" w:lineRule="auto"/>
        <w:rPr>
          <w:sz w:val="20"/>
          <w:szCs w:val="20"/>
          <w:color w:val="auto"/>
        </w:rPr>
      </w:pPr>
      <w:r>
        <w:rPr>
          <w:rFonts w:ascii="Arial" w:cs="Arial" w:eastAsia="Arial" w:hAnsi="Arial"/>
          <w:sz w:val="16"/>
          <w:szCs w:val="16"/>
          <w:color w:val="auto"/>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17" w:lineRule="exact"/>
        <w:rPr>
          <w:sz w:val="20"/>
          <w:szCs w:val="20"/>
          <w:color w:val="auto"/>
        </w:rPr>
      </w:pPr>
    </w:p>
    <w:p>
      <w:pPr>
        <w:jc w:val="both"/>
        <w:ind w:right="100" w:firstLine="296"/>
        <w:spacing w:after="0" w:line="288" w:lineRule="auto"/>
        <w:rPr>
          <w:sz w:val="20"/>
          <w:szCs w:val="20"/>
          <w:color w:val="auto"/>
        </w:rPr>
      </w:pPr>
      <w:r>
        <w:rPr>
          <w:rFonts w:ascii="Arial" w:cs="Arial" w:eastAsia="Arial" w:hAnsi="Arial"/>
          <w:sz w:val="16"/>
          <w:szCs w:val="16"/>
          <w:color w:val="auto"/>
        </w:rPr>
        <w:t>The Company records the fair value of the interest rate swap as an asset or liability on its balance sheet. The effective portion of the swap is recorded in Accumulated other comprehensive income.</w:t>
      </w:r>
    </w:p>
    <w:p>
      <w:pPr>
        <w:spacing w:after="0" w:line="88" w:lineRule="exact"/>
        <w:rPr>
          <w:sz w:val="20"/>
          <w:szCs w:val="20"/>
          <w:color w:val="auto"/>
        </w:rPr>
      </w:pPr>
    </w:p>
    <w:p>
      <w:pPr>
        <w:jc w:val="both"/>
        <w:ind w:right="100" w:firstLine="591"/>
        <w:spacing w:after="0" w:line="273" w:lineRule="auto"/>
        <w:rPr>
          <w:sz w:val="20"/>
          <w:szCs w:val="20"/>
          <w:color w:val="auto"/>
        </w:rPr>
      </w:pPr>
      <w:r>
        <w:rPr>
          <w:rFonts w:ascii="Arial" w:cs="Arial" w:eastAsia="Arial" w:hAnsi="Arial"/>
          <w:sz w:val="16"/>
          <w:szCs w:val="16"/>
          <w:color w:val="auto"/>
        </w:rPr>
        <w:t>On May 30, 2023, OPAL Intermediate Holdco 2, assigned to Paragon its rights and obligations under the OPAL Term Loan II. Concurrently, the Company terminated the two interest rate swaps outstanding under this loan and received $812 as settlement from the swap counterparty. Paragon entered into four interest rate swaps for a notional amount of $56,914 at a fixed interest rate of 3.52%. The Company terminated the swaption on the same date.</w:t>
      </w:r>
    </w:p>
    <w:p>
      <w:pPr>
        <w:spacing w:after="0" w:line="87" w:lineRule="exact"/>
        <w:rPr>
          <w:sz w:val="20"/>
          <w:szCs w:val="20"/>
          <w:color w:val="auto"/>
        </w:rPr>
      </w:pPr>
    </w:p>
    <w:p>
      <w:pPr>
        <w:jc w:val="both"/>
        <w:ind w:right="100" w:firstLine="591"/>
        <w:spacing w:after="0" w:line="290" w:lineRule="auto"/>
        <w:rPr>
          <w:sz w:val="20"/>
          <w:szCs w:val="20"/>
          <w:color w:val="auto"/>
        </w:rPr>
      </w:pPr>
      <w:r>
        <w:rPr>
          <w:rFonts w:ascii="Arial" w:cs="Arial" w:eastAsia="Arial" w:hAnsi="Arial"/>
          <w:sz w:val="15"/>
          <w:szCs w:val="15"/>
          <w:color w:val="auto"/>
        </w:rPr>
        <w:t>After the transaction, the Company recognized a gain of $812 in the condensed consolidated statement of operations for the nine months ended September 30, 2023 as part of Change in fair value of derivative instruments. The Company received $136 as a settlement from the swaption counterparty and recognized $46 as loss on termination of the swaption as part of change in fair value of derivative instruments. Additionally, the Company recognized $515 as its share of the Accumulated other comprehensive income from Paragon and increased its basis in equity method investment on its condensed consolidated balance sheet as of September 30, 2023.</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the interest rate swaps in place as of September 30, 2023 and December 31, 2022:</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1780" w:type="dxa"/>
            <w:vAlign w:val="bottom"/>
            <w:tcBorders>
              <w:top w:val="single" w:sz="8" w:color="auto"/>
              <w:bottom w:val="single" w:sz="8" w:color="auto"/>
            </w:tcBorders>
            <w:shd w:val="clear" w:color="auto" w:fill="CCEEFF"/>
          </w:tcPr>
          <w:p>
            <w:pPr>
              <w:spacing w:after="0"/>
              <w:rPr>
                <w:sz w:val="19"/>
                <w:szCs w:val="19"/>
                <w:color w:val="auto"/>
              </w:rPr>
            </w:pPr>
          </w:p>
        </w:tc>
        <w:tc>
          <w:tcPr>
            <w:tcW w:w="320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b w:val="1"/>
                <w:bCs w:val="1"/>
                <w:color w:val="auto"/>
              </w:rPr>
              <w:t>Interest rate swap detail</w:t>
            </w:r>
          </w:p>
        </w:tc>
        <w:tc>
          <w:tcPr>
            <w:tcW w:w="14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40" w:type="dxa"/>
            <w:vAlign w:val="bottom"/>
            <w:tcBorders>
              <w:top w:val="single" w:sz="8" w:color="auto"/>
              <w:bottom w:val="single" w:sz="8" w:color="auto"/>
            </w:tcBorders>
            <w:gridSpan w:val="4"/>
            <w:shd w:val="clear" w:color="auto" w:fill="CCEEFF"/>
          </w:tcPr>
          <w:p>
            <w:pPr>
              <w:jc w:val="right"/>
              <w:ind w:right="1438"/>
              <w:spacing w:after="0"/>
              <w:rPr>
                <w:sz w:val="20"/>
                <w:szCs w:val="20"/>
                <w:color w:val="auto"/>
              </w:rPr>
            </w:pPr>
            <w:r>
              <w:rPr>
                <w:rFonts w:ascii="Arial" w:cs="Arial" w:eastAsia="Arial" w:hAnsi="Arial"/>
                <w:sz w:val="16"/>
                <w:szCs w:val="16"/>
                <w:b w:val="1"/>
                <w:bCs w:val="1"/>
                <w:color w:val="auto"/>
              </w:rPr>
              <w:t>Notional Amount</w:t>
            </w:r>
          </w:p>
        </w:tc>
      </w:tr>
      <w:tr>
        <w:trPr>
          <w:trHeight w:val="202"/>
        </w:trPr>
        <w:tc>
          <w:tcPr>
            <w:tcW w:w="1780" w:type="dxa"/>
            <w:vAlign w:val="bottom"/>
          </w:tcPr>
          <w:p>
            <w:pPr>
              <w:ind w:left="580"/>
              <w:spacing w:after="0"/>
              <w:rPr>
                <w:sz w:val="20"/>
                <w:szCs w:val="20"/>
                <w:color w:val="auto"/>
              </w:rPr>
            </w:pPr>
            <w:r>
              <w:rPr>
                <w:rFonts w:ascii="Arial" w:cs="Arial" w:eastAsia="Arial" w:hAnsi="Arial"/>
                <w:sz w:val="16"/>
                <w:szCs w:val="16"/>
                <w:b w:val="1"/>
                <w:bCs w:val="1"/>
                <w:color w:val="auto"/>
              </w:rPr>
              <w:t>Trade date</w:t>
            </w:r>
          </w:p>
        </w:tc>
        <w:tc>
          <w:tcPr>
            <w:tcW w:w="1640" w:type="dxa"/>
            <w:vAlign w:val="bottom"/>
          </w:tcPr>
          <w:p>
            <w:pPr>
              <w:jc w:val="right"/>
              <w:ind w:right="398"/>
              <w:spacing w:after="0"/>
              <w:rPr>
                <w:sz w:val="20"/>
                <w:szCs w:val="20"/>
                <w:color w:val="auto"/>
              </w:rPr>
            </w:pPr>
            <w:r>
              <w:rPr>
                <w:rFonts w:ascii="Arial" w:cs="Arial" w:eastAsia="Arial" w:hAnsi="Arial"/>
                <w:sz w:val="16"/>
                <w:szCs w:val="16"/>
                <w:b w:val="1"/>
                <w:bCs w:val="1"/>
                <w:color w:val="auto"/>
              </w:rPr>
              <w:t>Fixed rate</w:t>
            </w:r>
          </w:p>
        </w:tc>
        <w:tc>
          <w:tcPr>
            <w:tcW w:w="1560" w:type="dxa"/>
            <w:vAlign w:val="bottom"/>
          </w:tcPr>
          <w:p>
            <w:pPr>
              <w:ind w:left="200"/>
              <w:spacing w:after="0"/>
              <w:rPr>
                <w:sz w:val="20"/>
                <w:szCs w:val="20"/>
                <w:color w:val="auto"/>
              </w:rPr>
            </w:pPr>
            <w:r>
              <w:rPr>
                <w:rFonts w:ascii="Arial" w:cs="Arial" w:eastAsia="Arial" w:hAnsi="Arial"/>
                <w:sz w:val="16"/>
                <w:szCs w:val="16"/>
                <w:b w:val="1"/>
                <w:bCs w:val="1"/>
                <w:color w:val="auto"/>
              </w:rPr>
              <w:t>Start date</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End date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2023</w:t>
            </w:r>
          </w:p>
        </w:tc>
        <w:tc>
          <w:tcPr>
            <w:tcW w:w="1880" w:type="dxa"/>
            <w:vAlign w:val="bottom"/>
          </w:tcPr>
          <w:p>
            <w:pPr>
              <w:jc w:val="right"/>
              <w:ind w:right="318"/>
              <w:spacing w:after="0"/>
              <w:rPr>
                <w:sz w:val="20"/>
                <w:szCs w:val="20"/>
                <w:color w:val="auto"/>
              </w:rPr>
            </w:pPr>
            <w:r>
              <w:rPr>
                <w:rFonts w:ascii="Arial" w:cs="Arial" w:eastAsia="Arial" w:hAnsi="Arial"/>
                <w:sz w:val="16"/>
                <w:szCs w:val="16"/>
                <w:b w:val="1"/>
                <w:bCs w:val="1"/>
                <w:color w:val="auto"/>
              </w:rPr>
              <w:t>December 31, 2022</w:t>
            </w:r>
          </w:p>
        </w:tc>
      </w:tr>
      <w:tr>
        <w:trPr>
          <w:trHeight w:val="226"/>
        </w:trPr>
        <w:tc>
          <w:tcPr>
            <w:tcW w:w="17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r>
      <w:tr>
        <w:trPr>
          <w:trHeight w:val="209"/>
        </w:trPr>
        <w:tc>
          <w:tcPr>
            <w:tcW w:w="1780" w:type="dxa"/>
            <w:vAlign w:val="bottom"/>
          </w:tcPr>
          <w:p>
            <w:pPr>
              <w:ind w:left="20"/>
              <w:spacing w:after="0"/>
              <w:rPr>
                <w:sz w:val="20"/>
                <w:szCs w:val="20"/>
                <w:color w:val="auto"/>
              </w:rPr>
            </w:pPr>
            <w:r>
              <w:rPr>
                <w:rFonts w:ascii="Arial" w:cs="Arial" w:eastAsia="Arial" w:hAnsi="Arial"/>
                <w:sz w:val="16"/>
                <w:szCs w:val="16"/>
                <w:color w:val="auto"/>
              </w:rPr>
              <w:t>August 15, 2022</w:t>
            </w:r>
          </w:p>
        </w:tc>
        <w:tc>
          <w:tcPr>
            <w:tcW w:w="1640" w:type="dxa"/>
            <w:vAlign w:val="bottom"/>
          </w:tcPr>
          <w:p>
            <w:pPr>
              <w:jc w:val="right"/>
              <w:ind w:right="98"/>
              <w:spacing w:after="0"/>
              <w:rPr>
                <w:sz w:val="20"/>
                <w:szCs w:val="20"/>
                <w:color w:val="auto"/>
              </w:rPr>
            </w:pPr>
            <w:r>
              <w:rPr>
                <w:rFonts w:ascii="Arial" w:cs="Arial" w:eastAsia="Arial" w:hAnsi="Arial"/>
                <w:sz w:val="16"/>
                <w:szCs w:val="16"/>
                <w:color w:val="auto"/>
              </w:rPr>
              <w:t>2.47 %</w:t>
            </w:r>
          </w:p>
        </w:tc>
        <w:tc>
          <w:tcPr>
            <w:tcW w:w="1560" w:type="dxa"/>
            <w:vAlign w:val="bottom"/>
          </w:tcPr>
          <w:p>
            <w:pPr>
              <w:ind w:left="340"/>
              <w:spacing w:after="0"/>
              <w:rPr>
                <w:sz w:val="20"/>
                <w:szCs w:val="20"/>
                <w:color w:val="auto"/>
              </w:rPr>
            </w:pPr>
            <w:r>
              <w:rPr>
                <w:rFonts w:ascii="Arial" w:cs="Arial" w:eastAsia="Arial" w:hAnsi="Arial"/>
                <w:sz w:val="16"/>
                <w:szCs w:val="16"/>
                <w:color w:val="auto"/>
              </w:rPr>
              <w:t>June 28, 2024</w:t>
            </w:r>
          </w:p>
        </w:tc>
        <w:tc>
          <w:tcPr>
            <w:tcW w:w="1580" w:type="dxa"/>
            <w:vAlign w:val="bottom"/>
            <w:gridSpan w:val="2"/>
          </w:tcPr>
          <w:p>
            <w:pPr>
              <w:ind w:left="460"/>
              <w:spacing w:after="0"/>
              <w:rPr>
                <w:sz w:val="20"/>
                <w:szCs w:val="20"/>
                <w:color w:val="auto"/>
              </w:rPr>
            </w:pPr>
            <w:r>
              <w:rPr>
                <w:rFonts w:ascii="Arial" w:cs="Arial" w:eastAsia="Arial" w:hAnsi="Arial"/>
                <w:sz w:val="16"/>
                <w:szCs w:val="16"/>
                <w:color w:val="auto"/>
              </w:rPr>
              <w:t>August 4, 2027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2160" w:type="dxa"/>
            <w:vAlign w:val="bottom"/>
            <w:gridSpan w:val="3"/>
          </w:tcPr>
          <w:p>
            <w:pPr>
              <w:ind w:left="158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41,284</w:t>
            </w:r>
          </w:p>
        </w:tc>
      </w:tr>
      <w:tr>
        <w:trPr>
          <w:trHeight w:val="210"/>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August 15, 2022</w:t>
            </w:r>
          </w:p>
        </w:tc>
        <w:tc>
          <w:tcPr>
            <w:tcW w:w="16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2.47 %</w:t>
            </w:r>
          </w:p>
        </w:tc>
        <w:tc>
          <w:tcPr>
            <w:tcW w:w="1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June 28, 2024</w:t>
            </w: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August 4, 2027</w:t>
            </w:r>
          </w:p>
        </w:tc>
        <w:tc>
          <w:tcPr>
            <w:tcW w:w="20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20,642</w:t>
            </w:r>
          </w:p>
        </w:tc>
      </w:tr>
      <w:tr>
        <w:trPr>
          <w:trHeight w:val="201"/>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61,926</w:t>
            </w:r>
          </w:p>
        </w:tc>
      </w:tr>
      <w:tr>
        <w:trPr>
          <w:trHeight w:val="20"/>
        </w:trPr>
        <w:tc>
          <w:tcPr>
            <w:tcW w:w="1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location and amounts of interest rate swaps and their fair values in the condensed consolidated balance sheets are:</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4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78"/>
              <w:spacing w:after="0"/>
              <w:rPr>
                <w:sz w:val="20"/>
                <w:szCs w:val="20"/>
                <w:color w:val="auto"/>
              </w:rPr>
            </w:pPr>
            <w:r>
              <w:rPr>
                <w:rFonts w:ascii="Arial" w:cs="Arial" w:eastAsia="Arial" w:hAnsi="Arial"/>
                <w:sz w:val="16"/>
                <w:szCs w:val="16"/>
                <w:b w:val="1"/>
                <w:bCs w:val="1"/>
                <w:color w:val="auto"/>
                <w:w w:val="97"/>
              </w:rPr>
              <w:t>December 31,</w:t>
            </w:r>
          </w:p>
        </w:tc>
        <w:tc>
          <w:tcPr>
            <w:tcW w:w="12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6"/>
                <w:szCs w:val="16"/>
                <w:b w:val="1"/>
                <w:bCs w:val="1"/>
                <w:color w:val="auto"/>
                <w:w w:val="91"/>
              </w:rPr>
              <w:t>Location of Fair Value Recognized in Balanc</w:t>
            </w:r>
          </w:p>
        </w:tc>
      </w:tr>
      <w:tr>
        <w:trPr>
          <w:trHeight w:val="217"/>
        </w:trPr>
        <w:tc>
          <w:tcPr>
            <w:tcW w:w="42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40" w:type="dxa"/>
            <w:vAlign w:val="bottom"/>
            <w:tcBorders>
              <w:bottom w:val="single" w:sz="8" w:color="auto"/>
            </w:tcBorders>
          </w:tcPr>
          <w:p>
            <w:pPr>
              <w:ind w:left="1520"/>
              <w:spacing w:after="0"/>
              <w:rPr>
                <w:sz w:val="20"/>
                <w:szCs w:val="20"/>
                <w:color w:val="auto"/>
              </w:rPr>
            </w:pPr>
            <w:r>
              <w:rPr>
                <w:rFonts w:ascii="Arial" w:cs="Arial" w:eastAsia="Arial" w:hAnsi="Arial"/>
                <w:sz w:val="16"/>
                <w:szCs w:val="16"/>
                <w:b w:val="1"/>
                <w:bCs w:val="1"/>
                <w:color w:val="auto"/>
              </w:rPr>
              <w:t>Sheet</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designated as economic hedges: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r>
      <w:tr>
        <w:trPr>
          <w:trHeight w:val="227"/>
        </w:trPr>
        <w:tc>
          <w:tcPr>
            <w:tcW w:w="4240" w:type="dxa"/>
            <w:vAlign w:val="bottom"/>
          </w:tcPr>
          <w:p>
            <w:pPr>
              <w:ind w:left="20"/>
              <w:spacing w:after="0"/>
              <w:rPr>
                <w:sz w:val="20"/>
                <w:szCs w:val="20"/>
                <w:color w:val="auto"/>
              </w:rPr>
            </w:pPr>
            <w:r>
              <w:rPr>
                <w:rFonts w:ascii="Arial" w:cs="Arial" w:eastAsia="Arial" w:hAnsi="Arial"/>
                <w:sz w:val="16"/>
                <w:szCs w:val="16"/>
                <w:color w:val="auto"/>
              </w:rPr>
              <w:t>Current portion of swaption</w:t>
            </w:r>
          </w:p>
        </w:tc>
        <w:tc>
          <w:tcPr>
            <w:tcW w:w="1520" w:type="dxa"/>
            <w:vAlign w:val="bottom"/>
          </w:tcPr>
          <w:p>
            <w:pPr>
              <w:jc w:val="right"/>
              <w:ind w:right="1338"/>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Derivative financial assets, current portion</w:t>
            </w:r>
          </w:p>
        </w:tc>
      </w:tr>
      <w:tr>
        <w:trPr>
          <w:trHeight w:val="24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r>
      <w:tr>
        <w:trPr>
          <w:trHeight w:val="227"/>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 term portion of the interest rate swaps</w:t>
            </w:r>
          </w:p>
        </w:tc>
        <w:tc>
          <w:tcPr>
            <w:tcW w:w="1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 financial assets, non-current</w:t>
            </w:r>
          </w:p>
        </w:tc>
      </w:tr>
      <w:tr>
        <w:trPr>
          <w:trHeight w:val="246"/>
        </w:trPr>
        <w:tc>
          <w:tcPr>
            <w:tcW w:w="4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38"/>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2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effect of interest rate swaps on the condensed consolidated statement of operations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tcPr>
          <w:p>
            <w:pPr>
              <w:spacing w:after="0"/>
              <w:rPr>
                <w:sz w:val="15"/>
                <w:szCs w:val="15"/>
                <w:color w:val="auto"/>
              </w:rPr>
            </w:pPr>
          </w:p>
        </w:tc>
        <w:tc>
          <w:tcPr>
            <w:tcW w:w="2420" w:type="dxa"/>
            <w:vAlign w:val="bottom"/>
            <w:gridSpan w:val="5"/>
            <w:vMerge w:val="restart"/>
          </w:tcPr>
          <w:p>
            <w:pPr>
              <w:jc w:val="right"/>
              <w:spacing w:after="0"/>
              <w:rPr>
                <w:sz w:val="20"/>
                <w:szCs w:val="20"/>
                <w:color w:val="auto"/>
              </w:rPr>
            </w:pPr>
            <w:r>
              <w:rPr>
                <w:rFonts w:ascii="Arial" w:cs="Arial" w:eastAsia="Arial" w:hAnsi="Arial"/>
                <w:sz w:val="15"/>
                <w:szCs w:val="15"/>
                <w:b w:val="1"/>
                <w:bCs w:val="1"/>
                <w:color w:val="auto"/>
                <w:w w:val="91"/>
              </w:rPr>
              <w:t>Three Months Ended September 30,</w:t>
            </w:r>
          </w:p>
        </w:tc>
        <w:tc>
          <w:tcPr>
            <w:tcW w:w="260" w:type="dxa"/>
            <w:vAlign w:val="bottom"/>
          </w:tcPr>
          <w:p>
            <w:pPr>
              <w:spacing w:after="0"/>
              <w:rPr>
                <w:sz w:val="15"/>
                <w:szCs w:val="15"/>
                <w:color w:val="auto"/>
              </w:rPr>
            </w:pPr>
          </w:p>
        </w:tc>
        <w:tc>
          <w:tcPr>
            <w:tcW w:w="1660" w:type="dxa"/>
            <w:vAlign w:val="bottom"/>
            <w:gridSpan w:val="3"/>
          </w:tcPr>
          <w:p>
            <w:pPr>
              <w:jc w:val="right"/>
              <w:ind w:right="66"/>
              <w:spacing w:after="0"/>
              <w:rPr>
                <w:sz w:val="20"/>
                <w:szCs w:val="20"/>
                <w:color w:val="auto"/>
              </w:rPr>
            </w:pPr>
            <w:r>
              <w:rPr>
                <w:rFonts w:ascii="Arial" w:cs="Arial" w:eastAsia="Arial" w:hAnsi="Arial"/>
                <w:sz w:val="15"/>
                <w:szCs w:val="15"/>
                <w:b w:val="1"/>
                <w:bCs w:val="1"/>
                <w:color w:val="auto"/>
              </w:rPr>
              <w:t>Nine Months Ended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5"/>
                <w:szCs w:val="15"/>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tcPr>
          <w:p>
            <w:pPr>
              <w:jc w:val="center"/>
              <w:spacing w:after="0"/>
              <w:rPr>
                <w:sz w:val="20"/>
                <w:szCs w:val="20"/>
                <w:color w:val="auto"/>
              </w:rPr>
            </w:pPr>
            <w:r>
              <w:rPr>
                <w:rFonts w:ascii="Arial" w:cs="Arial" w:eastAsia="Arial" w:hAnsi="Arial"/>
                <w:sz w:val="15"/>
                <w:szCs w:val="15"/>
                <w:b w:val="1"/>
                <w:bCs w:val="1"/>
                <w:color w:val="auto"/>
                <w:w w:val="88"/>
              </w:rPr>
              <w:t>Location of (Loss) Gain Recognized in Operations from</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2023</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Derivatives</w:t>
            </w:r>
          </w:p>
        </w:tc>
        <w:tc>
          <w:tcPr>
            <w:tcW w:w="0" w:type="dxa"/>
            <w:vAlign w:val="bottom"/>
          </w:tcPr>
          <w:p>
            <w:pPr>
              <w:spacing w:after="0"/>
              <w:rPr>
                <w:sz w:val="1"/>
                <w:szCs w:val="1"/>
                <w:color w:val="auto"/>
              </w:rPr>
            </w:pPr>
          </w:p>
        </w:tc>
      </w:tr>
      <w:tr>
        <w:trPr>
          <w:trHeight w:val="197"/>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swaps</w:t>
            </w:r>
          </w:p>
        </w:tc>
        <w:tc>
          <w:tcPr>
            <w:tcW w:w="900" w:type="dxa"/>
            <w:vAlign w:val="bottom"/>
            <w:tcBorders>
              <w:bottom w:val="single" w:sz="8" w:color="CCEEFF"/>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1,580</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CEEFF"/>
            </w:tcBorders>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954</w:t>
            </w:r>
          </w:p>
        </w:tc>
        <w:tc>
          <w:tcPr>
            <w:tcW w:w="120" w:type="dxa"/>
            <w:vAlign w:val="bottom"/>
            <w:tcBorders>
              <w:bottom w:val="single" w:sz="8" w:color="CCEEFF"/>
            </w:tcBorders>
            <w:shd w:val="clear" w:color="auto" w:fill="CCEEFF"/>
          </w:tcPr>
          <w:p>
            <w:pPr>
              <w:spacing w:after="0"/>
              <w:rPr>
                <w:sz w:val="17"/>
                <w:szCs w:val="17"/>
                <w:color w:val="auto"/>
              </w:rPr>
            </w:pPr>
          </w:p>
        </w:tc>
        <w:tc>
          <w:tcPr>
            <w:tcW w:w="4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0" w:type="dxa"/>
            <w:vAlign w:val="bottom"/>
          </w:tcPr>
          <w:p>
            <w:pPr>
              <w:ind w:left="20"/>
              <w:spacing w:after="0"/>
              <w:rPr>
                <w:sz w:val="20"/>
                <w:szCs w:val="20"/>
                <w:color w:val="auto"/>
              </w:rPr>
            </w:pPr>
            <w:r>
              <w:rPr>
                <w:rFonts w:ascii="Arial" w:cs="Arial" w:eastAsia="Arial" w:hAnsi="Arial"/>
                <w:sz w:val="15"/>
                <w:szCs w:val="15"/>
                <w:color w:val="auto"/>
              </w:rPr>
              <w:t>Swaption</w:t>
            </w:r>
          </w:p>
        </w:tc>
        <w:tc>
          <w:tcPr>
            <w:tcW w:w="90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246</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w w:val="87"/>
              </w:rPr>
              <w:t>246</w:t>
            </w:r>
          </w:p>
        </w:tc>
        <w:tc>
          <w:tcPr>
            <w:tcW w:w="1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periodic settlements</w:t>
            </w:r>
          </w:p>
        </w:tc>
        <w:tc>
          <w:tcPr>
            <w:tcW w:w="9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812</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1"/>
              </w:rPr>
              <w:t>(677)</w:t>
            </w:r>
          </w:p>
        </w:tc>
        <w:tc>
          <w:tcPr>
            <w:tcW w:w="12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95"/>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195</w:t>
            </w: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766</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87"/>
              </w:rPr>
              <w:t>523</w:t>
            </w:r>
          </w:p>
        </w:tc>
        <w:tc>
          <w:tcPr>
            <w:tcW w:w="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5"/>
                <w:szCs w:val="15"/>
                <w:color w:val="auto"/>
              </w:rPr>
              <w:t>Change in fair value of derivative instruments, net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100" w:firstLine="591"/>
        <w:spacing w:after="0" w:line="288" w:lineRule="auto"/>
        <w:rPr>
          <w:sz w:val="20"/>
          <w:szCs w:val="20"/>
          <w:color w:val="auto"/>
        </w:rPr>
      </w:pPr>
      <w:r>
        <w:rPr>
          <w:rFonts w:ascii="Arial" w:cs="Arial" w:eastAsia="Arial" w:hAnsi="Arial"/>
          <w:sz w:val="16"/>
          <w:szCs w:val="16"/>
          <w:color w:val="auto"/>
        </w:rPr>
        <w:t>The following table summarizes the fair value of derivative instruments on the Company's condensed consolidated balance sheets and the effect of netting arrangements and collateral on its financial position:</w:t>
      </w: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0" w:name="page41"/>
    <w:bookmarkEnd w:id="40"/>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480" w:type="dxa"/>
            <w:vAlign w:val="bottom"/>
          </w:tcPr>
          <w:p>
            <w:pPr>
              <w:jc w:val="center"/>
              <w:ind w:left="386"/>
              <w:spacing w:after="0"/>
              <w:rPr>
                <w:sz w:val="20"/>
                <w:szCs w:val="20"/>
                <w:color w:val="auto"/>
              </w:rPr>
            </w:pPr>
            <w:r>
              <w:rPr>
                <w:rFonts w:ascii="Arial" w:cs="Arial" w:eastAsia="Arial" w:hAnsi="Arial"/>
                <w:sz w:val="15"/>
                <w:szCs w:val="15"/>
                <w:b w:val="1"/>
                <w:bCs w:val="1"/>
                <w:color w:val="auto"/>
                <w:w w:val="87"/>
              </w:rPr>
              <w:t>Gross Amounts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ind w:left="246"/>
              <w:spacing w:after="0"/>
              <w:rPr>
                <w:sz w:val="20"/>
                <w:szCs w:val="20"/>
                <w:color w:val="auto"/>
              </w:rPr>
            </w:pPr>
            <w:r>
              <w:rPr>
                <w:rFonts w:ascii="Arial" w:cs="Arial" w:eastAsia="Arial" w:hAnsi="Arial"/>
                <w:sz w:val="15"/>
                <w:szCs w:val="15"/>
                <w:b w:val="1"/>
                <w:bCs w:val="1"/>
                <w:color w:val="auto"/>
                <w:w w:val="87"/>
              </w:rPr>
              <w:t>Gross Amounts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center"/>
              <w:ind w:right="186"/>
              <w:spacing w:after="0"/>
              <w:rPr>
                <w:sz w:val="20"/>
                <w:szCs w:val="20"/>
                <w:color w:val="auto"/>
              </w:rPr>
            </w:pPr>
            <w:r>
              <w:rPr>
                <w:rFonts w:ascii="Arial" w:cs="Arial" w:eastAsia="Arial" w:hAnsi="Arial"/>
                <w:sz w:val="15"/>
                <w:szCs w:val="15"/>
                <w:b w:val="1"/>
                <w:bCs w:val="1"/>
                <w:color w:val="auto"/>
                <w:w w:val="89"/>
              </w:rPr>
              <w:t>Net Amounts of</w:t>
            </w:r>
          </w:p>
        </w:tc>
      </w:tr>
      <w:tr>
        <w:trPr>
          <w:trHeight w:val="185"/>
        </w:trPr>
        <w:tc>
          <w:tcPr>
            <w:tcW w:w="5340" w:type="dxa"/>
            <w:vAlign w:val="bottom"/>
          </w:tcPr>
          <w:p>
            <w:pPr>
              <w:spacing w:after="0"/>
              <w:rPr>
                <w:sz w:val="16"/>
                <w:szCs w:val="16"/>
                <w:color w:val="auto"/>
              </w:rPr>
            </w:pPr>
          </w:p>
        </w:tc>
        <w:tc>
          <w:tcPr>
            <w:tcW w:w="1480" w:type="dxa"/>
            <w:vAlign w:val="bottom"/>
          </w:tcPr>
          <w:p>
            <w:pPr>
              <w:jc w:val="center"/>
              <w:ind w:left="366"/>
              <w:spacing w:after="0"/>
              <w:rPr>
                <w:sz w:val="20"/>
                <w:szCs w:val="20"/>
                <w:color w:val="auto"/>
              </w:rPr>
            </w:pPr>
            <w:r>
              <w:rPr>
                <w:rFonts w:ascii="Arial" w:cs="Arial" w:eastAsia="Arial" w:hAnsi="Arial"/>
                <w:sz w:val="15"/>
                <w:szCs w:val="15"/>
                <w:b w:val="1"/>
                <w:bCs w:val="1"/>
                <w:color w:val="auto"/>
                <w:w w:val="85"/>
              </w:rPr>
              <w:t>of Recognized</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ind w:left="246"/>
              <w:spacing w:after="0"/>
              <w:rPr>
                <w:sz w:val="20"/>
                <w:szCs w:val="20"/>
                <w:color w:val="auto"/>
              </w:rPr>
            </w:pPr>
            <w:r>
              <w:rPr>
                <w:rFonts w:ascii="Arial" w:cs="Arial" w:eastAsia="Arial" w:hAnsi="Arial"/>
                <w:sz w:val="15"/>
                <w:szCs w:val="15"/>
                <w:b w:val="1"/>
                <w:bCs w:val="1"/>
                <w:color w:val="auto"/>
                <w:w w:val="89"/>
              </w:rPr>
              <w:t>Offset in the</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center"/>
              <w:ind w:right="206"/>
              <w:spacing w:after="0"/>
              <w:rPr>
                <w:sz w:val="20"/>
                <w:szCs w:val="20"/>
                <w:color w:val="auto"/>
              </w:rPr>
            </w:pPr>
            <w:r>
              <w:rPr>
                <w:rFonts w:ascii="Arial" w:cs="Arial" w:eastAsia="Arial" w:hAnsi="Arial"/>
                <w:sz w:val="15"/>
                <w:szCs w:val="15"/>
                <w:b w:val="1"/>
                <w:bCs w:val="1"/>
                <w:color w:val="auto"/>
                <w:w w:val="83"/>
              </w:rPr>
              <w:t>Assets in the</w:t>
            </w:r>
          </w:p>
        </w:tc>
      </w:tr>
      <w:tr>
        <w:trPr>
          <w:trHeight w:val="202"/>
        </w:trPr>
        <w:tc>
          <w:tcPr>
            <w:tcW w:w="5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ind w:left="366"/>
              <w:spacing w:after="0"/>
              <w:rPr>
                <w:sz w:val="20"/>
                <w:szCs w:val="20"/>
                <w:color w:val="auto"/>
              </w:rPr>
            </w:pPr>
            <w:r>
              <w:rPr>
                <w:rFonts w:ascii="Arial" w:cs="Arial" w:eastAsia="Arial" w:hAnsi="Arial"/>
                <w:sz w:val="15"/>
                <w:szCs w:val="15"/>
                <w:b w:val="1"/>
                <w:bCs w:val="1"/>
                <w:color w:val="auto"/>
                <w:w w:val="81"/>
              </w:rPr>
              <w:t>Assets</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ind w:left="266"/>
              <w:spacing w:after="0"/>
              <w:rPr>
                <w:sz w:val="20"/>
                <w:szCs w:val="20"/>
                <w:color w:val="auto"/>
              </w:rPr>
            </w:pPr>
            <w:r>
              <w:rPr>
                <w:rFonts w:ascii="Arial" w:cs="Arial" w:eastAsia="Arial" w:hAnsi="Arial"/>
                <w:sz w:val="15"/>
                <w:szCs w:val="15"/>
                <w:b w:val="1"/>
                <w:bCs w:val="1"/>
                <w:color w:val="auto"/>
                <w:w w:val="85"/>
              </w:rPr>
              <w:t>Balance Sheet</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86"/>
              <w:spacing w:after="0"/>
              <w:rPr>
                <w:sz w:val="20"/>
                <w:szCs w:val="20"/>
                <w:color w:val="auto"/>
              </w:rPr>
            </w:pPr>
            <w:r>
              <w:rPr>
                <w:rFonts w:ascii="Arial" w:cs="Arial" w:eastAsia="Arial" w:hAnsi="Arial"/>
                <w:sz w:val="15"/>
                <w:szCs w:val="15"/>
                <w:b w:val="1"/>
                <w:bCs w:val="1"/>
                <w:color w:val="auto"/>
                <w:w w:val="85"/>
              </w:rPr>
              <w:t>Balance Sheet</w:t>
            </w:r>
          </w:p>
        </w:tc>
      </w:tr>
      <w:tr>
        <w:trPr>
          <w:trHeight w:val="18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September 30, 2023:</w:t>
            </w:r>
          </w:p>
        </w:tc>
        <w:tc>
          <w:tcPr>
            <w:tcW w:w="14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r>
      <w:tr>
        <w:trPr>
          <w:trHeight w:val="192"/>
        </w:trPr>
        <w:tc>
          <w:tcPr>
            <w:tcW w:w="5340" w:type="dxa"/>
            <w:vAlign w:val="bottom"/>
          </w:tcPr>
          <w:p>
            <w:pPr>
              <w:ind w:left="140"/>
              <w:spacing w:after="0"/>
              <w:rPr>
                <w:sz w:val="20"/>
                <w:szCs w:val="20"/>
                <w:color w:val="auto"/>
              </w:rPr>
            </w:pPr>
            <w:r>
              <w:rPr>
                <w:rFonts w:ascii="Arial" w:cs="Arial" w:eastAsia="Arial" w:hAnsi="Arial"/>
                <w:sz w:val="15"/>
                <w:szCs w:val="15"/>
                <w:color w:val="auto"/>
              </w:rPr>
              <w:t>Interest rate swap asset</w:t>
            </w:r>
          </w:p>
        </w:tc>
        <w:tc>
          <w:tcPr>
            <w:tcW w:w="1480" w:type="dxa"/>
            <w:vAlign w:val="bottom"/>
          </w:tcPr>
          <w:p>
            <w:pPr>
              <w:jc w:val="right"/>
              <w:ind w:right="1306"/>
              <w:spacing w:after="0"/>
              <w:rPr>
                <w:sz w:val="20"/>
                <w:szCs w:val="20"/>
                <w:color w:val="auto"/>
              </w:rPr>
            </w:pPr>
            <w:r>
              <w:rPr>
                <w:rFonts w:ascii="Arial" w:cs="Arial" w:eastAsia="Arial" w:hAnsi="Arial"/>
                <w:sz w:val="15"/>
                <w:szCs w:val="15"/>
                <w:color w:val="auto"/>
                <w:w w:val="95"/>
              </w:rPr>
              <w:t>$</w:t>
            </w: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1406"/>
              <w:spacing w:after="0"/>
              <w:rPr>
                <w:sz w:val="20"/>
                <w:szCs w:val="20"/>
                <w:color w:val="auto"/>
              </w:rPr>
            </w:pPr>
            <w:r>
              <w:rPr>
                <w:rFonts w:ascii="Arial" w:cs="Arial" w:eastAsia="Arial" w:hAnsi="Arial"/>
                <w:sz w:val="15"/>
                <w:szCs w:val="15"/>
                <w:color w:val="auto"/>
                <w:w w:val="95"/>
              </w:rPr>
              <w:t>$</w:t>
            </w:r>
          </w:p>
        </w:tc>
        <w:tc>
          <w:tcPr>
            <w:tcW w:w="42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5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9"/>
        </w:trPr>
        <w:tc>
          <w:tcPr>
            <w:tcW w:w="5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Swaption asset</w:t>
            </w:r>
          </w:p>
        </w:tc>
        <w:tc>
          <w:tcPr>
            <w:tcW w:w="14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5340" w:type="dxa"/>
            <w:vAlign w:val="bottom"/>
          </w:tcPr>
          <w:p>
            <w:pPr>
              <w:spacing w:after="0"/>
              <w:rPr>
                <w:sz w:val="16"/>
                <w:szCs w:val="16"/>
                <w:color w:val="auto"/>
              </w:rPr>
            </w:pPr>
          </w:p>
        </w:tc>
        <w:tc>
          <w:tcPr>
            <w:tcW w:w="1480" w:type="dxa"/>
            <w:vAlign w:val="bottom"/>
          </w:tcPr>
          <w:p>
            <w:pPr>
              <w:jc w:val="right"/>
              <w:ind w:right="1306"/>
              <w:spacing w:after="0"/>
              <w:rPr>
                <w:sz w:val="20"/>
                <w:szCs w:val="20"/>
                <w:color w:val="auto"/>
              </w:rPr>
            </w:pPr>
            <w:r>
              <w:rPr>
                <w:rFonts w:ascii="Arial" w:cs="Arial" w:eastAsia="Arial" w:hAnsi="Arial"/>
                <w:sz w:val="15"/>
                <w:szCs w:val="15"/>
                <w:color w:val="auto"/>
                <w:w w:val="95"/>
              </w:rPr>
              <w:t>$</w:t>
            </w: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1406"/>
              <w:spacing w:after="0"/>
              <w:rPr>
                <w:sz w:val="20"/>
                <w:szCs w:val="20"/>
                <w:color w:val="auto"/>
              </w:rPr>
            </w:pPr>
            <w:r>
              <w:rPr>
                <w:rFonts w:ascii="Arial" w:cs="Arial" w:eastAsia="Arial" w:hAnsi="Arial"/>
                <w:sz w:val="15"/>
                <w:szCs w:val="15"/>
                <w:color w:val="auto"/>
                <w:w w:val="95"/>
              </w:rPr>
              <w:t>$</w:t>
            </w:r>
          </w:p>
        </w:tc>
        <w:tc>
          <w:tcPr>
            <w:tcW w:w="42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534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5"/>
                <w:szCs w:val="15"/>
                <w:b w:val="1"/>
                <w:bCs w:val="1"/>
                <w:color w:val="auto"/>
              </w:rPr>
              <w:t>Balance, December 31, 2022:</w:t>
            </w:r>
          </w:p>
        </w:tc>
        <w:tc>
          <w:tcPr>
            <w:tcW w:w="14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r>
      <w:tr>
        <w:trPr>
          <w:trHeight w:val="192"/>
        </w:trPr>
        <w:tc>
          <w:tcPr>
            <w:tcW w:w="5340" w:type="dxa"/>
            <w:vAlign w:val="bottom"/>
          </w:tcPr>
          <w:p>
            <w:pPr>
              <w:ind w:left="140"/>
              <w:spacing w:after="0"/>
              <w:rPr>
                <w:sz w:val="20"/>
                <w:szCs w:val="20"/>
                <w:color w:val="auto"/>
              </w:rPr>
            </w:pPr>
            <w:r>
              <w:rPr>
                <w:rFonts w:ascii="Arial" w:cs="Arial" w:eastAsia="Arial" w:hAnsi="Arial"/>
                <w:sz w:val="15"/>
                <w:szCs w:val="15"/>
                <w:color w:val="auto"/>
              </w:rPr>
              <w:t>Interest rate swap asset</w:t>
            </w:r>
          </w:p>
        </w:tc>
        <w:tc>
          <w:tcPr>
            <w:tcW w:w="1480" w:type="dxa"/>
            <w:vAlign w:val="bottom"/>
          </w:tcPr>
          <w:p>
            <w:pPr>
              <w:jc w:val="right"/>
              <w:ind w:right="1306"/>
              <w:spacing w:after="0"/>
              <w:rPr>
                <w:sz w:val="20"/>
                <w:szCs w:val="20"/>
                <w:color w:val="auto"/>
              </w:rPr>
            </w:pPr>
            <w:r>
              <w:rPr>
                <w:rFonts w:ascii="Arial" w:cs="Arial" w:eastAsia="Arial" w:hAnsi="Arial"/>
                <w:sz w:val="15"/>
                <w:szCs w:val="15"/>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954</w:t>
            </w:r>
          </w:p>
        </w:tc>
        <w:tc>
          <w:tcPr>
            <w:tcW w:w="80" w:type="dxa"/>
            <w:vAlign w:val="bottom"/>
          </w:tcPr>
          <w:p>
            <w:pPr>
              <w:spacing w:after="0"/>
              <w:rPr>
                <w:sz w:val="16"/>
                <w:szCs w:val="16"/>
                <w:color w:val="auto"/>
              </w:rPr>
            </w:pPr>
          </w:p>
        </w:tc>
        <w:tc>
          <w:tcPr>
            <w:tcW w:w="1580" w:type="dxa"/>
            <w:vAlign w:val="bottom"/>
          </w:tcPr>
          <w:p>
            <w:pPr>
              <w:jc w:val="right"/>
              <w:ind w:right="1406"/>
              <w:spacing w:after="0"/>
              <w:rPr>
                <w:sz w:val="20"/>
                <w:szCs w:val="20"/>
                <w:color w:val="auto"/>
              </w:rPr>
            </w:pPr>
            <w:r>
              <w:rPr>
                <w:rFonts w:ascii="Arial" w:cs="Arial" w:eastAsia="Arial" w:hAnsi="Arial"/>
                <w:sz w:val="15"/>
                <w:szCs w:val="15"/>
                <w:color w:val="auto"/>
                <w:w w:val="95"/>
              </w:rPr>
              <w:t>$</w:t>
            </w:r>
          </w:p>
        </w:tc>
        <w:tc>
          <w:tcPr>
            <w:tcW w:w="42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954</w:t>
            </w:r>
          </w:p>
        </w:tc>
      </w:tr>
      <w:tr>
        <w:trPr>
          <w:trHeight w:val="30"/>
        </w:trPr>
        <w:tc>
          <w:tcPr>
            <w:tcW w:w="5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2"/>
        </w:trPr>
        <w:tc>
          <w:tcPr>
            <w:tcW w:w="5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Swaption asset</w:t>
            </w:r>
          </w:p>
        </w:tc>
        <w:tc>
          <w:tcPr>
            <w:tcW w:w="14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182</w:t>
            </w:r>
          </w:p>
        </w:tc>
      </w:tr>
      <w:tr>
        <w:trPr>
          <w:trHeight w:val="184"/>
        </w:trPr>
        <w:tc>
          <w:tcPr>
            <w:tcW w:w="5340" w:type="dxa"/>
            <w:vAlign w:val="bottom"/>
          </w:tcPr>
          <w:p>
            <w:pPr>
              <w:spacing w:after="0"/>
              <w:rPr>
                <w:sz w:val="16"/>
                <w:szCs w:val="16"/>
                <w:color w:val="auto"/>
              </w:rPr>
            </w:pPr>
          </w:p>
        </w:tc>
        <w:tc>
          <w:tcPr>
            <w:tcW w:w="1480" w:type="dxa"/>
            <w:vAlign w:val="bottom"/>
            <w:tcBorders>
              <w:top w:val="single" w:sz="8" w:color="auto"/>
            </w:tcBorders>
          </w:tcPr>
          <w:p>
            <w:pPr>
              <w:jc w:val="right"/>
              <w:ind w:right="1306"/>
              <w:spacing w:after="0"/>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1,136</w:t>
            </w:r>
          </w:p>
        </w:tc>
        <w:tc>
          <w:tcPr>
            <w:tcW w:w="80" w:type="dxa"/>
            <w:vAlign w:val="bottom"/>
          </w:tcPr>
          <w:p>
            <w:pPr>
              <w:spacing w:after="0"/>
              <w:rPr>
                <w:sz w:val="16"/>
                <w:szCs w:val="16"/>
                <w:color w:val="auto"/>
              </w:rPr>
            </w:pPr>
          </w:p>
        </w:tc>
        <w:tc>
          <w:tcPr>
            <w:tcW w:w="1580" w:type="dxa"/>
            <w:vAlign w:val="bottom"/>
            <w:tcBorders>
              <w:top w:val="single" w:sz="8" w:color="auto"/>
            </w:tcBorders>
          </w:tcPr>
          <w:p>
            <w:pPr>
              <w:jc w:val="right"/>
              <w:ind w:right="1406"/>
              <w:spacing w:after="0"/>
              <w:rPr>
                <w:sz w:val="20"/>
                <w:szCs w:val="20"/>
                <w:color w:val="auto"/>
              </w:rPr>
            </w:pPr>
            <w:r>
              <w:rPr>
                <w:rFonts w:ascii="Arial" w:cs="Arial" w:eastAsia="Arial" w:hAnsi="Arial"/>
                <w:sz w:val="15"/>
                <w:szCs w:val="15"/>
                <w:color w:val="auto"/>
                <w:w w:val="95"/>
              </w:rPr>
              <w:t>$</w:t>
            </w: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1,136</w:t>
            </w:r>
          </w:p>
        </w:tc>
      </w:tr>
      <w:tr>
        <w:trPr>
          <w:trHeight w:val="30"/>
        </w:trPr>
        <w:tc>
          <w:tcPr>
            <w:tcW w:w="5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Commodity Swap Contracts</w:t>
      </w:r>
    </w:p>
    <w:p>
      <w:pPr>
        <w:spacing w:after="0" w:line="149" w:lineRule="exact"/>
        <w:rPr>
          <w:sz w:val="20"/>
          <w:szCs w:val="20"/>
          <w:color w:val="auto"/>
        </w:rPr>
      </w:pPr>
    </w:p>
    <w:p>
      <w:pPr>
        <w:jc w:val="both"/>
        <w:ind w:firstLine="296"/>
        <w:spacing w:after="0" w:line="261" w:lineRule="auto"/>
        <w:rPr>
          <w:sz w:val="20"/>
          <w:szCs w:val="20"/>
          <w:color w:val="auto"/>
        </w:rPr>
      </w:pPr>
      <w:r>
        <w:rPr>
          <w:rFonts w:ascii="Arial" w:cs="Arial" w:eastAsia="Arial" w:hAnsi="Arial"/>
          <w:sz w:val="16"/>
          <w:szCs w:val="16"/>
          <w:color w:val="auto"/>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counterparty to perform under the terms of the swap contract. When the fair value of the swap contract is positive, the counterparty owes the Company creating a credit risk. The Company manages the credit risk by entering into contracts with financially sound counterparties.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97"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06" w:lineRule="exact"/>
        <w:rPr>
          <w:sz w:val="20"/>
          <w:szCs w:val="20"/>
          <w:color w:val="auto"/>
        </w:rPr>
      </w:pPr>
    </w:p>
    <w:p>
      <w:pPr>
        <w:ind w:right="320" w:firstLine="296"/>
        <w:spacing w:after="0" w:line="288" w:lineRule="auto"/>
        <w:rPr>
          <w:sz w:val="20"/>
          <w:szCs w:val="20"/>
          <w:color w:val="auto"/>
        </w:rPr>
      </w:pPr>
      <w:r>
        <w:rPr>
          <w:rFonts w:ascii="Arial" w:cs="Arial" w:eastAsia="Arial" w:hAnsi="Arial"/>
          <w:sz w:val="16"/>
          <w:szCs w:val="16"/>
          <w:color w:val="auto"/>
        </w:rPr>
        <w:t>The following table summarizes the commodity swaps in place as of September 30, 2023 and December 31, 2022. There were no new commodity swap contracts entered during the three months ended September 30, 2023.</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2220" w:type="dxa"/>
            <w:vAlign w:val="bottom"/>
            <w:vMerge w:val="restart"/>
          </w:tcPr>
          <w:p>
            <w:pPr>
              <w:ind w:left="740"/>
              <w:spacing w:after="0"/>
              <w:rPr>
                <w:sz w:val="20"/>
                <w:szCs w:val="20"/>
                <w:color w:val="auto"/>
              </w:rPr>
            </w:pPr>
            <w:r>
              <w:rPr>
                <w:rFonts w:ascii="Arial" w:cs="Arial" w:eastAsia="Arial" w:hAnsi="Arial"/>
                <w:sz w:val="15"/>
                <w:szCs w:val="15"/>
                <w:b w:val="1"/>
                <w:bCs w:val="1"/>
                <w:color w:val="auto"/>
              </w:rPr>
              <w:t>Trade Date</w:t>
            </w:r>
          </w:p>
        </w:tc>
        <w:tc>
          <w:tcPr>
            <w:tcW w:w="80" w:type="dxa"/>
            <w:vAlign w:val="bottom"/>
            <w:vMerge w:val="restart"/>
          </w:tcPr>
          <w:p>
            <w:pPr>
              <w:spacing w:after="0"/>
              <w:rPr>
                <w:sz w:val="16"/>
                <w:szCs w:val="16"/>
                <w:color w:val="auto"/>
              </w:rPr>
            </w:pPr>
          </w:p>
        </w:tc>
        <w:tc>
          <w:tcPr>
            <w:tcW w:w="1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Period From</w:t>
            </w:r>
          </w:p>
        </w:tc>
        <w:tc>
          <w:tcPr>
            <w:tcW w:w="120" w:type="dxa"/>
            <w:vAlign w:val="bottom"/>
            <w:vMerge w:val="restart"/>
          </w:tcPr>
          <w:p>
            <w:pPr>
              <w:spacing w:after="0"/>
              <w:rPr>
                <w:sz w:val="16"/>
                <w:szCs w:val="16"/>
                <w:color w:val="auto"/>
              </w:rPr>
            </w:pPr>
          </w:p>
        </w:tc>
        <w:tc>
          <w:tcPr>
            <w:tcW w:w="21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Period To</w:t>
            </w:r>
          </w:p>
        </w:tc>
        <w:tc>
          <w:tcPr>
            <w:tcW w:w="80" w:type="dxa"/>
            <w:vAlign w:val="bottom"/>
            <w:vMerge w:val="restart"/>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Notional Quantity per</w:t>
            </w:r>
          </w:p>
        </w:tc>
        <w:tc>
          <w:tcPr>
            <w:tcW w:w="120" w:type="dxa"/>
            <w:vAlign w:val="bottom"/>
          </w:tcPr>
          <w:p>
            <w:pPr>
              <w:spacing w:after="0"/>
              <w:rPr>
                <w:sz w:val="16"/>
                <w:szCs w:val="16"/>
                <w:color w:val="auto"/>
              </w:rPr>
            </w:pPr>
          </w:p>
        </w:tc>
        <w:tc>
          <w:tcPr>
            <w:tcW w:w="1940" w:type="dxa"/>
            <w:vAlign w:val="bottom"/>
          </w:tcPr>
          <w:p>
            <w:pPr>
              <w:jc w:val="right"/>
              <w:ind w:right="66"/>
              <w:spacing w:after="0"/>
              <w:rPr>
                <w:sz w:val="20"/>
                <w:szCs w:val="20"/>
                <w:color w:val="auto"/>
              </w:rPr>
            </w:pPr>
            <w:r>
              <w:rPr>
                <w:rFonts w:ascii="Arial" w:cs="Arial" w:eastAsia="Arial" w:hAnsi="Arial"/>
                <w:sz w:val="15"/>
                <w:szCs w:val="15"/>
                <w:b w:val="1"/>
                <w:bCs w:val="1"/>
                <w:color w:val="auto"/>
                <w:w w:val="89"/>
              </w:rPr>
              <w:t>Average Contract Price (per</w:t>
            </w:r>
          </w:p>
        </w:tc>
        <w:tc>
          <w:tcPr>
            <w:tcW w:w="0" w:type="dxa"/>
            <w:vAlign w:val="bottom"/>
          </w:tcPr>
          <w:p>
            <w:pPr>
              <w:spacing w:after="0"/>
              <w:rPr>
                <w:sz w:val="1"/>
                <w:szCs w:val="1"/>
                <w:color w:val="auto"/>
              </w:rPr>
            </w:pPr>
          </w:p>
        </w:tc>
      </w:tr>
      <w:tr>
        <w:trPr>
          <w:trHeight w:val="195"/>
        </w:trPr>
        <w:tc>
          <w:tcPr>
            <w:tcW w:w="2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Year (“MWh”)</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b w:val="1"/>
                <w:bCs w:val="1"/>
                <w:color w:val="auto"/>
              </w:rPr>
              <w:t>MWh)</w:t>
            </w:r>
          </w:p>
        </w:tc>
        <w:tc>
          <w:tcPr>
            <w:tcW w:w="0" w:type="dxa"/>
            <w:vAlign w:val="bottom"/>
          </w:tcPr>
          <w:p>
            <w:pPr>
              <w:spacing w:after="0"/>
              <w:rPr>
                <w:sz w:val="1"/>
                <w:szCs w:val="1"/>
                <w:color w:val="auto"/>
              </w:rPr>
            </w:pPr>
          </w:p>
        </w:tc>
      </w:tr>
      <w:tr>
        <w:trPr>
          <w:trHeight w:val="204"/>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October 17, 2022</w:t>
            </w:r>
          </w:p>
        </w:tc>
        <w:tc>
          <w:tcPr>
            <w:tcW w:w="20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7"/>
              </w:rPr>
              <w:t>January 1, 2023</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8"/>
              </w:rPr>
              <w:t>December 31, 2024</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68.50</w:t>
            </w:r>
          </w:p>
        </w:tc>
        <w:tc>
          <w:tcPr>
            <w:tcW w:w="0" w:type="dxa"/>
            <w:vAlign w:val="bottom"/>
          </w:tcPr>
          <w:p>
            <w:pPr>
              <w:spacing w:after="0"/>
              <w:rPr>
                <w:sz w:val="1"/>
                <w:szCs w:val="1"/>
                <w:color w:val="auto"/>
              </w:rPr>
            </w:pPr>
          </w:p>
        </w:tc>
      </w:tr>
      <w:tr>
        <w:trPr>
          <w:trHeight w:val="201"/>
        </w:trPr>
        <w:tc>
          <w:tcPr>
            <w:tcW w:w="2300" w:type="dxa"/>
            <w:vAlign w:val="bottom"/>
            <w:gridSpan w:val="2"/>
          </w:tcPr>
          <w:p>
            <w:pPr>
              <w:ind w:left="20"/>
              <w:spacing w:after="0"/>
              <w:rPr>
                <w:sz w:val="20"/>
                <w:szCs w:val="20"/>
                <w:color w:val="auto"/>
              </w:rPr>
            </w:pPr>
            <w:r>
              <w:rPr>
                <w:rFonts w:ascii="Arial" w:cs="Arial" w:eastAsia="Arial" w:hAnsi="Arial"/>
                <w:sz w:val="15"/>
                <w:szCs w:val="15"/>
                <w:color w:val="auto"/>
              </w:rPr>
              <w:t>October 17, 2022</w:t>
            </w:r>
          </w:p>
        </w:tc>
        <w:tc>
          <w:tcPr>
            <w:tcW w:w="2000" w:type="dxa"/>
            <w:vAlign w:val="bottom"/>
            <w:gridSpan w:val="2"/>
          </w:tcPr>
          <w:p>
            <w:pPr>
              <w:jc w:val="center"/>
              <w:ind w:right="140"/>
              <w:spacing w:after="0"/>
              <w:rPr>
                <w:sz w:val="20"/>
                <w:szCs w:val="20"/>
                <w:color w:val="auto"/>
              </w:rPr>
            </w:pPr>
            <w:r>
              <w:rPr>
                <w:rFonts w:ascii="Arial" w:cs="Arial" w:eastAsia="Arial" w:hAnsi="Arial"/>
                <w:sz w:val="15"/>
                <w:szCs w:val="15"/>
                <w:color w:val="auto"/>
                <w:w w:val="87"/>
              </w:rPr>
              <w:t>January 1, 2023</w:t>
            </w:r>
          </w:p>
        </w:tc>
        <w:tc>
          <w:tcPr>
            <w:tcW w:w="2260" w:type="dxa"/>
            <w:vAlign w:val="bottom"/>
            <w:gridSpan w:val="2"/>
          </w:tcPr>
          <w:p>
            <w:pPr>
              <w:jc w:val="center"/>
              <w:ind w:right="100"/>
              <w:spacing w:after="0"/>
              <w:rPr>
                <w:sz w:val="20"/>
                <w:szCs w:val="20"/>
                <w:color w:val="auto"/>
              </w:rPr>
            </w:pPr>
            <w:r>
              <w:rPr>
                <w:rFonts w:ascii="Arial" w:cs="Arial" w:eastAsia="Arial" w:hAnsi="Arial"/>
                <w:sz w:val="15"/>
                <w:szCs w:val="15"/>
                <w:color w:val="auto"/>
                <w:w w:val="88"/>
              </w:rPr>
              <w:t>December 31, 2024</w:t>
            </w:r>
          </w:p>
        </w:tc>
        <w:tc>
          <w:tcPr>
            <w:tcW w:w="1580" w:type="dxa"/>
            <w:vAlign w:val="bottom"/>
          </w:tcPr>
          <w:p>
            <w:pPr>
              <w:jc w:val="right"/>
              <w:spacing w:after="0"/>
              <w:rPr>
                <w:sz w:val="20"/>
                <w:szCs w:val="20"/>
                <w:color w:val="auto"/>
              </w:rPr>
            </w:pPr>
            <w:r>
              <w:rPr>
                <w:rFonts w:ascii="Arial" w:cs="Arial" w:eastAsia="Arial" w:hAnsi="Arial"/>
                <w:sz w:val="15"/>
                <w:szCs w:val="15"/>
                <w:color w:val="auto"/>
              </w:rPr>
              <w:t>26,280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940" w:type="dxa"/>
            <w:vAlign w:val="bottom"/>
          </w:tcPr>
          <w:p>
            <w:pPr>
              <w:jc w:val="right"/>
              <w:spacing w:after="0"/>
              <w:rPr>
                <w:sz w:val="20"/>
                <w:szCs w:val="20"/>
                <w:color w:val="auto"/>
              </w:rPr>
            </w:pPr>
            <w:r>
              <w:rPr>
                <w:rFonts w:ascii="Arial" w:cs="Arial" w:eastAsia="Arial" w:hAnsi="Arial"/>
                <w:sz w:val="15"/>
                <w:szCs w:val="15"/>
                <w:color w:val="auto"/>
              </w:rPr>
              <w:t>65.50</w:t>
            </w:r>
          </w:p>
        </w:tc>
        <w:tc>
          <w:tcPr>
            <w:tcW w:w="0" w:type="dxa"/>
            <w:vAlign w:val="bottom"/>
          </w:tcPr>
          <w:p>
            <w:pPr>
              <w:spacing w:after="0"/>
              <w:rPr>
                <w:sz w:val="1"/>
                <w:szCs w:val="1"/>
                <w:color w:val="auto"/>
              </w:rPr>
            </w:pPr>
          </w:p>
        </w:tc>
      </w:tr>
      <w:tr>
        <w:trPr>
          <w:trHeight w:val="218"/>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November 17, 2022</w:t>
            </w:r>
          </w:p>
        </w:tc>
        <w:tc>
          <w:tcPr>
            <w:tcW w:w="20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7"/>
              </w:rPr>
              <w:t>January 1, 2023</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8"/>
              </w:rPr>
              <w:t>December 31, 2024</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81.50</w:t>
            </w:r>
          </w:p>
        </w:tc>
        <w:tc>
          <w:tcPr>
            <w:tcW w:w="0" w:type="dxa"/>
            <w:vAlign w:val="bottom"/>
          </w:tcPr>
          <w:p>
            <w:pPr>
              <w:spacing w:after="0"/>
              <w:rPr>
                <w:sz w:val="1"/>
                <w:szCs w:val="1"/>
                <w:color w:val="auto"/>
              </w:rPr>
            </w:pPr>
          </w:p>
        </w:tc>
      </w:tr>
    </w:tbl>
    <w:p>
      <w:pPr>
        <w:spacing w:after="0" w:line="38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the effect of commodity swaps on the condensed consolidated statements of operations for the three and nine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and 2022: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68" w:lineRule="exact"/>
        <w:rPr>
          <w:sz w:val="20"/>
          <w:szCs w:val="20"/>
          <w:color w:val="auto"/>
        </w:rPr>
      </w:pPr>
    </w:p>
    <w:tbl>
      <w:tblPr>
        <w:tblLayout w:type="fixed"/>
        <w:tblInd w:w="300"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0" w:type="dxa"/>
            <w:vAlign w:val="bottom"/>
            <w:gridSpan w:val="6"/>
          </w:tcPr>
          <w:p>
            <w:pPr>
              <w:ind w:left="20"/>
              <w:spacing w:after="0"/>
              <w:rPr>
                <w:sz w:val="20"/>
                <w:szCs w:val="20"/>
                <w:color w:val="auto"/>
              </w:rPr>
            </w:pPr>
            <w:r>
              <w:rPr>
                <w:rFonts w:ascii="Arial" w:cs="Arial" w:eastAsia="Arial" w:hAnsi="Arial"/>
                <w:sz w:val="15"/>
                <w:szCs w:val="15"/>
                <w:b w:val="1"/>
                <w:bCs w:val="1"/>
                <w:color w:val="auto"/>
                <w:w w:val="93"/>
              </w:rPr>
              <w:t>Three Months Ended September</w:t>
            </w:r>
          </w:p>
        </w:tc>
        <w:tc>
          <w:tcPr>
            <w:tcW w:w="200" w:type="dxa"/>
            <w:vAlign w:val="bottom"/>
          </w:tcPr>
          <w:p>
            <w:pPr>
              <w:spacing w:after="0"/>
              <w:rPr>
                <w:sz w:val="14"/>
                <w:szCs w:val="14"/>
                <w:color w:val="auto"/>
              </w:rPr>
            </w:pPr>
          </w:p>
        </w:tc>
        <w:tc>
          <w:tcPr>
            <w:tcW w:w="1760" w:type="dxa"/>
            <w:vAlign w:val="bottom"/>
            <w:gridSpan w:val="4"/>
          </w:tcPr>
          <w:p>
            <w:pPr>
              <w:jc w:val="right"/>
              <w:ind w:right="266"/>
              <w:spacing w:after="0"/>
              <w:rPr>
                <w:sz w:val="20"/>
                <w:szCs w:val="20"/>
                <w:color w:val="auto"/>
              </w:rPr>
            </w:pPr>
            <w:r>
              <w:rPr>
                <w:rFonts w:ascii="Arial" w:cs="Arial" w:eastAsia="Arial" w:hAnsi="Arial"/>
                <w:sz w:val="15"/>
                <w:szCs w:val="15"/>
                <w:b w:val="1"/>
                <w:bCs w:val="1"/>
                <w:color w:val="auto"/>
                <w:w w:val="99"/>
              </w:rPr>
              <w:t>Nine Months Ended</w:t>
            </w:r>
          </w:p>
        </w:tc>
      </w:tr>
      <w:tr>
        <w:trPr>
          <w:trHeight w:val="194"/>
        </w:trPr>
        <w:tc>
          <w:tcPr>
            <w:tcW w:w="36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446"/>
              <w:spacing w:after="0"/>
              <w:rPr>
                <w:sz w:val="20"/>
                <w:szCs w:val="20"/>
                <w:color w:val="auto"/>
              </w:rPr>
            </w:pPr>
            <w:r>
              <w:rPr>
                <w:rFonts w:ascii="Arial" w:cs="Arial" w:eastAsia="Arial" w:hAnsi="Arial"/>
                <w:sz w:val="15"/>
                <w:szCs w:val="15"/>
                <w:b w:val="1"/>
                <w:bCs w:val="1"/>
                <w:color w:val="auto"/>
              </w:rPr>
              <w:t>September 30,</w:t>
            </w:r>
          </w:p>
        </w:tc>
      </w:tr>
      <w:tr>
        <w:trPr>
          <w:trHeight w:val="214"/>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97"/>
              </w:rPr>
              <w:t>Derivatives not designated as hedging instruments</w:t>
            </w:r>
          </w:p>
        </w:tc>
        <w:tc>
          <w:tcPr>
            <w:tcW w:w="306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Location of (loss) gain recognized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2022</w:t>
            </w:r>
          </w:p>
        </w:tc>
      </w:tr>
      <w:tr>
        <w:trPr>
          <w:trHeight w:val="192"/>
        </w:trPr>
        <w:tc>
          <w:tcPr>
            <w:tcW w:w="3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Commodity swaps - realized (loss) gain</w:t>
            </w:r>
          </w:p>
        </w:tc>
        <w:tc>
          <w:tcPr>
            <w:tcW w:w="3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Revenues - Renewable power</w:t>
            </w:r>
          </w:p>
        </w:tc>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493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center"/>
              <w:ind w:left="226"/>
              <w:spacing w:after="0"/>
              <w:rPr>
                <w:sz w:val="20"/>
                <w:szCs w:val="20"/>
                <w:color w:val="auto"/>
              </w:rPr>
            </w:pPr>
            <w:r>
              <w:rPr>
                <w:rFonts w:ascii="Arial" w:cs="Arial" w:eastAsia="Arial" w:hAnsi="Arial"/>
                <w:sz w:val="15"/>
                <w:szCs w:val="15"/>
                <w:color w:val="auto"/>
                <w:w w:val="91"/>
              </w:rPr>
              <w:t>(744)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w:t>
            </w:r>
          </w:p>
        </w:tc>
      </w:tr>
      <w:tr>
        <w:trPr>
          <w:trHeight w:val="19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Commodity swaps - unrealized gain (loss)</w:t>
            </w:r>
          </w:p>
        </w:tc>
        <w:tc>
          <w:tcPr>
            <w:tcW w:w="30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Revenues - Renewable power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w w:val="97"/>
              </w:rPr>
              <w:t>(30)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246"/>
              <w:spacing w:after="0"/>
              <w:rPr>
                <w:sz w:val="20"/>
                <w:szCs w:val="20"/>
                <w:color w:val="auto"/>
              </w:rPr>
            </w:pPr>
            <w:r>
              <w:rPr>
                <w:rFonts w:ascii="Arial" w:cs="Arial" w:eastAsia="Arial" w:hAnsi="Arial"/>
                <w:sz w:val="15"/>
                <w:szCs w:val="15"/>
                <w:color w:val="auto"/>
                <w:w w:val="87"/>
              </w:rPr>
              <w:t>161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(775)</w:t>
            </w:r>
          </w:p>
        </w:tc>
      </w:tr>
      <w:tr>
        <w:trPr>
          <w:trHeight w:val="21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realized and unrealized gain (loss)</w:t>
            </w:r>
          </w:p>
        </w:tc>
        <w:tc>
          <w:tcPr>
            <w:tcW w:w="3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Revenues - Renewable power</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463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center"/>
              <w:ind w:left="226"/>
              <w:spacing w:after="0"/>
              <w:rPr>
                <w:sz w:val="20"/>
                <w:szCs w:val="20"/>
                <w:color w:val="auto"/>
              </w:rPr>
            </w:pPr>
            <w:r>
              <w:rPr>
                <w:rFonts w:ascii="Arial" w:cs="Arial" w:eastAsia="Arial" w:hAnsi="Arial"/>
                <w:sz w:val="15"/>
                <w:szCs w:val="15"/>
                <w:color w:val="auto"/>
                <w:w w:val="91"/>
              </w:rPr>
              <w:t>(583)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(1,706)</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the derivative assets and liabilities related to commodity swaps as of September 30, 2023 and December 31, 2022:</w:t>
      </w:r>
    </w:p>
    <w:p>
      <w:pPr>
        <w:spacing w:after="0" w:line="200" w:lineRule="exact"/>
        <w:rPr>
          <w:sz w:val="20"/>
          <w:szCs w:val="20"/>
          <w:color w:val="auto"/>
        </w:rPr>
      </w:pPr>
    </w:p>
    <w:p>
      <w:pPr>
        <w:spacing w:after="0" w:line="314"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3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Location of Fair value recognized in</w:t>
            </w:r>
          </w:p>
        </w:tc>
      </w:tr>
      <w:tr>
        <w:trPr>
          <w:trHeight w:val="213"/>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2023</w:t>
            </w:r>
          </w:p>
        </w:tc>
        <w:tc>
          <w:tcPr>
            <w:tcW w:w="34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Arial" w:cs="Arial" w:eastAsia="Arial" w:hAnsi="Arial"/>
                <w:sz w:val="16"/>
                <w:szCs w:val="16"/>
                <w:b w:val="1"/>
                <w:bCs w:val="1"/>
                <w:color w:val="auto"/>
              </w:rPr>
              <w:t>December 31, 2022</w:t>
            </w:r>
          </w:p>
        </w:tc>
        <w:tc>
          <w:tcPr>
            <w:tcW w:w="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Balance Sheet</w:t>
            </w:r>
          </w:p>
        </w:tc>
      </w:tr>
      <w:tr>
        <w:trPr>
          <w:trHeight w:val="19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economic hedges</w:t>
            </w:r>
          </w:p>
        </w:tc>
        <w:tc>
          <w:tcPr>
            <w:tcW w:w="22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auto"/>
            </w:tcBorders>
            <w:shd w:val="clear" w:color="auto" w:fill="CCEEFF"/>
          </w:tcPr>
          <w:p>
            <w:pPr>
              <w:spacing w:after="0"/>
              <w:rPr>
                <w:sz w:val="16"/>
                <w:szCs w:val="16"/>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w w:val="96"/>
              </w:rPr>
              <w:t>Current portion of unrealized gain on commodity swaps</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720" w:type="dxa"/>
            <w:vAlign w:val="bottom"/>
          </w:tcPr>
          <w:p>
            <w:pPr>
              <w:ind w:left="1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w w:val="99"/>
              </w:rPr>
              <w:t>Derivative financial asset, current portion</w:t>
            </w:r>
          </w:p>
        </w:tc>
      </w:tr>
      <w:tr>
        <w:trPr>
          <w:trHeight w:val="161"/>
        </w:trPr>
        <w:tc>
          <w:tcPr>
            <w:tcW w:w="38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Non-current portion of unrealized gain on commodity</w:t>
            </w:r>
          </w:p>
        </w:tc>
        <w:tc>
          <w:tcPr>
            <w:tcW w:w="2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r>
      <w:tr>
        <w:trPr>
          <w:trHeight w:val="22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swaps</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Derivative financial asset, non-current porti</w:t>
            </w:r>
          </w:p>
        </w:tc>
      </w:tr>
      <w:tr>
        <w:trPr>
          <w:trHeight w:val="208"/>
        </w:trPr>
        <w:tc>
          <w:tcPr>
            <w:tcW w:w="3820" w:type="dxa"/>
            <w:vAlign w:val="bottom"/>
          </w:tcPr>
          <w:p>
            <w:pPr>
              <w:ind w:left="20"/>
              <w:spacing w:after="0"/>
              <w:rPr>
                <w:sz w:val="20"/>
                <w:szCs w:val="20"/>
                <w:color w:val="auto"/>
              </w:rPr>
            </w:pPr>
            <w:r>
              <w:rPr>
                <w:rFonts w:ascii="Arial" w:cs="Arial" w:eastAsia="Arial" w:hAnsi="Arial"/>
                <w:sz w:val="16"/>
                <w:szCs w:val="16"/>
                <w:color w:val="auto"/>
                <w:w w:val="97"/>
              </w:rPr>
              <w:t>Current portion of unrealized loss on commodity swaps</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w w:val="96"/>
              </w:rPr>
              <w:t>Derivative financial liability, current portion</w:t>
            </w:r>
          </w:p>
        </w:tc>
      </w:tr>
    </w:tbl>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Derivative Liabilities</w:t>
      </w:r>
    </w:p>
    <w:p>
      <w:pPr>
        <w:spacing w:after="0" w:line="112" w:lineRule="exact"/>
        <w:rPr>
          <w:sz w:val="20"/>
          <w:szCs w:val="20"/>
          <w:color w:val="auto"/>
        </w:rPr>
      </w:pPr>
    </w:p>
    <w:p>
      <w:pPr>
        <w:jc w:val="both"/>
        <w:ind w:right="100" w:firstLine="591"/>
        <w:spacing w:after="0" w:line="288" w:lineRule="auto"/>
        <w:rPr>
          <w:sz w:val="20"/>
          <w:szCs w:val="20"/>
          <w:color w:val="auto"/>
        </w:rPr>
      </w:pPr>
      <w:r>
        <w:rPr>
          <w:rFonts w:ascii="Arial" w:cs="Arial" w:eastAsia="Arial" w:hAnsi="Arial"/>
          <w:sz w:val="16"/>
          <w:szCs w:val="16"/>
          <w:color w:val="auto"/>
        </w:rPr>
        <w:t>The following table summarizes the effect of change in fair value of other derivative liabilities on the condensed consolidated statements of operations for the three and six months ended September 30, 2023 and 2022:</w:t>
      </w:r>
    </w:p>
    <w:p>
      <w:pPr>
        <w:spacing w:after="0" w:line="68" w:lineRule="exact"/>
        <w:rPr>
          <w:sz w:val="20"/>
          <w:szCs w:val="20"/>
          <w:color w:val="auto"/>
        </w:rPr>
      </w:pPr>
    </w:p>
    <w:tbl>
      <w:tblPr>
        <w:tblLayout w:type="fixed"/>
        <w:tblInd w:w="600" w:type="dxa"/>
        <w:tblCellMar>
          <w:top w:w="0" w:type="dxa"/>
          <w:left w:w="0" w:type="dxa"/>
          <w:bottom w:w="0" w:type="dxa"/>
          <w:right w:w="0" w:type="dxa"/>
        </w:tblCellMar>
      </w:tblPr>
      <w:tr>
        <w:trPr>
          <w:trHeight w:val="181"/>
        </w:trPr>
        <w:tc>
          <w:tcPr>
            <w:tcW w:w="26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900" w:type="dxa"/>
            <w:vAlign w:val="bottom"/>
            <w:tcBorders>
              <w:top w:val="single" w:sz="8" w:color="auto"/>
            </w:tcBorders>
            <w:gridSpan w:val="4"/>
            <w:shd w:val="clear" w:color="auto" w:fill="CCEEFF"/>
          </w:tcPr>
          <w:p>
            <w:pPr>
              <w:jc w:val="center"/>
              <w:ind w:right="138"/>
              <w:spacing w:after="0" w:line="181" w:lineRule="exact"/>
              <w:rPr>
                <w:sz w:val="20"/>
                <w:szCs w:val="20"/>
                <w:color w:val="auto"/>
              </w:rPr>
            </w:pPr>
            <w:r>
              <w:rPr>
                <w:rFonts w:ascii="Arial" w:cs="Arial" w:eastAsia="Arial" w:hAnsi="Arial"/>
                <w:sz w:val="16"/>
                <w:szCs w:val="16"/>
                <w:b w:val="1"/>
                <w:bCs w:val="1"/>
                <w:color w:val="auto"/>
                <w:w w:val="93"/>
              </w:rPr>
              <w:t>Nine Months Ended</w:t>
            </w:r>
          </w:p>
        </w:tc>
        <w:tc>
          <w:tcPr>
            <w:tcW w:w="8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6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Derivative liability</w:t>
            </w:r>
          </w:p>
        </w:tc>
        <w:tc>
          <w:tcPr>
            <w:tcW w:w="2740" w:type="dxa"/>
            <w:vAlign w:val="bottom"/>
            <w:gridSpan w:val="6"/>
            <w:shd w:val="clear" w:color="auto" w:fill="CCEEFF"/>
          </w:tcPr>
          <w:p>
            <w:pPr>
              <w:ind w:left="60"/>
              <w:spacing w:after="0"/>
              <w:rPr>
                <w:sz w:val="20"/>
                <w:szCs w:val="20"/>
                <w:color w:val="auto"/>
              </w:rPr>
            </w:pPr>
            <w:r>
              <w:rPr>
                <w:rFonts w:ascii="Arial" w:cs="Arial" w:eastAsia="Arial" w:hAnsi="Arial"/>
                <w:sz w:val="16"/>
                <w:szCs w:val="16"/>
                <w:b w:val="1"/>
                <w:bCs w:val="1"/>
                <w:color w:val="auto"/>
                <w:w w:val="97"/>
              </w:rPr>
              <w:t>Three Months Ended September 30,</w:t>
            </w:r>
          </w:p>
        </w:tc>
        <w:tc>
          <w:tcPr>
            <w:tcW w:w="220" w:type="dxa"/>
            <w:vAlign w:val="bottom"/>
            <w:shd w:val="clear" w:color="auto" w:fill="CCEEFF"/>
          </w:tcPr>
          <w:p>
            <w:pPr>
              <w:spacing w:after="0"/>
              <w:rPr>
                <w:sz w:val="18"/>
                <w:szCs w:val="18"/>
                <w:color w:val="auto"/>
              </w:rPr>
            </w:pPr>
          </w:p>
        </w:tc>
        <w:tc>
          <w:tcPr>
            <w:tcW w:w="1980" w:type="dxa"/>
            <w:vAlign w:val="bottom"/>
            <w:gridSpan w:val="5"/>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28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88"/>
              </w:rPr>
              <w:t>Location of (Loss) Gain Recognized in</w:t>
            </w:r>
          </w:p>
        </w:tc>
        <w:tc>
          <w:tcPr>
            <w:tcW w:w="0" w:type="dxa"/>
            <w:vAlign w:val="bottom"/>
          </w:tcPr>
          <w:p>
            <w:pPr>
              <w:spacing w:after="0"/>
              <w:rPr>
                <w:sz w:val="1"/>
                <w:szCs w:val="1"/>
                <w:color w:val="auto"/>
              </w:rPr>
            </w:pPr>
          </w:p>
        </w:tc>
      </w:tr>
      <w:tr>
        <w:trPr>
          <w:trHeight w:val="213"/>
        </w:trPr>
        <w:tc>
          <w:tcPr>
            <w:tcW w:w="266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2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0"/>
              </w:rPr>
              <w:t>Operations from Derivatives</w:t>
            </w:r>
          </w:p>
        </w:tc>
        <w:tc>
          <w:tcPr>
            <w:tcW w:w="0" w:type="dxa"/>
            <w:vAlign w:val="bottom"/>
          </w:tcPr>
          <w:p>
            <w:pPr>
              <w:spacing w:after="0"/>
              <w:rPr>
                <w:sz w:val="1"/>
                <w:szCs w:val="1"/>
                <w:color w:val="auto"/>
              </w:rPr>
            </w:pPr>
          </w:p>
        </w:tc>
      </w:tr>
      <w:tr>
        <w:trPr>
          <w:trHeight w:val="227"/>
        </w:trPr>
        <w:tc>
          <w:tcPr>
            <w:tcW w:w="2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60" w:type="dxa"/>
            <w:vAlign w:val="bottom"/>
          </w:tcPr>
          <w:p>
            <w:pPr>
              <w:spacing w:after="0"/>
              <w:rPr>
                <w:sz w:val="20"/>
                <w:szCs w:val="20"/>
                <w:color w:val="auto"/>
              </w:rPr>
            </w:pPr>
            <w:r>
              <w:rPr>
                <w:rFonts w:ascii="Arial" w:cs="Arial" w:eastAsia="Arial" w:hAnsi="Arial"/>
                <w:sz w:val="16"/>
                <w:szCs w:val="16"/>
                <w:color w:val="auto"/>
              </w:rPr>
              <w:t>Put option to Meteora</w:t>
            </w:r>
          </w:p>
        </w:tc>
        <w:tc>
          <w:tcPr>
            <w:tcW w:w="860" w:type="dxa"/>
            <w:vAlign w:val="bottom"/>
          </w:tcPr>
          <w:p>
            <w:pPr>
              <w:jc w:val="right"/>
              <w:ind w:right="678"/>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Sponsor Earnout Awards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Pr>
          <w:p>
            <w:pPr>
              <w:spacing w:after="0"/>
              <w:rPr>
                <w:sz w:val="20"/>
                <w:szCs w:val="20"/>
                <w:color w:val="auto"/>
              </w:rPr>
            </w:pPr>
            <w:r>
              <w:rPr>
                <w:rFonts w:ascii="Arial" w:cs="Arial" w:eastAsia="Arial" w:hAnsi="Arial"/>
                <w:sz w:val="16"/>
                <w:szCs w:val="16"/>
                <w:color w:val="auto"/>
              </w:rPr>
              <w:t>OPAL Earnout Awards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5,300</w:t>
            </w: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Public Warrants</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w:t>
            </w:r>
          </w:p>
        </w:tc>
        <w:tc>
          <w:tcPr>
            <w:tcW w:w="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Pr>
          <w:p>
            <w:pPr>
              <w:spacing w:after="0"/>
              <w:rPr>
                <w:sz w:val="20"/>
                <w:szCs w:val="20"/>
                <w:color w:val="auto"/>
              </w:rPr>
            </w:pPr>
            <w:r>
              <w:rPr>
                <w:rFonts w:ascii="Arial" w:cs="Arial" w:eastAsia="Arial" w:hAnsi="Arial"/>
                <w:sz w:val="16"/>
                <w:szCs w:val="16"/>
                <w:color w:val="auto"/>
              </w:rPr>
              <w:t>Private Warrants</w:t>
            </w:r>
          </w:p>
        </w:tc>
        <w:tc>
          <w:tcPr>
            <w:tcW w:w="8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(5,309)</w:t>
            </w: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6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ind w:right="678"/>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4,189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80" w:type="dxa"/>
            <w:vAlign w:val="bottom"/>
            <w:tcBorders>
              <w:top w:val="single" w:sz="8" w:color="CCEEFF"/>
            </w:tcBorders>
            <w:shd w:val="clear" w:color="auto" w:fill="CCEEFF"/>
          </w:tcPr>
          <w:p>
            <w:pPr>
              <w:spacing w:after="0"/>
              <w:rPr>
                <w:sz w:val="13"/>
                <w:szCs w:val="13"/>
                <w:color w:val="auto"/>
              </w:rPr>
            </w:pPr>
          </w:p>
        </w:tc>
        <w:tc>
          <w:tcPr>
            <w:tcW w:w="2820" w:type="dxa"/>
            <w:vAlign w:val="bottom"/>
            <w:tcBorders>
              <w:top w:val="single" w:sz="8" w:color="CCEEFF"/>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Change in fair value of derivative</w:t>
            </w:r>
          </w:p>
        </w:tc>
        <w:tc>
          <w:tcPr>
            <w:tcW w:w="0" w:type="dxa"/>
            <w:vAlign w:val="bottom"/>
          </w:tcPr>
          <w:p>
            <w:pPr>
              <w:spacing w:after="0"/>
              <w:rPr>
                <w:sz w:val="1"/>
                <w:szCs w:val="1"/>
                <w:color w:val="auto"/>
              </w:rPr>
            </w:pPr>
          </w:p>
        </w:tc>
      </w:tr>
      <w:tr>
        <w:trPr>
          <w:trHeight w:val="205"/>
        </w:trPr>
        <w:tc>
          <w:tcPr>
            <w:tcW w:w="26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instruments, net</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12" w:lineRule="exact"/>
        <w:rPr>
          <w:sz w:val="20"/>
          <w:szCs w:val="20"/>
          <w:color w:val="auto"/>
        </w:rPr>
      </w:pPr>
    </w:p>
    <w:p>
      <w:pPr>
        <w:jc w:val="both"/>
        <w:ind w:right="100" w:firstLine="296"/>
        <w:spacing w:after="0" w:line="273" w:lineRule="auto"/>
        <w:rPr>
          <w:sz w:val="20"/>
          <w:szCs w:val="20"/>
          <w:color w:val="auto"/>
        </w:rPr>
      </w:pPr>
      <w:r>
        <w:rPr>
          <w:rFonts w:ascii="Arial" w:cs="Arial" w:eastAsia="Arial" w:hAnsi="Arial"/>
          <w:sz w:val="16"/>
          <w:szCs w:val="16"/>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62" w:lineRule="exact"/>
        <w:rPr>
          <w:sz w:val="20"/>
          <w:szCs w:val="20"/>
          <w:color w:val="auto"/>
        </w:rPr>
      </w:pPr>
    </w:p>
    <w:p>
      <w:pPr>
        <w:jc w:val="both"/>
        <w:ind w:right="100" w:firstLine="296"/>
        <w:spacing w:after="0" w:line="324" w:lineRule="auto"/>
        <w:rPr>
          <w:sz w:val="20"/>
          <w:szCs w:val="20"/>
          <w:color w:val="auto"/>
        </w:rPr>
      </w:pPr>
      <w:r>
        <w:rPr>
          <w:rFonts w:ascii="Arial" w:cs="Arial" w:eastAsia="Arial" w:hAnsi="Arial"/>
          <w:sz w:val="15"/>
          <w:szCs w:val="15"/>
          <w:color w:val="auto"/>
        </w:rPr>
        <w:t>The carrying value of the Company's long-term debt, which is considered Level 2 in the fair value hierarchy, of $174,028 and $88,312 as of September 30, 2023 and December 31, 2022, respectively, represents the total amount to be repaid if the debt has to be discharged in full and therefore approximates its fair value.</w:t>
      </w: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2" w:name="page43"/>
    <w:bookmarkEnd w:id="42"/>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Company follows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regarding fair value measurements which establishes a three-tier fair value hierarchy and prioritizes the inputs used in valuation techniques that measure fair value. These tiers include:</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Level 1 — defined as observable inputs such as quoted prices for identical instruments in active markets;</w:t>
      </w:r>
    </w:p>
    <w:p>
      <w:pPr>
        <w:spacing w:after="0" w:line="136" w:lineRule="exact"/>
        <w:rPr>
          <w:sz w:val="20"/>
          <w:szCs w:val="20"/>
          <w:color w:val="auto"/>
        </w:rPr>
      </w:pPr>
    </w:p>
    <w:p>
      <w:pPr>
        <w:ind w:left="300"/>
        <w:spacing w:after="0" w:line="288" w:lineRule="auto"/>
        <w:rPr>
          <w:sz w:val="20"/>
          <w:szCs w:val="20"/>
          <w:color w:val="auto"/>
        </w:rPr>
      </w:pPr>
      <w:r>
        <w:rPr>
          <w:rFonts w:ascii="Arial" w:cs="Arial" w:eastAsia="Arial" w:hAnsi="Arial"/>
          <w:sz w:val="16"/>
          <w:szCs w:val="16"/>
          <w:color w:val="auto"/>
        </w:rPr>
        <w:t>Level 2 — defined as quoted prices for similar instruments in active markets, quoted prices for identical or similar instruments in markets that are not active, or model-derived valuations for which all significant inputs are observable market data;</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Level 3 — defined as unobservable inputs in which little or no market data exists, therefore requiring an entity to develop its own assumptions.</w:t>
      </w:r>
    </w:p>
    <w:p>
      <w:pPr>
        <w:spacing w:after="0" w:line="112"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62"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69" w:lineRule="exact"/>
        <w:rPr>
          <w:sz w:val="20"/>
          <w:szCs w:val="20"/>
          <w:color w:val="auto"/>
        </w:rPr>
      </w:pPr>
    </w:p>
    <w:p>
      <w:pPr>
        <w:jc w:val="both"/>
        <w:ind w:firstLine="296"/>
        <w:spacing w:after="0" w:line="280" w:lineRule="auto"/>
        <w:rPr>
          <w:sz w:val="20"/>
          <w:szCs w:val="20"/>
          <w:color w:val="auto"/>
        </w:rPr>
      </w:pPr>
      <w:r>
        <w:rPr>
          <w:rFonts w:ascii="Arial" w:cs="Arial" w:eastAsia="Arial" w:hAnsi="Arial"/>
          <w:sz w:val="15"/>
          <w:szCs w:val="15"/>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50" w:lineRule="exact"/>
        <w:rPr>
          <w:sz w:val="20"/>
          <w:szCs w:val="20"/>
          <w:color w:val="auto"/>
        </w:rPr>
      </w:pPr>
    </w:p>
    <w:p>
      <w:pPr>
        <w:jc w:val="both"/>
        <w:ind w:firstLine="296"/>
        <w:spacing w:after="0" w:line="257" w:lineRule="auto"/>
        <w:rPr>
          <w:sz w:val="20"/>
          <w:szCs w:val="20"/>
          <w:color w:val="auto"/>
        </w:rPr>
      </w:pPr>
      <w:r>
        <w:rPr>
          <w:rFonts w:ascii="Arial" w:cs="Arial" w:eastAsia="Arial" w:hAnsi="Arial"/>
          <w:sz w:val="16"/>
          <w:szCs w:val="16"/>
          <w:color w:val="auto"/>
        </w:rPr>
        <w:t>The Company accounted for the Convertible Note Payable at fair value at each reporting period. As of September 30, 2023, the Convertible Note Payable was repaid in full. As of December 31, 2022, the Company recorded the Convertible Note Payable at par plus accrued interest as it is payable on demand by either party and therefore represents fair value.</w:t>
      </w:r>
    </w:p>
    <w:p>
      <w:pPr>
        <w:spacing w:after="0" w:line="74"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fair value of the Sponsor Earnout Awards as of September 30, 2023 was determined using a Monte Carlo valuation model with a distribution of potential outcomes on a daily basis over the four-year post-close period. Assumptions used in the valuation are as follows:</w:t>
      </w:r>
    </w:p>
    <w:p>
      <w:pPr>
        <w:spacing w:after="0" w:line="175" w:lineRule="exact"/>
        <w:rPr>
          <w:sz w:val="20"/>
          <w:szCs w:val="20"/>
          <w:color w:val="auto"/>
        </w:rPr>
      </w:pPr>
    </w:p>
    <w:p>
      <w:pPr>
        <w:ind w:left="620" w:hanging="326"/>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Current stock price — The Company's closing stock price of $8.20 as of September 30, 2023;</w:t>
      </w:r>
    </w:p>
    <w:p>
      <w:pPr>
        <w:spacing w:after="0" w:line="14" w:lineRule="exact"/>
        <w:rPr>
          <w:rFonts w:ascii="Arial" w:cs="Arial" w:eastAsia="Arial" w:hAnsi="Arial"/>
          <w:sz w:val="16"/>
          <w:szCs w:val="16"/>
          <w:color w:val="auto"/>
        </w:rPr>
      </w:pPr>
    </w:p>
    <w:p>
      <w:pPr>
        <w:ind w:left="600" w:right="180" w:hanging="306"/>
        <w:spacing w:after="0" w:line="247" w:lineRule="auto"/>
        <w:tabs>
          <w:tab w:leader="none" w:pos="6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Expected volatility —55% based on historical and implied volatilities of selected industry peers deemed to be comparable to our business corresponding to the expected term of the awards;</w:t>
      </w:r>
    </w:p>
    <w:p>
      <w:pPr>
        <w:ind w:left="600" w:right="380" w:hanging="306"/>
        <w:spacing w:after="0" w:line="242" w:lineRule="auto"/>
        <w:tabs>
          <w:tab w:leader="none" w:pos="6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Risk-free interest rate — 4.72% based on the U.S. Treasury yield curve in effect at the time of issuance for zero-coupon U.S. Treasury notes with maturities corresponding to the expected 3.8 year term of the earnout period;</w:t>
      </w:r>
    </w:p>
    <w:p>
      <w:pPr>
        <w:spacing w:after="0" w:line="1" w:lineRule="exact"/>
        <w:rPr>
          <w:rFonts w:ascii="Arial" w:cs="Arial" w:eastAsia="Arial" w:hAnsi="Arial"/>
          <w:sz w:val="16"/>
          <w:szCs w:val="16"/>
          <w:color w:val="auto"/>
        </w:rPr>
      </w:pPr>
    </w:p>
    <w:p>
      <w:pPr>
        <w:ind w:left="580" w:hanging="286"/>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Dividend yield - zero.</w:t>
      </w:r>
    </w:p>
    <w:p>
      <w:pPr>
        <w:spacing w:after="0" w:line="320" w:lineRule="exact"/>
        <w:rPr>
          <w:sz w:val="20"/>
          <w:szCs w:val="20"/>
          <w:color w:val="auto"/>
        </w:rPr>
      </w:pPr>
    </w:p>
    <w:p>
      <w:pPr>
        <w:jc w:val="both"/>
        <w:ind w:firstLine="296"/>
        <w:spacing w:after="0" w:line="364" w:lineRule="auto"/>
        <w:rPr>
          <w:sz w:val="20"/>
          <w:szCs w:val="20"/>
          <w:color w:val="auto"/>
        </w:rPr>
      </w:pPr>
      <w:r>
        <w:rPr>
          <w:rFonts w:ascii="Arial" w:cs="Arial" w:eastAsia="Arial" w:hAnsi="Arial"/>
          <w:sz w:val="14"/>
          <w:szCs w:val="14"/>
          <w:color w:val="auto"/>
        </w:rPr>
        <w:t>The fair value of the OPAL Earnout Awards as of September 30, 2023 was determined using a Monte Carlo valuation model with a distribution of potential outcomes for stock price and EBITDA over the 2-year period commencing on January 1, 2023 and ending on December 31, 2024. Assumptions used in the valuation are as follows:</w:t>
      </w:r>
    </w:p>
    <w:p>
      <w:pPr>
        <w:spacing w:after="0" w:line="128" w:lineRule="exact"/>
        <w:rPr>
          <w:sz w:val="20"/>
          <w:szCs w:val="20"/>
          <w:color w:val="auto"/>
        </w:rPr>
      </w:pPr>
    </w:p>
    <w:p>
      <w:pPr>
        <w:ind w:left="5540" w:right="4460" w:hanging="5246"/>
        <w:spacing w:after="0" w:line="706" w:lineRule="auto"/>
        <w:tabs>
          <w:tab w:leader="none" w:pos="6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Current stock price — The Company's closing stock price of $8.20 as of September 30, 2023;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-41910</wp:posOffset>
            </wp:positionV>
            <wp:extent cx="716978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 w:lineRule="exact"/>
        <w:rPr>
          <w:sz w:val="20"/>
          <w:szCs w:val="20"/>
          <w:color w:val="auto"/>
        </w:rPr>
      </w:pPr>
    </w:p>
    <w:p>
      <w:pPr>
        <w:ind w:left="581" w:hanging="286"/>
        <w:spacing w:after="0"/>
        <w:tabs>
          <w:tab w:leader="none" w:pos="581"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Weighted average cost of capital - 16% based on an average of historical volatilities of selected industry peers deemed to be comparable to our business.</w:t>
      </w:r>
    </w:p>
    <w:p>
      <w:pPr>
        <w:spacing w:after="0" w:line="26" w:lineRule="exact"/>
        <w:rPr>
          <w:rFonts w:ascii="Arial" w:cs="Arial" w:eastAsia="Arial" w:hAnsi="Arial"/>
          <w:sz w:val="15"/>
          <w:szCs w:val="15"/>
          <w:color w:val="auto"/>
        </w:rPr>
      </w:pPr>
    </w:p>
    <w:p>
      <w:pPr>
        <w:ind w:left="601" w:right="220" w:hanging="306"/>
        <w:spacing w:after="0" w:line="249" w:lineRule="auto"/>
        <w:tabs>
          <w:tab w:leader="none" w:pos="597"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Expected volatility —50% based on historical and implied volatilities of selected industry peers deemed to be comparable to our business corresponding to the expected term of the awards;</w:t>
      </w:r>
    </w:p>
    <w:p>
      <w:pPr>
        <w:ind w:left="601" w:right="460" w:hanging="306"/>
        <w:spacing w:after="0" w:line="247" w:lineRule="auto"/>
        <w:tabs>
          <w:tab w:leader="none" w:pos="638"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Risk-free interest rate — 5.5% based on the U.S. Treasury yield curve in effect at the time of issuance for zero-coupon U.S. Treasury notes with maturities corresponding to the expected 1.5 year term of the earnout period;</w:t>
      </w:r>
    </w:p>
    <w:p>
      <w:pPr>
        <w:ind w:left="581" w:hanging="286"/>
        <w:spacing w:after="0"/>
        <w:tabs>
          <w:tab w:leader="none" w:pos="581"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Dividend yield - zero.</w:t>
      </w:r>
    </w:p>
    <w:p>
      <w:pPr>
        <w:spacing w:after="0" w:line="310"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There were no transfers of assets between Level 1, Level 2, or Level 3 of the fair value hierarchy as of September 30, 2023.</w:t>
      </w:r>
    </w:p>
    <w:p>
      <w:pPr>
        <w:spacing w:after="0" w:line="112" w:lineRule="exact"/>
        <w:rPr>
          <w:sz w:val="20"/>
          <w:szCs w:val="20"/>
          <w:color w:val="auto"/>
        </w:rPr>
      </w:pPr>
    </w:p>
    <w:p>
      <w:pPr>
        <w:ind w:left="1" w:right="180" w:firstLine="296"/>
        <w:spacing w:after="0" w:line="288" w:lineRule="auto"/>
        <w:rPr>
          <w:sz w:val="20"/>
          <w:szCs w:val="20"/>
          <w:color w:val="auto"/>
        </w:rPr>
      </w:pPr>
      <w:r>
        <w:rPr>
          <w:rFonts w:ascii="Arial" w:cs="Arial" w:eastAsia="Arial" w:hAnsi="Arial"/>
          <w:sz w:val="16"/>
          <w:szCs w:val="16"/>
          <w:color w:val="auto"/>
        </w:rPr>
        <w:t>The Company's assets and liabilities that are measured at fair value on a recurring basis include the following as of September 30, 2023 and December 31, 2022, set forth by level, within the fair value hierarchy:</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ind w:left="400"/>
              <w:spacing w:after="0"/>
              <w:rPr>
                <w:sz w:val="20"/>
                <w:szCs w:val="20"/>
                <w:color w:val="auto"/>
              </w:rPr>
            </w:pPr>
            <w:r>
              <w:rPr>
                <w:rFonts w:ascii="Arial" w:cs="Arial" w:eastAsia="Arial" w:hAnsi="Arial"/>
                <w:sz w:val="15"/>
                <w:szCs w:val="15"/>
                <w:b w:val="1"/>
                <w:bCs w:val="1"/>
                <w:color w:val="auto"/>
                <w:w w:val="88"/>
              </w:rPr>
              <w:t>Fair value as of September 30, 2023</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
        </w:trPr>
        <w:tc>
          <w:tcPr>
            <w:tcW w:w="5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Level 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ind w:left="500"/>
              <w:spacing w:after="0"/>
              <w:rPr>
                <w:sz w:val="20"/>
                <w:szCs w:val="20"/>
                <w:color w:val="auto"/>
              </w:rPr>
            </w:pPr>
            <w:r>
              <w:rPr>
                <w:rFonts w:ascii="Arial" w:cs="Arial" w:eastAsia="Arial" w:hAnsi="Arial"/>
                <w:sz w:val="15"/>
                <w:szCs w:val="15"/>
                <w:b w:val="1"/>
                <w:bCs w:val="1"/>
                <w:color w:val="auto"/>
              </w:rPr>
              <w:t>Level 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520"/>
              <w:spacing w:after="0"/>
              <w:rPr>
                <w:sz w:val="20"/>
                <w:szCs w:val="20"/>
                <w:color w:val="auto"/>
              </w:rPr>
            </w:pPr>
            <w:r>
              <w:rPr>
                <w:rFonts w:ascii="Arial" w:cs="Arial" w:eastAsia="Arial" w:hAnsi="Arial"/>
                <w:sz w:val="15"/>
                <w:szCs w:val="15"/>
                <w:b w:val="1"/>
                <w:bCs w:val="1"/>
                <w:color w:val="auto"/>
              </w:rPr>
              <w:t>Level 3</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86"/>
              <w:spacing w:after="0"/>
              <w:rPr>
                <w:sz w:val="20"/>
                <w:szCs w:val="20"/>
                <w:color w:val="auto"/>
              </w:rPr>
            </w:pPr>
            <w:r>
              <w:rPr>
                <w:rFonts w:ascii="Arial" w:cs="Arial" w:eastAsia="Arial" w:hAnsi="Arial"/>
                <w:sz w:val="15"/>
                <w:szCs w:val="15"/>
                <w:b w:val="1"/>
                <w:bCs w:val="1"/>
                <w:color w:val="auto"/>
              </w:rPr>
              <w:t>Total</w:t>
            </w:r>
          </w:p>
        </w:tc>
      </w:tr>
      <w:tr>
        <w:trPr>
          <w:trHeight w:val="30"/>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2"/>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10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2"/>
        </w:trPr>
        <w:tc>
          <w:tcPr>
            <w:tcW w:w="5000" w:type="dxa"/>
            <w:vAlign w:val="bottom"/>
          </w:tcPr>
          <w:p>
            <w:pPr>
              <w:ind w:left="140"/>
              <w:spacing w:after="0"/>
              <w:rPr>
                <w:sz w:val="20"/>
                <w:szCs w:val="20"/>
                <w:color w:val="auto"/>
              </w:rPr>
            </w:pPr>
            <w:r>
              <w:rPr>
                <w:rFonts w:ascii="Arial" w:cs="Arial" w:eastAsia="Arial" w:hAnsi="Arial"/>
                <w:sz w:val="15"/>
                <w:szCs w:val="15"/>
                <w:color w:val="auto"/>
              </w:rPr>
              <w:t>Asset retirement obligation</w:t>
            </w:r>
          </w:p>
        </w:tc>
        <w:tc>
          <w:tcPr>
            <w:tcW w:w="1000" w:type="dxa"/>
            <w:vAlign w:val="bottom"/>
          </w:tcPr>
          <w:p>
            <w:pPr>
              <w:jc w:val="right"/>
              <w:ind w:right="826"/>
              <w:spacing w:after="0"/>
              <w:rPr>
                <w:sz w:val="20"/>
                <w:szCs w:val="20"/>
                <w:color w:val="auto"/>
              </w:rPr>
            </w:pPr>
            <w:r>
              <w:rPr>
                <w:rFonts w:ascii="Arial" w:cs="Arial" w:eastAsia="Arial" w:hAnsi="Arial"/>
                <w:sz w:val="15"/>
                <w:szCs w:val="15"/>
                <w:color w:val="auto"/>
                <w:w w:val="95"/>
              </w:rPr>
              <w:t>$</w:t>
            </w:r>
          </w:p>
        </w:tc>
        <w:tc>
          <w:tcPr>
            <w:tcW w:w="1680" w:type="dxa"/>
            <w:vAlign w:val="bottom"/>
            <w:gridSpan w:val="3"/>
          </w:tcPr>
          <w:p>
            <w:pPr>
              <w:ind w:left="280"/>
              <w:spacing w:after="0"/>
              <w:rPr>
                <w:sz w:val="20"/>
                <w:szCs w:val="20"/>
                <w:color w:val="auto"/>
              </w:rPr>
            </w:pPr>
            <w:r>
              <w:rPr>
                <w:rFonts w:ascii="Arial" w:cs="Arial" w:eastAsia="Arial" w:hAnsi="Arial"/>
                <w:sz w:val="15"/>
                <w:szCs w:val="15"/>
                <w:color w:val="auto"/>
              </w:rPr>
              <w:t>—   $</w:t>
            </w:r>
          </w:p>
        </w:tc>
        <w:tc>
          <w:tcPr>
            <w:tcW w:w="1580" w:type="dxa"/>
            <w:vAlign w:val="bottom"/>
            <w:gridSpan w:val="3"/>
          </w:tcPr>
          <w:p>
            <w:pPr>
              <w:ind w:left="180"/>
              <w:spacing w:after="0"/>
              <w:rPr>
                <w:sz w:val="20"/>
                <w:szCs w:val="20"/>
                <w:color w:val="auto"/>
              </w:rPr>
            </w:pPr>
            <w:r>
              <w:rPr>
                <w:rFonts w:ascii="Arial" w:cs="Arial" w:eastAsia="Arial" w:hAnsi="Arial"/>
                <w:sz w:val="15"/>
                <w:szCs w:val="15"/>
                <w:color w:val="auto"/>
              </w:rPr>
              <w:t>—   $</w:t>
            </w:r>
          </w:p>
        </w:tc>
        <w:tc>
          <w:tcPr>
            <w:tcW w:w="400" w:type="dxa"/>
            <w:vAlign w:val="bottom"/>
          </w:tcPr>
          <w:p>
            <w:pPr>
              <w:jc w:val="right"/>
              <w:spacing w:after="0"/>
              <w:rPr>
                <w:sz w:val="20"/>
                <w:szCs w:val="20"/>
                <w:color w:val="auto"/>
              </w:rPr>
            </w:pPr>
            <w:r>
              <w:rPr>
                <w:rFonts w:ascii="Arial" w:cs="Arial" w:eastAsia="Arial" w:hAnsi="Arial"/>
                <w:sz w:val="15"/>
                <w:szCs w:val="15"/>
                <w:color w:val="auto"/>
                <w:w w:val="85"/>
              </w:rPr>
              <w:t>6,563</w:t>
            </w:r>
          </w:p>
        </w:tc>
        <w:tc>
          <w:tcPr>
            <w:tcW w:w="120" w:type="dxa"/>
            <w:vAlign w:val="bottom"/>
          </w:tcPr>
          <w:p>
            <w:pPr>
              <w:spacing w:after="0"/>
              <w:rPr>
                <w:sz w:val="16"/>
                <w:szCs w:val="16"/>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6,563</w:t>
            </w:r>
          </w:p>
        </w:tc>
      </w:tr>
      <w:tr>
        <w:trPr>
          <w:trHeight w:val="30"/>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Earnout liabilities</w:t>
            </w:r>
          </w:p>
        </w:tc>
        <w:tc>
          <w:tcPr>
            <w:tcW w:w="10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3"/>
            <w:shd w:val="clear" w:color="auto" w:fill="CCEEFF"/>
          </w:tcPr>
          <w:p>
            <w:pPr>
              <w:jc w:val="right"/>
              <w:ind w:right="1186"/>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CCEEFF"/>
            </w:tcBorders>
            <w:gridSpan w:val="3"/>
            <w:shd w:val="clear" w:color="auto" w:fill="CCEEFF"/>
          </w:tcPr>
          <w:p>
            <w:pPr>
              <w:jc w:val="right"/>
              <w:ind w:right="1186"/>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4,291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4,291</w:t>
            </w:r>
          </w:p>
        </w:tc>
      </w:tr>
      <w:tr>
        <w:trPr>
          <w:trHeight w:val="192"/>
        </w:trPr>
        <w:tc>
          <w:tcPr>
            <w:tcW w:w="5000" w:type="dxa"/>
            <w:vAlign w:val="bottom"/>
          </w:tcPr>
          <w:p>
            <w:pPr>
              <w:ind w:left="140"/>
              <w:spacing w:after="0"/>
              <w:rPr>
                <w:sz w:val="20"/>
                <w:szCs w:val="20"/>
                <w:color w:val="auto"/>
              </w:rPr>
            </w:pPr>
            <w:r>
              <w:rPr>
                <w:rFonts w:ascii="Arial" w:cs="Arial" w:eastAsia="Arial" w:hAnsi="Arial"/>
                <w:sz w:val="15"/>
                <w:szCs w:val="15"/>
                <w:color w:val="auto"/>
              </w:rPr>
              <w:t>Assets:</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Short term investments</w:t>
            </w:r>
          </w:p>
        </w:tc>
        <w:tc>
          <w:tcPr>
            <w:tcW w:w="10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18,028</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3"/>
            <w:shd w:val="clear" w:color="auto" w:fill="CCEEFF"/>
          </w:tcPr>
          <w:p>
            <w:pPr>
              <w:jc w:val="right"/>
              <w:ind w:right="1186"/>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18,028</w:t>
            </w:r>
          </w:p>
        </w:tc>
      </w:tr>
      <w:tr>
        <w:trPr>
          <w:trHeight w:val="192"/>
        </w:trPr>
        <w:tc>
          <w:tcPr>
            <w:tcW w:w="5000" w:type="dxa"/>
            <w:vAlign w:val="bottom"/>
          </w:tcPr>
          <w:p>
            <w:pPr>
              <w:ind w:left="140"/>
              <w:spacing w:after="0"/>
              <w:rPr>
                <w:sz w:val="20"/>
                <w:szCs w:val="20"/>
                <w:color w:val="auto"/>
              </w:rPr>
            </w:pPr>
            <w:r>
              <w:rPr>
                <w:rFonts w:ascii="Arial" w:cs="Arial" w:eastAsia="Arial" w:hAnsi="Arial"/>
                <w:sz w:val="15"/>
                <w:szCs w:val="15"/>
                <w:color w:val="auto"/>
              </w:rPr>
              <w:t>Commodity swap contracts</w:t>
            </w:r>
          </w:p>
        </w:tc>
        <w:tc>
          <w:tcPr>
            <w:tcW w:w="1000" w:type="dxa"/>
            <w:vAlign w:val="bottom"/>
          </w:tcPr>
          <w:p>
            <w:pPr>
              <w:spacing w:after="0"/>
              <w:rPr>
                <w:sz w:val="16"/>
                <w:szCs w:val="16"/>
                <w:color w:val="auto"/>
              </w:rPr>
            </w:pPr>
          </w:p>
        </w:tc>
        <w:tc>
          <w:tcPr>
            <w:tcW w:w="1680" w:type="dxa"/>
            <w:vAlign w:val="bottom"/>
            <w:gridSpan w:val="3"/>
          </w:tcPr>
          <w:p>
            <w:pPr>
              <w:jc w:val="right"/>
              <w:ind w:right="1186"/>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6"/>
              <w:spacing w:after="0"/>
              <w:rPr>
                <w:sz w:val="20"/>
                <w:szCs w:val="20"/>
                <w:color w:val="auto"/>
              </w:rPr>
            </w:pPr>
            <w:r>
              <w:rPr>
                <w:rFonts w:ascii="Arial" w:cs="Arial" w:eastAsia="Arial" w:hAnsi="Arial"/>
                <w:sz w:val="15"/>
                <w:szCs w:val="15"/>
                <w:color w:val="auto"/>
              </w:rPr>
              <w:t>603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603</w:t>
            </w:r>
          </w:p>
        </w:tc>
      </w:tr>
    </w:tbl>
    <w:p>
      <w:pPr>
        <w:spacing w:after="0" w:line="301"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ind w:left="420"/>
              <w:spacing w:after="0"/>
              <w:rPr>
                <w:sz w:val="20"/>
                <w:szCs w:val="20"/>
                <w:color w:val="auto"/>
              </w:rPr>
            </w:pPr>
            <w:r>
              <w:rPr>
                <w:rFonts w:ascii="Arial" w:cs="Arial" w:eastAsia="Arial" w:hAnsi="Arial"/>
                <w:sz w:val="15"/>
                <w:szCs w:val="15"/>
                <w:b w:val="1"/>
                <w:bCs w:val="1"/>
                <w:color w:val="auto"/>
                <w:w w:val="88"/>
              </w:rPr>
              <w:t>Fair value as of December 31, 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
        </w:trPr>
        <w:tc>
          <w:tcPr>
            <w:tcW w:w="5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Level 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500"/>
              <w:spacing w:after="0"/>
              <w:rPr>
                <w:sz w:val="20"/>
                <w:szCs w:val="20"/>
                <w:color w:val="auto"/>
              </w:rPr>
            </w:pPr>
            <w:r>
              <w:rPr>
                <w:rFonts w:ascii="Arial" w:cs="Arial" w:eastAsia="Arial" w:hAnsi="Arial"/>
                <w:sz w:val="15"/>
                <w:szCs w:val="15"/>
                <w:b w:val="1"/>
                <w:bCs w:val="1"/>
                <w:color w:val="auto"/>
                <w:w w:val="90"/>
              </w:rPr>
              <w:t>Level 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rPr>
              <w:t>Level 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86"/>
              <w:spacing w:after="0"/>
              <w:rPr>
                <w:sz w:val="20"/>
                <w:szCs w:val="20"/>
                <w:color w:val="auto"/>
              </w:rPr>
            </w:pPr>
            <w:r>
              <w:rPr>
                <w:rFonts w:ascii="Arial" w:cs="Arial" w:eastAsia="Arial" w:hAnsi="Arial"/>
                <w:sz w:val="15"/>
                <w:szCs w:val="15"/>
                <w:b w:val="1"/>
                <w:bCs w:val="1"/>
                <w:color w:val="auto"/>
              </w:rPr>
              <w:t>Total</w:t>
            </w:r>
          </w:p>
        </w:tc>
      </w:tr>
      <w:tr>
        <w:trPr>
          <w:trHeight w:val="30"/>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2"/>
        </w:trPr>
        <w:tc>
          <w:tcPr>
            <w:tcW w:w="5000" w:type="dxa"/>
            <w:vAlign w:val="bottom"/>
          </w:tcPr>
          <w:p>
            <w:pPr>
              <w:ind w:left="140"/>
              <w:spacing w:after="0"/>
              <w:rPr>
                <w:sz w:val="20"/>
                <w:szCs w:val="20"/>
                <w:color w:val="auto"/>
              </w:rPr>
            </w:pPr>
            <w:r>
              <w:rPr>
                <w:rFonts w:ascii="Arial" w:cs="Arial" w:eastAsia="Arial" w:hAnsi="Arial"/>
                <w:sz w:val="15"/>
                <w:szCs w:val="15"/>
                <w:color w:val="auto"/>
              </w:rPr>
              <w:t>Asset retirement obligation</w:t>
            </w:r>
          </w:p>
        </w:tc>
        <w:tc>
          <w:tcPr>
            <w:tcW w:w="1000" w:type="dxa"/>
            <w:vAlign w:val="bottom"/>
          </w:tcPr>
          <w:p>
            <w:pPr>
              <w:jc w:val="right"/>
              <w:ind w:right="826"/>
              <w:spacing w:after="0"/>
              <w:rPr>
                <w:sz w:val="20"/>
                <w:szCs w:val="20"/>
                <w:color w:val="auto"/>
              </w:rPr>
            </w:pPr>
            <w:r>
              <w:rPr>
                <w:rFonts w:ascii="Arial" w:cs="Arial" w:eastAsia="Arial" w:hAnsi="Arial"/>
                <w:sz w:val="15"/>
                <w:szCs w:val="15"/>
                <w:color w:val="auto"/>
                <w:w w:val="95"/>
              </w:rPr>
              <w:t>$</w:t>
            </w:r>
          </w:p>
        </w:tc>
        <w:tc>
          <w:tcPr>
            <w:tcW w:w="1580" w:type="dxa"/>
            <w:vAlign w:val="bottom"/>
            <w:gridSpan w:val="3"/>
          </w:tcPr>
          <w:p>
            <w:pPr>
              <w:ind w:left="280"/>
              <w:spacing w:after="0"/>
              <w:rPr>
                <w:sz w:val="20"/>
                <w:szCs w:val="20"/>
                <w:color w:val="auto"/>
              </w:rPr>
            </w:pPr>
            <w:r>
              <w:rPr>
                <w:rFonts w:ascii="Arial" w:cs="Arial" w:eastAsia="Arial" w:hAnsi="Arial"/>
                <w:sz w:val="15"/>
                <w:szCs w:val="15"/>
                <w:color w:val="auto"/>
              </w:rPr>
              <w:t>—   $</w:t>
            </w:r>
          </w:p>
        </w:tc>
        <w:tc>
          <w:tcPr>
            <w:tcW w:w="1660" w:type="dxa"/>
            <w:vAlign w:val="bottom"/>
            <w:gridSpan w:val="3"/>
          </w:tcPr>
          <w:p>
            <w:pPr>
              <w:ind w:left="280"/>
              <w:spacing w:after="0"/>
              <w:rPr>
                <w:sz w:val="20"/>
                <w:szCs w:val="20"/>
                <w:color w:val="auto"/>
              </w:rPr>
            </w:pPr>
            <w:r>
              <w:rPr>
                <w:rFonts w:ascii="Arial" w:cs="Arial" w:eastAsia="Arial" w:hAnsi="Arial"/>
                <w:sz w:val="15"/>
                <w:szCs w:val="15"/>
                <w:color w:val="auto"/>
              </w:rPr>
              <w:t>—   $</w:t>
            </w:r>
          </w:p>
        </w:tc>
        <w:tc>
          <w:tcPr>
            <w:tcW w:w="420" w:type="dxa"/>
            <w:vAlign w:val="bottom"/>
          </w:tcPr>
          <w:p>
            <w:pPr>
              <w:jc w:val="right"/>
              <w:spacing w:after="0"/>
              <w:rPr>
                <w:sz w:val="20"/>
                <w:szCs w:val="20"/>
                <w:color w:val="auto"/>
              </w:rPr>
            </w:pPr>
            <w:r>
              <w:rPr>
                <w:rFonts w:ascii="Arial" w:cs="Arial" w:eastAsia="Arial" w:hAnsi="Arial"/>
                <w:sz w:val="15"/>
                <w:szCs w:val="15"/>
                <w:color w:val="auto"/>
                <w:w w:val="90"/>
              </w:rPr>
              <w:t>6,256</w:t>
            </w:r>
          </w:p>
        </w:tc>
        <w:tc>
          <w:tcPr>
            <w:tcW w:w="120" w:type="dxa"/>
            <w:vAlign w:val="bottom"/>
          </w:tcPr>
          <w:p>
            <w:pPr>
              <w:spacing w:after="0"/>
              <w:rPr>
                <w:sz w:val="16"/>
                <w:szCs w:val="16"/>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6,256</w:t>
            </w:r>
          </w:p>
        </w:tc>
      </w:tr>
      <w:tr>
        <w:trPr>
          <w:trHeight w:val="30"/>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2"/>
        </w:trPr>
        <w:tc>
          <w:tcPr>
            <w:tcW w:w="5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Convertible Note Payable </w:t>
            </w:r>
            <w:r>
              <w:rPr>
                <w:rFonts w:ascii="Arial" w:cs="Arial" w:eastAsia="Arial" w:hAnsi="Arial"/>
                <w:sz w:val="19"/>
                <w:szCs w:val="19"/>
                <w:color w:val="auto"/>
                <w:vertAlign w:val="superscript"/>
              </w:rPr>
              <w:t>(1)</w:t>
            </w:r>
          </w:p>
        </w:tc>
        <w:tc>
          <w:tcPr>
            <w:tcW w:w="10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086"/>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87"/>
              </w:rPr>
              <w:t>28,528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28,528</w:t>
            </w:r>
          </w:p>
        </w:tc>
      </w:tr>
      <w:tr>
        <w:trPr>
          <w:trHeight w:val="192"/>
        </w:trPr>
        <w:tc>
          <w:tcPr>
            <w:tcW w:w="5000" w:type="dxa"/>
            <w:vAlign w:val="bottom"/>
          </w:tcPr>
          <w:p>
            <w:pPr>
              <w:ind w:left="140"/>
              <w:spacing w:after="0"/>
              <w:rPr>
                <w:sz w:val="20"/>
                <w:szCs w:val="20"/>
                <w:color w:val="auto"/>
              </w:rPr>
            </w:pPr>
            <w:r>
              <w:rPr>
                <w:rFonts w:ascii="Arial" w:cs="Arial" w:eastAsia="Arial" w:hAnsi="Arial"/>
                <w:sz w:val="15"/>
                <w:szCs w:val="15"/>
                <w:color w:val="auto"/>
              </w:rPr>
              <w:t>Put option with Meteora</w:t>
            </w:r>
          </w:p>
        </w:tc>
        <w:tc>
          <w:tcPr>
            <w:tcW w:w="1000" w:type="dxa"/>
            <w:vAlign w:val="bottom"/>
          </w:tcPr>
          <w:p>
            <w:pPr>
              <w:spacing w:after="0"/>
              <w:rPr>
                <w:sz w:val="16"/>
                <w:szCs w:val="16"/>
                <w:color w:val="auto"/>
              </w:rPr>
            </w:pPr>
          </w:p>
        </w:tc>
        <w:tc>
          <w:tcPr>
            <w:tcW w:w="1580" w:type="dxa"/>
            <w:vAlign w:val="bottom"/>
            <w:gridSpan w:val="3"/>
          </w:tcPr>
          <w:p>
            <w:pPr>
              <w:jc w:val="right"/>
              <w:ind w:right="1086"/>
              <w:spacing w:after="0"/>
              <w:rPr>
                <w:sz w:val="20"/>
                <w:szCs w:val="20"/>
                <w:color w:val="auto"/>
              </w:rPr>
            </w:pPr>
            <w:r>
              <w:rPr>
                <w:rFonts w:ascii="Arial" w:cs="Arial" w:eastAsia="Arial" w:hAnsi="Arial"/>
                <w:sz w:val="15"/>
                <w:szCs w:val="15"/>
                <w:color w:val="auto"/>
              </w:rPr>
              <w:t>—</w:t>
            </w:r>
          </w:p>
        </w:tc>
        <w:tc>
          <w:tcPr>
            <w:tcW w:w="1660" w:type="dxa"/>
            <w:vAlign w:val="bottom"/>
            <w:gridSpan w:val="3"/>
          </w:tcPr>
          <w:p>
            <w:pPr>
              <w:jc w:val="right"/>
              <w:ind w:right="1166"/>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90"/>
              </w:rPr>
              <w:t>4,466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4,466</w:t>
            </w:r>
          </w:p>
        </w:tc>
      </w:tr>
      <w:tr>
        <w:trPr>
          <w:trHeight w:val="30"/>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Commodity swap contracts</w:t>
            </w:r>
          </w:p>
        </w:tc>
        <w:tc>
          <w:tcPr>
            <w:tcW w:w="10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3"/>
            <w:shd w:val="clear" w:color="auto" w:fill="CCEEFF"/>
          </w:tcPr>
          <w:p>
            <w:pPr>
              <w:jc w:val="right"/>
              <w:ind w:right="1086"/>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192"/>
        </w:trPr>
        <w:tc>
          <w:tcPr>
            <w:tcW w:w="5000" w:type="dxa"/>
            <w:vAlign w:val="bottom"/>
          </w:tcPr>
          <w:p>
            <w:pPr>
              <w:ind w:left="140"/>
              <w:spacing w:after="0"/>
              <w:rPr>
                <w:sz w:val="20"/>
                <w:szCs w:val="20"/>
                <w:color w:val="auto"/>
              </w:rPr>
            </w:pPr>
            <w:r>
              <w:rPr>
                <w:rFonts w:ascii="Arial" w:cs="Arial" w:eastAsia="Arial" w:hAnsi="Arial"/>
                <w:sz w:val="15"/>
                <w:szCs w:val="15"/>
                <w:color w:val="auto"/>
              </w:rPr>
              <w:t>Earnout liabilities</w:t>
            </w:r>
          </w:p>
        </w:tc>
        <w:tc>
          <w:tcPr>
            <w:tcW w:w="1000" w:type="dxa"/>
            <w:vAlign w:val="bottom"/>
          </w:tcPr>
          <w:p>
            <w:pPr>
              <w:spacing w:after="0"/>
              <w:rPr>
                <w:sz w:val="16"/>
                <w:szCs w:val="16"/>
                <w:color w:val="auto"/>
              </w:rPr>
            </w:pPr>
          </w:p>
        </w:tc>
        <w:tc>
          <w:tcPr>
            <w:tcW w:w="1580" w:type="dxa"/>
            <w:vAlign w:val="bottom"/>
            <w:gridSpan w:val="3"/>
          </w:tcPr>
          <w:p>
            <w:pPr>
              <w:jc w:val="right"/>
              <w:ind w:right="1086"/>
              <w:spacing w:after="0"/>
              <w:rPr>
                <w:sz w:val="20"/>
                <w:szCs w:val="20"/>
                <w:color w:val="auto"/>
              </w:rPr>
            </w:pPr>
            <w:r>
              <w:rPr>
                <w:rFonts w:ascii="Arial" w:cs="Arial" w:eastAsia="Arial" w:hAnsi="Arial"/>
                <w:sz w:val="15"/>
                <w:szCs w:val="15"/>
                <w:color w:val="auto"/>
              </w:rPr>
              <w:t>—</w:t>
            </w:r>
          </w:p>
        </w:tc>
        <w:tc>
          <w:tcPr>
            <w:tcW w:w="1660" w:type="dxa"/>
            <w:vAlign w:val="bottom"/>
            <w:gridSpan w:val="3"/>
          </w:tcPr>
          <w:p>
            <w:pPr>
              <w:jc w:val="right"/>
              <w:ind w:right="1166"/>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90"/>
              </w:rPr>
              <w:t>8,790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8,790</w:t>
            </w:r>
          </w:p>
        </w:tc>
      </w:tr>
      <w:tr>
        <w:trPr>
          <w:trHeight w:val="30"/>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0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2"/>
        </w:trPr>
        <w:tc>
          <w:tcPr>
            <w:tcW w:w="5000" w:type="dxa"/>
            <w:vAlign w:val="bottom"/>
          </w:tcPr>
          <w:p>
            <w:pPr>
              <w:ind w:left="140"/>
              <w:spacing w:after="0"/>
              <w:rPr>
                <w:sz w:val="20"/>
                <w:szCs w:val="20"/>
                <w:color w:val="auto"/>
              </w:rPr>
            </w:pPr>
            <w:r>
              <w:rPr>
                <w:rFonts w:ascii="Arial" w:cs="Arial" w:eastAsia="Arial" w:hAnsi="Arial"/>
                <w:sz w:val="15"/>
                <w:szCs w:val="15"/>
                <w:color w:val="auto"/>
              </w:rPr>
              <w:t>Short term investments</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7"/>
              </w:rPr>
              <w:t>64,976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right"/>
              <w:ind w:right="1166"/>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64,976</w:t>
            </w:r>
          </w:p>
        </w:tc>
      </w:tr>
      <w:tr>
        <w:trPr>
          <w:trHeight w:val="30"/>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Swaption</w:t>
            </w:r>
          </w:p>
        </w:tc>
        <w:tc>
          <w:tcPr>
            <w:tcW w:w="10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3"/>
            <w:shd w:val="clear" w:color="auto" w:fill="CCEEFF"/>
          </w:tcPr>
          <w:p>
            <w:pPr>
              <w:jc w:val="right"/>
              <w:ind w:right="1086"/>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182</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182</w:t>
            </w:r>
          </w:p>
        </w:tc>
      </w:tr>
      <w:tr>
        <w:trPr>
          <w:trHeight w:val="192"/>
        </w:trPr>
        <w:tc>
          <w:tcPr>
            <w:tcW w:w="5000" w:type="dxa"/>
            <w:vAlign w:val="bottom"/>
          </w:tcPr>
          <w:p>
            <w:pPr>
              <w:ind w:left="140"/>
              <w:spacing w:after="0"/>
              <w:rPr>
                <w:sz w:val="20"/>
                <w:szCs w:val="20"/>
                <w:color w:val="auto"/>
              </w:rPr>
            </w:pPr>
            <w:r>
              <w:rPr>
                <w:rFonts w:ascii="Arial" w:cs="Arial" w:eastAsia="Arial" w:hAnsi="Arial"/>
                <w:sz w:val="15"/>
                <w:szCs w:val="15"/>
                <w:color w:val="auto"/>
              </w:rPr>
              <w:t>Commodity swap contracts</w:t>
            </w:r>
          </w:p>
        </w:tc>
        <w:tc>
          <w:tcPr>
            <w:tcW w:w="1000" w:type="dxa"/>
            <w:vAlign w:val="bottom"/>
          </w:tcPr>
          <w:p>
            <w:pPr>
              <w:spacing w:after="0"/>
              <w:rPr>
                <w:sz w:val="16"/>
                <w:szCs w:val="16"/>
                <w:color w:val="auto"/>
              </w:rPr>
            </w:pPr>
          </w:p>
        </w:tc>
        <w:tc>
          <w:tcPr>
            <w:tcW w:w="1580" w:type="dxa"/>
            <w:vAlign w:val="bottom"/>
            <w:gridSpan w:val="3"/>
          </w:tcPr>
          <w:p>
            <w:pPr>
              <w:jc w:val="right"/>
              <w:ind w:right="1086"/>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
              <w:spacing w:after="0"/>
              <w:rPr>
                <w:sz w:val="20"/>
                <w:szCs w:val="20"/>
                <w:color w:val="auto"/>
              </w:rPr>
            </w:pPr>
            <w:r>
              <w:rPr>
                <w:rFonts w:ascii="Arial" w:cs="Arial" w:eastAsia="Arial" w:hAnsi="Arial"/>
                <w:sz w:val="15"/>
                <w:szCs w:val="15"/>
                <w:color w:val="auto"/>
              </w:rPr>
              <w:t>954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954</w:t>
            </w:r>
          </w:p>
        </w:tc>
      </w:tr>
    </w:tbl>
    <w:p>
      <w:pPr>
        <w:spacing w:after="0" w:line="190" w:lineRule="exact"/>
        <w:rPr>
          <w:sz w:val="20"/>
          <w:szCs w:val="20"/>
          <w:color w:val="auto"/>
        </w:rPr>
      </w:pPr>
    </w:p>
    <w:p>
      <w:pPr>
        <w:jc w:val="both"/>
        <w:ind w:left="1" w:hanging="1"/>
        <w:spacing w:after="0" w:line="267" w:lineRule="auto"/>
        <w:tabs>
          <w:tab w:leader="none" w:pos="155" w:val="left"/>
        </w:tabs>
        <w:numPr>
          <w:ilvl w:val="0"/>
          <w:numId w:val="18"/>
        </w:numPr>
        <w:rPr>
          <w:rFonts w:ascii="Arial" w:cs="Arial" w:eastAsia="Arial" w:hAnsi="Arial"/>
          <w:sz w:val="9"/>
          <w:szCs w:val="9"/>
          <w:color w:val="auto"/>
        </w:rPr>
      </w:pPr>
      <w:r>
        <w:rPr>
          <w:rFonts w:ascii="Arial" w:cs="Arial" w:eastAsia="Arial" w:hAnsi="Arial"/>
          <w:sz w:val="16"/>
          <w:szCs w:val="16"/>
          <w:color w:val="auto"/>
        </w:rPr>
        <w:t>The fair value of the Convertible Note Payable as of December 31, 2022, represents the outstanding principal and paid-in-kind interest. Therefore it did not have any unobservable inputs which required the Company to develop its own assumptions. The methodology for calculating the fair value has changed as of December 31, 2022 as the prepayment penalty was cancelled upon consummation of Business Combination. Therefore, the Convertible Note Payable has been transferred from Level 3 to Level 2.</w:t>
      </w:r>
    </w:p>
    <w:p>
      <w:pPr>
        <w:spacing w:after="0" w:line="179" w:lineRule="exact"/>
        <w:rPr>
          <w:sz w:val="20"/>
          <w:szCs w:val="20"/>
          <w:color w:val="auto"/>
        </w:rPr>
      </w:pPr>
    </w:p>
    <w:p>
      <w:pPr>
        <w:ind w:left="1"/>
        <w:spacing w:after="0" w:line="272" w:lineRule="auto"/>
        <w:rPr>
          <w:sz w:val="20"/>
          <w:szCs w:val="20"/>
          <w:color w:val="auto"/>
        </w:rPr>
      </w:pPr>
      <w:r>
        <w:rPr>
          <w:rFonts w:ascii="Arial" w:cs="Arial" w:eastAsia="Arial" w:hAnsi="Arial"/>
          <w:sz w:val="16"/>
          <w:szCs w:val="16"/>
          <w:color w:val="auto"/>
        </w:rPr>
        <w:t xml:space="preserve">A summary of changes in the fair values of the Company’s Level 3 instruments, attributable to asset retirement obligations, for the nine months ended September 30, 2023 is included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34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10. Related Parties</w:t>
      </w:r>
    </w:p>
    <w:p>
      <w:pPr>
        <w:spacing w:after="0" w:line="190" w:lineRule="exact"/>
        <w:rPr>
          <w:sz w:val="20"/>
          <w:szCs w:val="20"/>
          <w:color w:val="auto"/>
        </w:rPr>
      </w:pPr>
    </w:p>
    <w:p>
      <w:pPr>
        <w:ind w:left="301"/>
        <w:spacing w:after="0"/>
        <w:rPr>
          <w:sz w:val="20"/>
          <w:szCs w:val="20"/>
          <w:color w:val="auto"/>
        </w:rPr>
      </w:pPr>
      <w:r>
        <w:rPr>
          <w:rFonts w:ascii="Arial" w:cs="Arial" w:eastAsia="Arial" w:hAnsi="Arial"/>
          <w:sz w:val="16"/>
          <w:szCs w:val="16"/>
          <w:color w:val="auto"/>
        </w:rPr>
        <w:t>Related parties are represented by Fortistar and other affiliates, subsidiaries and other entities under common control with Fortistar or NextEra.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207010</wp:posOffset>
            </wp:positionV>
            <wp:extent cx="716978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44" w:name="page45"/>
    <w:bookmarkEnd w:id="44"/>
    <w:p>
      <w:pPr>
        <w:spacing w:after="0" w:line="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Non-Controlling Interests to Related Parties</w:t>
      </w:r>
    </w:p>
    <w:p>
      <w:pPr>
        <w:spacing w:after="0" w:line="149" w:lineRule="exact"/>
        <w:rPr>
          <w:sz w:val="20"/>
          <w:szCs w:val="20"/>
          <w:color w:val="auto"/>
        </w:rPr>
      </w:pPr>
    </w:p>
    <w:p>
      <w:pPr>
        <w:jc w:val="both"/>
        <w:ind w:firstLine="296"/>
        <w:spacing w:after="0" w:line="308" w:lineRule="auto"/>
        <w:rPr>
          <w:sz w:val="20"/>
          <w:szCs w:val="20"/>
          <w:color w:val="auto"/>
        </w:rPr>
      </w:pPr>
      <w:r>
        <w:rPr>
          <w:rFonts w:ascii="Arial" w:cs="Arial" w:eastAsia="Arial" w:hAnsi="Arial"/>
          <w:sz w:val="14"/>
          <w:szCs w:val="14"/>
          <w:color w:val="auto"/>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dividends of $656 and $1,986 for the three and nine months ended September 30, 2023, respectively. The Company recorded paid-in-kind preferred dividends of $613 and $1,820 for the three and nine months ended September 30, 2022, respectively. The Company repaid all outstanding paid-in-kind preferred dividends as of September 30, 2023. Please see Note 13. </w:t>
      </w:r>
      <w:r>
        <w:rPr>
          <w:rFonts w:ascii="Arial" w:cs="Arial" w:eastAsia="Arial" w:hAnsi="Arial"/>
          <w:sz w:val="14"/>
          <w:szCs w:val="14"/>
          <w:i w:val="1"/>
          <w:iCs w:val="1"/>
          <w:color w:val="auto"/>
        </w:rPr>
        <w:t>Redeemable non-controlling interests, Redeemable preferred non-controlling interests and Stockholders' Deficit,</w:t>
      </w:r>
      <w:r>
        <w:rPr>
          <w:rFonts w:ascii="Arial" w:cs="Arial" w:eastAsia="Arial" w:hAnsi="Arial"/>
          <w:sz w:val="14"/>
          <w:szCs w:val="14"/>
          <w:color w:val="auto"/>
        </w:rPr>
        <w:t xml:space="preserve">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Issuance of Redeemable preferred non-controlling interests</w:t>
      </w:r>
    </w:p>
    <w:p>
      <w:pPr>
        <w:spacing w:after="0" w:line="235"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6"/>
          <w:szCs w:val="16"/>
          <w:color w:val="auto"/>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paid-in-kind preferred dividends of $2,126 and $6,408 for the three and nine months ended September 30, 2023, respectively. The Company recorded paid-in-kind preferred dividends of $2,045 and $3,273 for the three and nine months ended September 30, 2022, respectively. The Company repaid all outstanding paid-in-kind preferred dividends as of September 30, 2023. Please see Note 13. </w:t>
      </w:r>
      <w:r>
        <w:rPr>
          <w:rFonts w:ascii="Arial" w:cs="Arial" w:eastAsia="Arial" w:hAnsi="Arial"/>
          <w:sz w:val="16"/>
          <w:szCs w:val="16"/>
          <w:i w:val="1"/>
          <w:iCs w:val="1"/>
          <w:color w:val="auto"/>
        </w:rPr>
        <w:t>Redeemable non-controlling interests, Redeemable preferred non-controlling interests and</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Stockholders' deficit</w:t>
      </w:r>
      <w:r>
        <w:rPr>
          <w:rFonts w:ascii="Arial" w:cs="Arial" w:eastAsia="Arial" w:hAnsi="Arial"/>
          <w:sz w:val="16"/>
          <w:szCs w:val="16"/>
          <w:color w:val="auto"/>
        </w:rPr>
        <w:t>,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and Sale agreement for Environmental Attributes</w:t>
      </w:r>
    </w:p>
    <w:p>
      <w:pPr>
        <w:spacing w:after="0" w:line="235" w:lineRule="exact"/>
        <w:rPr>
          <w:sz w:val="20"/>
          <w:szCs w:val="20"/>
          <w:color w:val="auto"/>
        </w:rPr>
      </w:pPr>
    </w:p>
    <w:p>
      <w:pPr>
        <w:jc w:val="both"/>
        <w:ind w:firstLine="591"/>
        <w:spacing w:after="0" w:line="305" w:lineRule="auto"/>
        <w:rPr>
          <w:sz w:val="20"/>
          <w:szCs w:val="20"/>
          <w:color w:val="auto"/>
        </w:rPr>
      </w:pPr>
      <w:r>
        <w:rPr>
          <w:rFonts w:ascii="Arial" w:cs="Arial" w:eastAsia="Arial" w:hAnsi="Arial"/>
          <w:sz w:val="14"/>
          <w:szCs w:val="14"/>
          <w:color w:val="auto"/>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and nine months ended September 30, 2023, the Company earned net revenues after discount and fees of $25,724 and $43,784, respectively, under this contract which were recorded as part of Revenues - RNG fuel and Fuel Station Services. For the three and nine months ended September 30, 2022, the Company earned net revenues after discount and fees of $19,336 and $49,024, respectively, which were recorded as part of Revenues - RNG fuel and Fuel Station Services. Please see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Commodity Swap Contracts Under ISDA</w:t>
      </w:r>
    </w:p>
    <w:p>
      <w:pPr>
        <w:spacing w:after="0" w:line="223"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6"/>
          <w:szCs w:val="16"/>
          <w:color w:val="auto"/>
        </w:rPr>
        <w:t xml:space="preserve">The Company entered into an ISDA agreement with NextEra in November 2019. Pursuant to the agreement, the Company enters into commodity swap contracts on a periodic basis. As of September 30, 2023 and December 31, 2022, there were three commodity swap contracts outstanding. The Company records the realized and unrealized gain (loss) on these commodity swap contracts as part of Revenues - Renewable Power. Please see Note 9. </w:t>
      </w:r>
      <w:r>
        <w:rPr>
          <w:rFonts w:ascii="Arial" w:cs="Arial" w:eastAsia="Arial" w:hAnsi="Arial"/>
          <w:sz w:val="16"/>
          <w:szCs w:val="16"/>
          <w:i w:val="1"/>
          <w:iCs w:val="1"/>
          <w:color w:val="auto"/>
        </w:rPr>
        <w:t>Derivative Financial Instruments and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for additional information. The Company recorded $1,732 and $927 as revenues earned under the commodity swap contracts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2023 and 2022. The Company recorded $5,006 and $3,196 as revenues earned under the commodity swap contracts for the nine months ended September 30, 2023 and 2022.</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Of Investments From Related Parties</w:t>
      </w:r>
    </w:p>
    <w:p>
      <w:pPr>
        <w:spacing w:after="0" w:line="149" w:lineRule="exact"/>
        <w:rPr>
          <w:sz w:val="20"/>
          <w:szCs w:val="20"/>
          <w:color w:val="auto"/>
        </w:rPr>
      </w:pPr>
    </w:p>
    <w:p>
      <w:pPr>
        <w:jc w:val="both"/>
        <w:ind w:firstLine="296"/>
        <w:spacing w:after="0" w:line="263" w:lineRule="auto"/>
        <w:rPr>
          <w:sz w:val="20"/>
          <w:szCs w:val="20"/>
          <w:color w:val="auto"/>
        </w:rPr>
      </w:pPr>
      <w:r>
        <w:rPr>
          <w:rFonts w:ascii="Arial" w:cs="Arial" w:eastAsia="Arial" w:hAnsi="Arial"/>
          <w:sz w:val="16"/>
          <w:szCs w:val="16"/>
          <w:color w:val="auto"/>
        </w:rPr>
        <w:t>In August 2021, the Company acquired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 net loss of $374 and net income of $3,034 as its share of net (loss) income for the three months ended September 30, 2023 and 2022, respectively. The Company recorded a net loss of $810 and net income of $2,478 as its share of net (loss) income for the nine months ended September 30, 2023 and 2022, respectively.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Contracts with Related Parties</w:t>
      </w:r>
    </w:p>
    <w:p>
      <w:pPr>
        <w:spacing w:after="0" w:line="149" w:lineRule="exact"/>
        <w:rPr>
          <w:sz w:val="20"/>
          <w:szCs w:val="20"/>
          <w:color w:val="auto"/>
        </w:rPr>
      </w:pPr>
    </w:p>
    <w:p>
      <w:pPr>
        <w:jc w:val="both"/>
        <w:ind w:firstLine="296"/>
        <w:spacing w:after="0" w:line="324" w:lineRule="auto"/>
        <w:rPr>
          <w:sz w:val="20"/>
          <w:szCs w:val="20"/>
          <w:color w:val="auto"/>
        </w:rPr>
      </w:pPr>
      <w:r>
        <w:rPr>
          <w:rFonts w:ascii="Arial" w:cs="Arial" w:eastAsia="Arial" w:hAnsi="Arial"/>
          <w:sz w:val="15"/>
          <w:szCs w:val="15"/>
          <w:color w:val="auto"/>
        </w:rPr>
        <w:t>In August 2020, Fuel Station Services contracted with Sunoma to dispense RNG and to generate and market the resulting RINs and LCFS credits created on behalf of the entity. Additionally, Fuel Station Services contracted with Pine Bend in December 2020 and Noble Road in March 2021 to provide the same services.</w:t>
      </w:r>
    </w:p>
    <w:p>
      <w:pPr>
        <w:spacing w:after="0" w:line="52" w:lineRule="exact"/>
        <w:rPr>
          <w:sz w:val="20"/>
          <w:szCs w:val="20"/>
          <w:color w:val="auto"/>
        </w:rPr>
      </w:pPr>
    </w:p>
    <w:p>
      <w:pPr>
        <w:jc w:val="both"/>
        <w:ind w:firstLine="296"/>
        <w:spacing w:after="0" w:line="284" w:lineRule="auto"/>
        <w:rPr>
          <w:sz w:val="20"/>
          <w:szCs w:val="20"/>
          <w:color w:val="auto"/>
        </w:rPr>
      </w:pPr>
      <w:r>
        <w:rPr>
          <w:rFonts w:ascii="Arial" w:cs="Arial" w:eastAsia="Arial" w:hAnsi="Arial"/>
          <w:sz w:val="15"/>
          <w:szCs w:val="15"/>
          <w:color w:val="auto"/>
        </w:rPr>
        <w:t>These contracts each have term of 10 years. The Company receives non-cash consideration in the form of RINs or LCFSs for providing these services and recognizes the RINs or LCFSs received as inventory based on their estimated fair value at contract inception. The Pine Bend and Noble road facilities came online in the first and third quarter of 2022. Sunoma came online in the fourth quarter of 2021. For the three months ended September 30, 2023 and 2022, the Company earned environmental processing fees of $570 and $80 net of intersegment elimination, which are included in Fuel Station Services revenues in the condensed consolidated statements of operations. For the nine months ended September 30, 2023 and 2022, the Company earned environmental processing fees of $1,711 and $322 net of intersegment elimination, which are included in Fuel Station Services revenues in the condensed consolidated statements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Agreements with Related Parties</w:t>
      </w:r>
    </w:p>
    <w:p>
      <w:pPr>
        <w:spacing w:after="0" w:line="136" w:lineRule="exact"/>
        <w:rPr>
          <w:sz w:val="20"/>
          <w:szCs w:val="20"/>
          <w:color w:val="auto"/>
        </w:rPr>
      </w:pPr>
    </w:p>
    <w:p>
      <w:pPr>
        <w:jc w:val="both"/>
        <w:ind w:firstLine="296"/>
        <w:spacing w:after="0" w:line="262" w:lineRule="auto"/>
        <w:rPr>
          <w:sz w:val="20"/>
          <w:szCs w:val="20"/>
          <w:color w:val="auto"/>
        </w:rPr>
      </w:pPr>
      <w:r>
        <w:rPr>
          <w:rFonts w:ascii="Arial" w:cs="Arial" w:eastAsia="Arial" w:hAnsi="Arial"/>
          <w:sz w:val="16"/>
          <w:szCs w:val="16"/>
          <w:color w:val="auto"/>
        </w:rPr>
        <w:t>On December 31, 2020, OPAL Fuels signed a Management, Operations, and Maintenance Services Agreement (“Administrative Services Agreement”) with Fortistar LLC ("Fortistar"), pursuant to which Fortistar provides management, operations, and maintenance services to the Company. The Administrative Services Agreement expires on December 31, 2023, unless termination occurs earlier due to dissolution of the Company or it is terminated by the Company’s secured lenders in certain circumstances. The Administrative Services Agreement provides for payment of service fees based on actual time incurred at contractually agreed rates, as well as a fixed annual payment of $580 per year adjusted annually for inflation. Additionally, the Administrative Services Agreement provides for the Company to receive credits for any services provided by the Company's employees to Fortistar. For the three and nine months ended September 30, 2023 and 2022, there have been no material services provided by the Company's employees to Fortistar.</w:t>
      </w:r>
    </w:p>
    <w:p>
      <w:pPr>
        <w:spacing w:after="0" w:line="147" w:lineRule="exact"/>
        <w:rPr>
          <w:sz w:val="20"/>
          <w:szCs w:val="20"/>
          <w:color w:val="auto"/>
        </w:rPr>
      </w:pPr>
    </w:p>
    <w:p>
      <w:pPr>
        <w:jc w:val="both"/>
        <w:ind w:firstLine="296"/>
        <w:spacing w:after="0" w:line="286" w:lineRule="auto"/>
        <w:rPr>
          <w:sz w:val="20"/>
          <w:szCs w:val="20"/>
          <w:color w:val="auto"/>
        </w:rPr>
      </w:pPr>
      <w:r>
        <w:rPr>
          <w:rFonts w:ascii="Arial" w:cs="Arial" w:eastAsia="Arial" w:hAnsi="Arial"/>
          <w:sz w:val="15"/>
          <w:szCs w:val="15"/>
          <w:color w:val="auto"/>
        </w:rPr>
        <w:t>In June 2021, the company entered into a Management Services Agreement with Costar Partners LLC (“Costar”), an affiliate of Fortistar. Pursuant to the Management Services Agreement, Costar provides information technology (“IT”) support services, software use, licensing services, management of third party infrastructure and security services and additional IT services as needed by the Company. The Management Services Agreement provides for Costar to be compensated based on actual costs incurred and licensing fees per user for certain software applications. The Management Services Agreement expires in June 2024 unless the termination occurs earlier due to dissolution of the Company or it is terminated by the Company’s secured lenders in certain circumstances.</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the various fees recorded under the agreements described above which are included in "Selling, general, and administrative"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expenses:</w:t>
      </w:r>
    </w:p>
    <w:p>
      <w:pPr>
        <w:spacing w:after="0" w:line="257"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3080" w:type="dxa"/>
            <w:vAlign w:val="bottom"/>
            <w:tcBorders>
              <w:bottom w:val="single" w:sz="8" w:color="auto"/>
            </w:tcBorders>
            <w:gridSpan w:val="5"/>
          </w:tcPr>
          <w:p>
            <w:pPr>
              <w:jc w:val="right"/>
              <w:ind w:right="178"/>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02"/>
        </w:trPr>
        <w:tc>
          <w:tcPr>
            <w:tcW w:w="44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2022</w:t>
            </w:r>
          </w:p>
        </w:tc>
      </w:tr>
      <w:tr>
        <w:trPr>
          <w:trHeight w:val="202"/>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Staffing and management services</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w:t>
            </w:r>
          </w:p>
        </w:tc>
      </w:tr>
      <w:tr>
        <w:trPr>
          <w:trHeight w:val="209"/>
        </w:trPr>
        <w:tc>
          <w:tcPr>
            <w:tcW w:w="4460" w:type="dxa"/>
            <w:vAlign w:val="bottom"/>
          </w:tcPr>
          <w:p>
            <w:pPr>
              <w:spacing w:after="0"/>
              <w:rPr>
                <w:sz w:val="20"/>
                <w:szCs w:val="20"/>
                <w:color w:val="auto"/>
              </w:rPr>
            </w:pPr>
            <w:r>
              <w:rPr>
                <w:rFonts w:ascii="Arial" w:cs="Arial" w:eastAsia="Arial" w:hAnsi="Arial"/>
                <w:sz w:val="16"/>
                <w:szCs w:val="16"/>
                <w:color w:val="auto"/>
              </w:rPr>
              <w:t>Rent - fixed compensation</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IT services</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r>
      <w:tr>
        <w:trPr>
          <w:trHeight w:val="202"/>
        </w:trPr>
        <w:tc>
          <w:tcPr>
            <w:tcW w:w="4460" w:type="dxa"/>
            <w:vAlign w:val="bottom"/>
          </w:tcPr>
          <w:p>
            <w:pPr>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3,846</w:t>
            </w:r>
          </w:p>
        </w:tc>
      </w:tr>
      <w:tr>
        <w:trPr>
          <w:trHeight w:val="20"/>
        </w:trPr>
        <w:tc>
          <w:tcPr>
            <w:tcW w:w="4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September 30, 2023 and December 31, 2022, the Company had Accounts payable, related party in the amounts of $1,365 and $1,346,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Reportable Segments and Geographic Information</w:t>
      </w:r>
    </w:p>
    <w:p>
      <w:pPr>
        <w:spacing w:after="0" w:line="153"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The Company is organized into four operating segments based on the characteristics of its renewable power generation, dispensing portfolio, and the nature of other products and services. During the first quarter of 2023, the Company changed its internal reporting to its Chief Operating Decision Makers to change the composition of revenues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5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included in our reportable segments. The internal reporting was changed to provide more visibility into our RNG fuel production and operations and to align fuel dispensing revenues with construction and service of fuel dispensing stations. Additionally, the Company changed its internal reporting to report revenues from RECs and ISCC Carbon Credits from RNG Fuel to Renewable Power segment in the current quarter. This is primarily to reflect a strategic business change to identify all revenues earned from environmental attributes generated from Renewable Power facilities in the same segment.</w:t>
      </w:r>
    </w:p>
    <w:p>
      <w:pPr>
        <w:spacing w:after="0" w:line="93"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Therefore, the Company reclassified the revenues and the corresponding cost of sales for CNG tolling business which were previously presented as part of Revenues - RNG Fuel and Cost of sales - RNG Fuel to Revenues - Fuel station services and Cost of sales - Fuel station services, respectively. The Company reclassified revenues earned from sale of RECs and ISCC Carbon Credits from Revenues - RNG Fuel to Revenues - Renewable Power. The Company also adjusted the revenues and cost of sales for the prior year period presented for comparison purposes.</w:t>
      </w:r>
    </w:p>
    <w:p>
      <w:pPr>
        <w:spacing w:after="0" w:line="105"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For the three months ended September 30, 2023 and 2022, the Company classified revenues from its fuel dispensing business of $16,852 and $12,545, respectively, as part of Revenues - Fuel station services. For the nine months ended September 30, 2023, the Company classified revenues from fuel dispensing business of $35,103 and $31,852, respectively, as part of Revenues - Fuel station services.</w:t>
      </w:r>
    </w:p>
    <w:p>
      <w:pPr>
        <w:spacing w:after="0" w:line="99"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For the three months ended September 30, 2023 and 2022, the Company classified revenues from the sale of environmental attributes generated from Renewable Power facilities of $4,539 and $1,543, respectively, as part of Revenues - Renewable Power. For the nine months ended September 30, 2023 and 2022, the Company classified revenues from the sale of environmental attributes generated from Renewable Power facilities of $15,783 and $2,528, respectively, as part of Revenues - Renewable Power.</w:t>
      </w:r>
    </w:p>
    <w:p>
      <w:pPr>
        <w:spacing w:after="0" w:line="93"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For the three months ended September 30, 2023 and 2022, the Company classified cost of sales related to fuel dispensing business of $11,703 and $10,088, respectively as part of Cost of sales - Fuel station services. For the nine months ended September 30, 2023 and 2022, the Company classified cost of sales related to the fuel dispensing business of $28,527 and $24,801, respectively as part of Cost of sales - Fuel station services.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aligned our reportable segments disclosure to align with the information and internal reporting that is provided to our Chief Operating Decision Makers.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Therefore, the Company reassessed its reportable segments and revised all the prior periods to make the segment disclosures comparable.</w:t>
      </w:r>
    </w:p>
    <w:p>
      <w:pPr>
        <w:spacing w:after="0" w:line="84" w:lineRule="exact"/>
        <w:rPr>
          <w:sz w:val="20"/>
          <w:szCs w:val="20"/>
          <w:color w:val="auto"/>
        </w:rPr>
      </w:pPr>
    </w:p>
    <w:p>
      <w:pPr>
        <w:ind w:left="740" w:hanging="446"/>
        <w:spacing w:after="0" w:line="278" w:lineRule="auto"/>
        <w:tabs>
          <w:tab w:leader="none" w:pos="736"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RNG Fuel. </w:t>
      </w:r>
      <w:r>
        <w:rPr>
          <w:rFonts w:ascii="Arial" w:cs="Arial" w:eastAsia="Arial" w:hAnsi="Arial"/>
          <w:sz w:val="16"/>
          <w:szCs w:val="16"/>
          <w:color w:val="auto"/>
        </w:rPr>
        <w:t>The RNG Fuel segment relates to all RNG supply directly related to the generation and sale of brown gas and environmental credits, and consists</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p>
    <w:p>
      <w:pPr>
        <w:spacing w:after="0" w:line="267" w:lineRule="exact"/>
        <w:rPr>
          <w:rFonts w:ascii="Arial" w:cs="Arial" w:eastAsia="Arial" w:hAnsi="Arial"/>
          <w:sz w:val="16"/>
          <w:szCs w:val="16"/>
          <w:color w:val="auto"/>
        </w:rPr>
      </w:pPr>
    </w:p>
    <w:p>
      <w:pPr>
        <w:ind w:left="1320" w:right="520" w:hanging="434"/>
        <w:spacing w:after="0" w:line="250" w:lineRule="auto"/>
        <w:tabs>
          <w:tab w:leader="none" w:pos="1317"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Development and construction – RNG facilities in which long term gas right contracts have been, or are in the process of being ratified and the construction of RNG generation facilities.</w:t>
      </w:r>
    </w:p>
    <w:p>
      <w:pPr>
        <w:ind w:left="1320" w:hanging="434"/>
        <w:spacing w:after="0"/>
        <w:tabs>
          <w:tab w:leader="none" w:pos="13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RNG supply operating facilities – This includes the generation, extraction, and sale of RNG - plus associated RINs and LCFSs from landfills.</w:t>
      </w:r>
    </w:p>
    <w:p>
      <w:pPr>
        <w:spacing w:after="0" w:line="320" w:lineRule="exact"/>
        <w:rPr>
          <w:sz w:val="20"/>
          <w:szCs w:val="20"/>
          <w:color w:val="auto"/>
        </w:rPr>
      </w:pPr>
    </w:p>
    <w:p>
      <w:pPr>
        <w:jc w:val="both"/>
        <w:ind w:firstLine="148"/>
        <w:spacing w:after="0" w:line="265" w:lineRule="auto"/>
        <w:rPr>
          <w:sz w:val="20"/>
          <w:szCs w:val="20"/>
          <w:color w:val="auto"/>
        </w:rPr>
      </w:pPr>
      <w:r>
        <w:rPr>
          <w:rFonts w:ascii="Arial" w:cs="Arial" w:eastAsia="Arial" w:hAnsi="Arial"/>
          <w:sz w:val="16"/>
          <w:szCs w:val="16"/>
          <w:color w:val="auto"/>
        </w:rPr>
        <w:t>For the three and nine months ended September 30, 2023 and 2022, the Company has accounted for its interests in Pine Bend, Reynolds and Noble Road under the equity method of accounting and the results of operations of Beacon, New River, Central Valley and Sunoma were consolidated in its condensed consolidated statement of operations. As of May 30, 2023, the Company deconsolidated Emerald and Sapphire. As a result, the Company consolidated Emerald and Sapphire for the period between January 1, 2023 and May 30, 2023 and recorded its ownership interests in Paragon which includes Emerald and Sapphire as equity method investment for the period between May 30, 2023 and September 30, 2023.</w:t>
      </w:r>
    </w:p>
    <w:p>
      <w:pPr>
        <w:spacing w:after="0" w:line="69" w:lineRule="exact"/>
        <w:rPr>
          <w:sz w:val="20"/>
          <w:szCs w:val="20"/>
          <w:color w:val="auto"/>
        </w:rPr>
      </w:pPr>
    </w:p>
    <w:p>
      <w:pPr>
        <w:jc w:val="both"/>
        <w:ind w:firstLine="148"/>
        <w:spacing w:after="0" w:line="288" w:lineRule="auto"/>
        <w:rPr>
          <w:sz w:val="20"/>
          <w:szCs w:val="20"/>
          <w:color w:val="auto"/>
        </w:rPr>
      </w:pPr>
      <w:r>
        <w:rPr>
          <w:rFonts w:ascii="Arial" w:cs="Arial" w:eastAsia="Arial" w:hAnsi="Arial"/>
          <w:sz w:val="16"/>
          <w:szCs w:val="16"/>
          <w:color w:val="auto"/>
        </w:rPr>
        <w:t>As of September 30, 2023, Central Valley, and Sapphire are not operational. Sunoma became operational in December 2021, Noble Road in January 2022, New River in April 2022 and Pine Bend in September 2022. Emerald began commercial operations in the third quarter of 2023.</w:t>
      </w:r>
    </w:p>
    <w:p>
      <w:pPr>
        <w:spacing w:after="0" w:line="72" w:lineRule="exact"/>
        <w:rPr>
          <w:sz w:val="20"/>
          <w:szCs w:val="20"/>
          <w:color w:val="auto"/>
        </w:rPr>
      </w:pPr>
    </w:p>
    <w:p>
      <w:pPr>
        <w:ind w:left="740" w:hanging="446"/>
        <w:spacing w:after="0" w:line="329" w:lineRule="auto"/>
        <w:tabs>
          <w:tab w:leader="none" w:pos="736" w:val="left"/>
        </w:tabs>
        <w:numPr>
          <w:ilvl w:val="0"/>
          <w:numId w:val="20"/>
        </w:numPr>
        <w:rPr>
          <w:rFonts w:ascii="Arial" w:cs="Arial" w:eastAsia="Arial" w:hAnsi="Arial"/>
          <w:sz w:val="15"/>
          <w:szCs w:val="15"/>
          <w:color w:val="auto"/>
        </w:rPr>
      </w:pPr>
      <w:r>
        <w:rPr>
          <w:rFonts w:ascii="Arial" w:cs="Arial" w:eastAsia="Arial" w:hAnsi="Arial"/>
          <w:sz w:val="15"/>
          <w:szCs w:val="15"/>
          <w:b w:val="1"/>
          <w:bCs w:val="1"/>
          <w:color w:val="auto"/>
        </w:rPr>
        <w:t xml:space="preserve">Fuel Station Services. </w:t>
      </w:r>
      <w:r>
        <w:rPr>
          <w:rFonts w:ascii="Arial" w:cs="Arial" w:eastAsia="Arial" w:hAnsi="Arial"/>
          <w:sz w:val="15"/>
          <w:szCs w:val="15"/>
          <w:color w:val="auto"/>
        </w:rPr>
        <w:t>Through its Fuel Station Services segment</w:t>
      </w:r>
      <w:r>
        <w:rPr>
          <w:rFonts w:ascii="Arial" w:cs="Arial" w:eastAsia="Arial" w:hAnsi="Arial"/>
          <w:sz w:val="15"/>
          <w:szCs w:val="15"/>
          <w:b w:val="1"/>
          <w:bCs w:val="1"/>
          <w:color w:val="auto"/>
        </w:rPr>
        <w:t>, t</w:t>
      </w:r>
      <w:r>
        <w:rPr>
          <w:rFonts w:ascii="Arial" w:cs="Arial" w:eastAsia="Arial" w:hAnsi="Arial"/>
          <w:sz w:val="15"/>
          <w:szCs w:val="15"/>
          <w:color w:val="auto"/>
        </w:rPr>
        <w:t>he Company provides construction and maintenance services to third-party owners of</w:t>
      </w:r>
      <w:r>
        <w:rPr>
          <w:rFonts w:ascii="Arial" w:cs="Arial" w:eastAsia="Arial" w:hAnsi="Arial"/>
          <w:sz w:val="15"/>
          <w:szCs w:val="15"/>
          <w:b w:val="1"/>
          <w:bCs w:val="1"/>
          <w:color w:val="auto"/>
        </w:rPr>
        <w:t xml:space="preserve"> </w:t>
      </w:r>
      <w:r>
        <w:rPr>
          <w:rFonts w:ascii="Arial" w:cs="Arial" w:eastAsia="Arial" w:hAnsi="Arial"/>
          <w:sz w:val="15"/>
          <w:szCs w:val="15"/>
          <w:color w:val="auto"/>
        </w:rPr>
        <w:t>vehicle Fueling Stations and performs fuel dispensing activities including generation and minting of environmental credits. This segment includes:</w:t>
      </w:r>
    </w:p>
    <w:p>
      <w:pPr>
        <w:spacing w:after="0" w:line="48" w:lineRule="exact"/>
        <w:rPr>
          <w:rFonts w:ascii="Arial" w:cs="Arial" w:eastAsia="Arial" w:hAnsi="Arial"/>
          <w:sz w:val="15"/>
          <w:szCs w:val="15"/>
          <w:color w:val="auto"/>
        </w:rPr>
      </w:pPr>
    </w:p>
    <w:p>
      <w:pPr>
        <w:ind w:left="1320" w:hanging="434"/>
        <w:spacing w:after="0" w:line="272" w:lineRule="auto"/>
        <w:tabs>
          <w:tab w:leader="none" w:pos="1329" w:val="left"/>
        </w:tabs>
        <w:numPr>
          <w:ilvl w:val="1"/>
          <w:numId w:val="20"/>
        </w:numPr>
        <w:rPr>
          <w:rFonts w:ascii="Arial" w:cs="Arial" w:eastAsia="Arial" w:hAnsi="Arial"/>
          <w:sz w:val="16"/>
          <w:szCs w:val="16"/>
          <w:color w:val="auto"/>
        </w:rPr>
      </w:pPr>
      <w:r>
        <w:rPr>
          <w:rFonts w:ascii="Arial" w:cs="Arial" w:eastAsia="Arial" w:hAnsi="Arial"/>
          <w:sz w:val="16"/>
          <w:szCs w:val="16"/>
          <w:color w:val="auto"/>
        </w:rPr>
        <w:t>Service and maintenance contracts for RNG/CNG fueling sites and a manufacturing division that builds Compact Fueling Systems and Defueling systems.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 w:lineRule="exact"/>
        <w:rPr>
          <w:sz w:val="20"/>
          <w:szCs w:val="20"/>
          <w:color w:val="auto"/>
        </w:rPr>
      </w:pPr>
    </w:p>
    <w:p>
      <w:pPr>
        <w:ind w:left="1320" w:hanging="434"/>
        <w:spacing w:after="0" w:line="256" w:lineRule="auto"/>
        <w:tabs>
          <w:tab w:leader="none" w:pos="1329"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Third Party CNG Construction of Fueling Stations - design/build and serve as general contractor for typically Guarantee Maximum Price or fixed priced contracts for customers usually lasting less than one year.</w:t>
      </w:r>
    </w:p>
    <w:p>
      <w:pPr>
        <w:jc w:val="both"/>
        <w:ind w:left="1320" w:hanging="434"/>
        <w:spacing w:after="0" w:line="249" w:lineRule="auto"/>
        <w:tabs>
          <w:tab w:leader="none" w:pos="1329" w:val="left"/>
        </w:tabs>
        <w:numPr>
          <w:ilvl w:val="1"/>
          <w:numId w:val="21"/>
        </w:numPr>
        <w:rPr>
          <w:rFonts w:ascii="Arial" w:cs="Arial" w:eastAsia="Arial" w:hAnsi="Arial"/>
          <w:sz w:val="16"/>
          <w:szCs w:val="16"/>
          <w:color w:val="auto"/>
        </w:rPr>
      </w:pPr>
      <w:r>
        <w:rPr>
          <w:rFonts w:ascii="Arial" w:cs="Arial" w:eastAsia="Arial" w:hAnsi="Arial"/>
          <w:sz w:val="16"/>
          <w:szCs w:val="16"/>
          <w:color w:val="auto"/>
        </w:rPr>
        <w:t>RNG and CNG fuel dispensing stations for vehicle fleets - This includes both the dispensing and sale of brown gas and the environmental credit generation and monetization. The Company operates Fueling Stations that dispense gas for vehicles. This also includes the development and construction of these facilities.</w:t>
      </w:r>
    </w:p>
    <w:p>
      <w:pPr>
        <w:spacing w:after="0" w:line="200" w:lineRule="exact"/>
        <w:rPr>
          <w:rFonts w:ascii="Arial" w:cs="Arial" w:eastAsia="Arial" w:hAnsi="Arial"/>
          <w:sz w:val="16"/>
          <w:szCs w:val="16"/>
          <w:color w:val="auto"/>
        </w:rPr>
      </w:pPr>
    </w:p>
    <w:p>
      <w:pPr>
        <w:ind w:left="740" w:hanging="446"/>
        <w:spacing w:after="0" w:line="278" w:lineRule="auto"/>
        <w:tabs>
          <w:tab w:leader="none" w:pos="736"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Renewable Power Portfolio. </w:t>
      </w:r>
      <w:r>
        <w:rPr>
          <w:rFonts w:ascii="Arial" w:cs="Arial" w:eastAsia="Arial" w:hAnsi="Arial"/>
          <w:sz w:val="16"/>
          <w:szCs w:val="16"/>
          <w:color w:val="auto"/>
        </w:rPr>
        <w:t>The Renewable Power portfolio segment generates renewable power through methane-rich landfills which is then sold to public</w:t>
      </w:r>
      <w:r>
        <w:rPr>
          <w:rFonts w:ascii="Arial" w:cs="Arial" w:eastAsia="Arial" w:hAnsi="Arial"/>
          <w:sz w:val="16"/>
          <w:szCs w:val="16"/>
          <w:b w:val="1"/>
          <w:bCs w:val="1"/>
          <w:color w:val="auto"/>
        </w:rPr>
        <w:t xml:space="preserve"> </w:t>
      </w:r>
      <w:r>
        <w:rPr>
          <w:rFonts w:ascii="Arial" w:cs="Arial" w:eastAsia="Arial" w:hAnsi="Arial"/>
          <w:sz w:val="16"/>
          <w:szCs w:val="16"/>
          <w:color w:val="auto"/>
        </w:rPr>
        <w:t>utilities throughout the United States. The Renewable Power portfolio operates primarily in Southern California.</w:t>
      </w:r>
    </w:p>
    <w:p>
      <w:pPr>
        <w:spacing w:after="0" w:line="165" w:lineRule="exact"/>
        <w:rPr>
          <w:rFonts w:ascii="Arial" w:cs="Arial" w:eastAsia="Arial" w:hAnsi="Arial"/>
          <w:sz w:val="16"/>
          <w:szCs w:val="16"/>
          <w:color w:val="auto"/>
        </w:rPr>
      </w:pPr>
    </w:p>
    <w:p>
      <w:pPr>
        <w:ind w:left="740" w:hanging="446"/>
        <w:spacing w:after="0"/>
        <w:tabs>
          <w:tab w:leader="none" w:pos="74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w:t>
      </w:r>
      <w:r>
        <w:rPr>
          <w:rFonts w:ascii="Arial" w:cs="Arial" w:eastAsia="Arial" w:hAnsi="Arial"/>
          <w:sz w:val="16"/>
          <w:szCs w:val="16"/>
          <w:color w:val="auto"/>
        </w:rPr>
        <w:t>This segment consists of activities managed and maintained at the Company corporate level primarily including but not limited to:</w:t>
      </w:r>
    </w:p>
    <w:p>
      <w:pPr>
        <w:spacing w:after="0" w:line="18" w:lineRule="exact"/>
        <w:rPr>
          <w:rFonts w:ascii="Arial" w:cs="Arial" w:eastAsia="Arial" w:hAnsi="Arial"/>
          <w:sz w:val="16"/>
          <w:szCs w:val="16"/>
          <w:b w:val="1"/>
          <w:bCs w:val="1"/>
          <w:color w:val="auto"/>
        </w:rPr>
      </w:pPr>
    </w:p>
    <w:p>
      <w:pPr>
        <w:ind w:left="1320" w:hanging="434"/>
        <w:spacing w:after="0"/>
        <w:tabs>
          <w:tab w:leader="none" w:pos="13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Executive, accounting, finance, sales activities such as: payroll, stock compensation expense, travel and other related costs.</w:t>
      </w:r>
    </w:p>
    <w:p>
      <w:pPr>
        <w:ind w:left="1320" w:hanging="434"/>
        <w:spacing w:after="0"/>
        <w:tabs>
          <w:tab w:leader="none" w:pos="13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Insurance, professional fees (audit, tax, legal etc.).</w:t>
      </w:r>
    </w:p>
    <w:p>
      <w:pPr>
        <w:spacing w:after="0" w:line="122"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86"/>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4760" w:type="dxa"/>
            <w:vAlign w:val="bottom"/>
          </w:tcPr>
          <w:p>
            <w:pPr>
              <w:spacing w:after="0"/>
              <w:rPr>
                <w:sz w:val="17"/>
                <w:szCs w:val="17"/>
                <w:color w:val="auto"/>
              </w:rPr>
            </w:pPr>
          </w:p>
        </w:tc>
        <w:tc>
          <w:tcPr>
            <w:tcW w:w="2480" w:type="dxa"/>
            <w:vAlign w:val="bottom"/>
            <w:gridSpan w:val="6"/>
          </w:tcPr>
          <w:p>
            <w:pPr>
              <w:jc w:val="right"/>
              <w:ind w:right="140"/>
              <w:spacing w:after="0"/>
              <w:rPr>
                <w:sz w:val="20"/>
                <w:szCs w:val="20"/>
                <w:color w:val="auto"/>
              </w:rPr>
            </w:pPr>
            <w:r>
              <w:rPr>
                <w:rFonts w:ascii="Arial" w:cs="Arial" w:eastAsia="Arial" w:hAnsi="Arial"/>
                <w:sz w:val="15"/>
                <w:szCs w:val="15"/>
                <w:b w:val="1"/>
                <w:bCs w:val="1"/>
                <w:color w:val="auto"/>
                <w:w w:val="90"/>
              </w:rPr>
              <w:t>Three Months Ended September 30,</w:t>
            </w: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Pr>
          <w:p>
            <w:pPr>
              <w:spacing w:after="0"/>
              <w:rPr>
                <w:sz w:val="17"/>
                <w:szCs w:val="17"/>
                <w:color w:val="auto"/>
              </w:rPr>
            </w:pPr>
          </w:p>
        </w:tc>
      </w:tr>
      <w:tr>
        <w:trPr>
          <w:trHeight w:val="192"/>
        </w:trPr>
        <w:tc>
          <w:tcPr>
            <w:tcW w:w="476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2022</w:t>
            </w:r>
          </w:p>
        </w:tc>
      </w:tr>
      <w:tr>
        <w:trPr>
          <w:trHeight w:val="30"/>
        </w:trPr>
        <w:tc>
          <w:tcPr>
            <w:tcW w:w="4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2"/>
        </w:trPr>
        <w:tc>
          <w:tcPr>
            <w:tcW w:w="4760" w:type="dxa"/>
            <w:vAlign w:val="bottom"/>
          </w:tcPr>
          <w:p>
            <w:pPr>
              <w:ind w:left="100"/>
              <w:spacing w:after="0"/>
              <w:rPr>
                <w:sz w:val="20"/>
                <w:szCs w:val="20"/>
                <w:color w:val="auto"/>
              </w:rPr>
            </w:pPr>
            <w:r>
              <w:rPr>
                <w:rFonts w:ascii="Arial" w:cs="Arial" w:eastAsia="Arial" w:hAnsi="Arial"/>
                <w:sz w:val="15"/>
                <w:szCs w:val="15"/>
                <w:color w:val="auto"/>
              </w:rPr>
              <w:t>Renewable Power</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20"/>
                <w:szCs w:val="20"/>
                <w:color w:val="auto"/>
              </w:rPr>
            </w:pPr>
            <w:r>
              <w:rPr>
                <w:rFonts w:ascii="Arial" w:cs="Arial" w:eastAsia="Arial" w:hAnsi="Arial"/>
                <w:sz w:val="15"/>
                <w:szCs w:val="15"/>
                <w:color w:val="auto"/>
              </w:rPr>
              <w:t>13,708</w:t>
            </w:r>
          </w:p>
        </w:tc>
        <w:tc>
          <w:tcPr>
            <w:tcW w:w="80" w:type="dxa"/>
            <w:vAlign w:val="bottom"/>
          </w:tcPr>
          <w:p>
            <w:pPr>
              <w:spacing w:after="0"/>
              <w:rPr>
                <w:sz w:val="16"/>
                <w:szCs w:val="16"/>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49,737</w:t>
            </w:r>
          </w:p>
        </w:tc>
        <w:tc>
          <w:tcPr>
            <w:tcW w:w="80" w:type="dxa"/>
            <w:vAlign w:val="bottom"/>
          </w:tcPr>
          <w:p>
            <w:pPr>
              <w:spacing w:after="0"/>
              <w:rPr>
                <w:sz w:val="16"/>
                <w:szCs w:val="16"/>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43,543</w:t>
            </w:r>
          </w:p>
        </w:tc>
        <w:tc>
          <w:tcPr>
            <w:tcW w:w="120" w:type="dxa"/>
            <w:vAlign w:val="bottom"/>
          </w:tcPr>
          <w:p>
            <w:pPr>
              <w:spacing w:after="0"/>
              <w:rPr>
                <w:sz w:val="16"/>
                <w:szCs w:val="16"/>
                <w:color w:val="auto"/>
              </w:rPr>
            </w:pP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70,937</w:t>
            </w:r>
          </w:p>
        </w:tc>
      </w:tr>
      <w:tr>
        <w:trPr>
          <w:trHeight w:val="30"/>
        </w:trPr>
        <w:tc>
          <w:tcPr>
            <w:tcW w:w="4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2"/>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RNG Fuel</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29,551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22,788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61,395</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61,971</w:t>
            </w:r>
          </w:p>
        </w:tc>
      </w:tr>
      <w:tr>
        <w:trPr>
          <w:trHeight w:val="192"/>
        </w:trPr>
        <w:tc>
          <w:tcPr>
            <w:tcW w:w="4760" w:type="dxa"/>
            <w:vAlign w:val="bottom"/>
          </w:tcPr>
          <w:p>
            <w:pPr>
              <w:ind w:left="100"/>
              <w:spacing w:after="0"/>
              <w:rPr>
                <w:sz w:val="20"/>
                <w:szCs w:val="20"/>
                <w:color w:val="auto"/>
              </w:rPr>
            </w:pPr>
            <w:r>
              <w:rPr>
                <w:rFonts w:ascii="Arial" w:cs="Arial" w:eastAsia="Arial" w:hAnsi="Arial"/>
                <w:sz w:val="15"/>
                <w:szCs w:val="15"/>
                <w:color w:val="auto"/>
              </w:rPr>
              <w:t>Fuel Station Services</w:t>
            </w:r>
          </w:p>
        </w:tc>
        <w:tc>
          <w:tcPr>
            <w:tcW w:w="8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40,326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39,333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99,056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91,325</w:t>
            </w:r>
          </w:p>
        </w:tc>
      </w:tr>
      <w:tr>
        <w:trPr>
          <w:trHeight w:val="30"/>
        </w:trPr>
        <w:tc>
          <w:tcPr>
            <w:tcW w:w="4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2"/>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Intersegment</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2"/>
              </w:rPr>
              <w:t>(3,021)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(3,150)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(10,967)</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(8,172)</w:t>
            </w:r>
          </w:p>
        </w:tc>
      </w:tr>
      <w:tr>
        <w:trPr>
          <w:trHeight w:val="192"/>
        </w:trPr>
        <w:tc>
          <w:tcPr>
            <w:tcW w:w="4760" w:type="dxa"/>
            <w:vAlign w:val="bottom"/>
          </w:tcPr>
          <w:p>
            <w:pPr>
              <w:ind w:left="100"/>
              <w:spacing w:after="0"/>
              <w:rPr>
                <w:sz w:val="20"/>
                <w:szCs w:val="20"/>
                <w:color w:val="auto"/>
              </w:rPr>
            </w:pPr>
            <w:r>
              <w:rPr>
                <w:rFonts w:ascii="Arial" w:cs="Arial" w:eastAsia="Arial" w:hAnsi="Arial"/>
                <w:sz w:val="15"/>
                <w:szCs w:val="15"/>
                <w:color w:val="auto"/>
              </w:rPr>
              <w:t>Equity Method Investment(s)</w:t>
            </w:r>
          </w:p>
        </w:tc>
        <w:tc>
          <w:tcPr>
            <w:tcW w:w="820" w:type="dxa"/>
            <w:vAlign w:val="bottom"/>
          </w:tcPr>
          <w:p>
            <w:pPr>
              <w:spacing w:after="0"/>
              <w:rPr>
                <w:sz w:val="16"/>
                <w:szCs w:val="16"/>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auto"/>
                <w:w w:val="92"/>
              </w:rPr>
              <w:t>(9,463)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(42,158)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(23,927)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(47,247)</w:t>
            </w:r>
          </w:p>
        </w:tc>
      </w:tr>
      <w:tr>
        <w:trPr>
          <w:trHeight w:val="30"/>
        </w:trPr>
        <w:tc>
          <w:tcPr>
            <w:tcW w:w="4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9"/>
        </w:trPr>
        <w:tc>
          <w:tcPr>
            <w:tcW w:w="47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71,101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66,550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169,100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168,814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420" w:type="dxa"/>
            <w:vAlign w:val="bottom"/>
            <w:gridSpan w:val="6"/>
          </w:tcPr>
          <w:p>
            <w:pPr>
              <w:jc w:val="center"/>
              <w:ind w:right="100"/>
              <w:spacing w:after="0"/>
              <w:rPr>
                <w:sz w:val="20"/>
                <w:szCs w:val="20"/>
                <w:color w:val="auto"/>
              </w:rPr>
            </w:pPr>
            <w:r>
              <w:rPr>
                <w:rFonts w:ascii="Arial" w:cs="Arial" w:eastAsia="Arial" w:hAnsi="Arial"/>
                <w:sz w:val="15"/>
                <w:szCs w:val="15"/>
                <w:b w:val="1"/>
                <w:bCs w:val="1"/>
                <w:color w:val="auto"/>
                <w:w w:val="90"/>
              </w:rPr>
              <w:t>Three Months Ended September</w:t>
            </w:r>
          </w:p>
        </w:tc>
        <w:tc>
          <w:tcPr>
            <w:tcW w:w="320" w:type="dxa"/>
            <w:vAlign w:val="bottom"/>
          </w:tcPr>
          <w:p>
            <w:pPr>
              <w:spacing w:after="0"/>
              <w:rPr>
                <w:sz w:val="16"/>
                <w:szCs w:val="16"/>
                <w:color w:val="auto"/>
              </w:rPr>
            </w:pPr>
          </w:p>
        </w:tc>
        <w:tc>
          <w:tcPr>
            <w:tcW w:w="2420" w:type="dxa"/>
            <w:vAlign w:val="bottom"/>
            <w:gridSpan w:val="4"/>
          </w:tcPr>
          <w:p>
            <w:pPr>
              <w:jc w:val="right"/>
              <w:ind w:right="666"/>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54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30,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5"/>
                <w:szCs w:val="15"/>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2"/>
        </w:trPr>
        <w:tc>
          <w:tcPr>
            <w:tcW w:w="5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06"/>
              <w:spacing w:after="0"/>
              <w:rPr>
                <w:sz w:val="20"/>
                <w:szCs w:val="20"/>
                <w:color w:val="auto"/>
              </w:rPr>
            </w:pPr>
            <w:r>
              <w:rPr>
                <w:rFonts w:ascii="Arial" w:cs="Arial" w:eastAsia="Arial" w:hAnsi="Arial"/>
                <w:sz w:val="15"/>
                <w:szCs w:val="15"/>
                <w:b w:val="1"/>
                <w:bCs w:val="1"/>
                <w:color w:val="auto"/>
              </w:rPr>
              <w:t>2022</w:t>
            </w:r>
          </w:p>
        </w:tc>
      </w:tr>
      <w:tr>
        <w:trPr>
          <w:trHeight w:val="30"/>
        </w:trPr>
        <w:tc>
          <w:tcPr>
            <w:tcW w:w="54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2"/>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and Financing Expense, Net:</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92"/>
        </w:trPr>
        <w:tc>
          <w:tcPr>
            <w:tcW w:w="5420" w:type="dxa"/>
            <w:vAlign w:val="bottom"/>
          </w:tcPr>
          <w:p>
            <w:pPr>
              <w:ind w:left="120"/>
              <w:spacing w:after="0"/>
              <w:rPr>
                <w:sz w:val="20"/>
                <w:szCs w:val="20"/>
                <w:color w:val="auto"/>
              </w:rPr>
            </w:pPr>
            <w:r>
              <w:rPr>
                <w:rFonts w:ascii="Arial" w:cs="Arial" w:eastAsia="Arial" w:hAnsi="Arial"/>
                <w:sz w:val="15"/>
                <w:szCs w:val="15"/>
                <w:color w:val="auto"/>
              </w:rPr>
              <w:t>Renewable Power</w:t>
            </w:r>
          </w:p>
        </w:tc>
        <w:tc>
          <w:tcPr>
            <w:tcW w:w="760" w:type="dxa"/>
            <w:vAlign w:val="bottom"/>
          </w:tcPr>
          <w:p>
            <w:pPr>
              <w:jc w:val="right"/>
              <w:ind w:right="586"/>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(1,440)</w:t>
            </w:r>
          </w:p>
        </w:tc>
        <w:tc>
          <w:tcPr>
            <w:tcW w:w="100" w:type="dxa"/>
            <w:vAlign w:val="bottom"/>
          </w:tcPr>
          <w:p>
            <w:pPr>
              <w:spacing w:after="0"/>
              <w:rPr>
                <w:sz w:val="16"/>
                <w:szCs w:val="16"/>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(260)</w:t>
            </w:r>
          </w:p>
        </w:tc>
        <w:tc>
          <w:tcPr>
            <w:tcW w:w="100" w:type="dxa"/>
            <w:vAlign w:val="bottom"/>
          </w:tcPr>
          <w:p>
            <w:pPr>
              <w:spacing w:after="0"/>
              <w:rPr>
                <w:sz w:val="16"/>
                <w:szCs w:val="16"/>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(3,559)</w:t>
            </w:r>
          </w:p>
        </w:tc>
      </w:tr>
      <w:tr>
        <w:trPr>
          <w:trHeight w:val="30"/>
        </w:trPr>
        <w:tc>
          <w:tcPr>
            <w:tcW w:w="5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2"/>
        </w:trPr>
        <w:tc>
          <w:tcPr>
            <w:tcW w:w="5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RNG Fuel</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(3,243)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r>
      <w:tr>
        <w:trPr>
          <w:trHeight w:val="219"/>
        </w:trPr>
        <w:tc>
          <w:tcPr>
            <w:tcW w:w="5420" w:type="dxa"/>
            <w:vAlign w:val="bottom"/>
          </w:tcPr>
          <w:p>
            <w:pPr>
              <w:ind w:left="120"/>
              <w:spacing w:after="0"/>
              <w:rPr>
                <w:sz w:val="20"/>
                <w:szCs w:val="20"/>
                <w:color w:val="auto"/>
              </w:rPr>
            </w:pPr>
            <w:r>
              <w:rPr>
                <w:rFonts w:ascii="Arial" w:cs="Arial" w:eastAsia="Arial" w:hAnsi="Arial"/>
                <w:sz w:val="15"/>
                <w:szCs w:val="15"/>
                <w:color w:val="auto"/>
              </w:rPr>
              <w:t>Fuel Station Services</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22"/>
        </w:trPr>
        <w:tc>
          <w:tcPr>
            <w:tcW w:w="5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7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(3,385)</w:t>
            </w:r>
          </w:p>
        </w:tc>
      </w:tr>
      <w:tr>
        <w:trPr>
          <w:trHeight w:val="187"/>
        </w:trPr>
        <w:tc>
          <w:tcPr>
            <w:tcW w:w="5420" w:type="dxa"/>
            <w:vAlign w:val="bottom"/>
          </w:tcPr>
          <w:p>
            <w:pPr>
              <w:spacing w:after="0"/>
              <w:rPr>
                <w:sz w:val="16"/>
                <w:szCs w:val="16"/>
                <w:color w:val="auto"/>
              </w:rPr>
            </w:pPr>
          </w:p>
        </w:tc>
        <w:tc>
          <w:tcPr>
            <w:tcW w:w="760" w:type="dxa"/>
            <w:vAlign w:val="bottom"/>
          </w:tcPr>
          <w:p>
            <w:pPr>
              <w:jc w:val="right"/>
              <w:ind w:right="586"/>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8"/>
              </w:rPr>
              <w:t>(2,885)</w:t>
            </w:r>
          </w:p>
        </w:tc>
        <w:tc>
          <w:tcPr>
            <w:tcW w:w="8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(790)</w:t>
            </w:r>
          </w:p>
        </w:tc>
        <w:tc>
          <w:tcPr>
            <w:tcW w:w="100" w:type="dxa"/>
            <w:vAlign w:val="bottom"/>
          </w:tcPr>
          <w:p>
            <w:pPr>
              <w:spacing w:after="0"/>
              <w:rPr>
                <w:sz w:val="16"/>
                <w:szCs w:val="16"/>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(4,482)</w:t>
            </w:r>
          </w:p>
        </w:tc>
        <w:tc>
          <w:tcPr>
            <w:tcW w:w="100" w:type="dxa"/>
            <w:vAlign w:val="bottom"/>
          </w:tcPr>
          <w:p>
            <w:pPr>
              <w:spacing w:after="0"/>
              <w:rPr>
                <w:sz w:val="16"/>
                <w:szCs w:val="16"/>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(7,212)</w:t>
            </w:r>
          </w:p>
        </w:tc>
      </w:tr>
      <w:tr>
        <w:trPr>
          <w:trHeight w:val="30"/>
        </w:trPr>
        <w:tc>
          <w:tcPr>
            <w:tcW w:w="54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220" w:type="dxa"/>
            <w:vAlign w:val="bottom"/>
            <w:gridSpan w:val="6"/>
          </w:tcPr>
          <w:p>
            <w:pPr>
              <w:ind w:left="40"/>
              <w:spacing w:after="0"/>
              <w:rPr>
                <w:sz w:val="20"/>
                <w:szCs w:val="20"/>
                <w:color w:val="auto"/>
              </w:rPr>
            </w:pPr>
            <w:r>
              <w:rPr>
                <w:rFonts w:ascii="Arial" w:cs="Arial" w:eastAsia="Arial" w:hAnsi="Arial"/>
                <w:sz w:val="15"/>
                <w:szCs w:val="15"/>
                <w:b w:val="1"/>
                <w:bCs w:val="1"/>
                <w:color w:val="auto"/>
                <w:w w:val="93"/>
              </w:rPr>
              <w:t>Three Months Ended September</w:t>
            </w:r>
          </w:p>
        </w:tc>
        <w:tc>
          <w:tcPr>
            <w:tcW w:w="280" w:type="dxa"/>
            <w:vAlign w:val="bottom"/>
          </w:tcPr>
          <w:p>
            <w:pPr>
              <w:spacing w:after="0"/>
              <w:rPr>
                <w:sz w:val="15"/>
                <w:szCs w:val="15"/>
                <w:color w:val="auto"/>
              </w:rPr>
            </w:pPr>
          </w:p>
        </w:tc>
        <w:tc>
          <w:tcPr>
            <w:tcW w:w="2220" w:type="dxa"/>
            <w:vAlign w:val="bottom"/>
            <w:gridSpan w:val="4"/>
          </w:tcPr>
          <w:p>
            <w:pPr>
              <w:jc w:val="right"/>
              <w:ind w:right="546"/>
              <w:spacing w:after="0"/>
              <w:rPr>
                <w:sz w:val="20"/>
                <w:szCs w:val="20"/>
                <w:color w:val="auto"/>
              </w:rPr>
            </w:pPr>
            <w:r>
              <w:rPr>
                <w:rFonts w:ascii="Arial" w:cs="Arial" w:eastAsia="Arial" w:hAnsi="Arial"/>
                <w:sz w:val="15"/>
                <w:szCs w:val="15"/>
                <w:b w:val="1"/>
                <w:bCs w:val="1"/>
                <w:color w:val="auto"/>
              </w:rPr>
              <w:t>Nine Months Ended</w:t>
            </w:r>
          </w:p>
        </w:tc>
      </w:tr>
      <w:tr>
        <w:trPr>
          <w:trHeight w:val="192"/>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tcPr>
          <w:p>
            <w:pPr>
              <w:jc w:val="right"/>
              <w:ind w:right="126"/>
              <w:spacing w:after="0"/>
              <w:rPr>
                <w:sz w:val="20"/>
                <w:szCs w:val="20"/>
                <w:color w:val="auto"/>
              </w:rPr>
            </w:pPr>
            <w:r>
              <w:rPr>
                <w:rFonts w:ascii="Arial" w:cs="Arial" w:eastAsia="Arial" w:hAnsi="Arial"/>
                <w:sz w:val="15"/>
                <w:szCs w:val="15"/>
                <w:b w:val="1"/>
                <w:bCs w:val="1"/>
                <w:color w:val="auto"/>
              </w:rPr>
              <w:t>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80" w:type="dxa"/>
            <w:vAlign w:val="bottom"/>
          </w:tcPr>
          <w:p>
            <w:pPr>
              <w:spacing w:after="0"/>
              <w:rPr>
                <w:sz w:val="16"/>
                <w:szCs w:val="16"/>
                <w:color w:val="auto"/>
              </w:rPr>
            </w:pPr>
          </w:p>
        </w:tc>
      </w:tr>
      <w:tr>
        <w:trPr>
          <w:trHeight w:val="30"/>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4"/>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6"/>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6"/>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6"/>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86"/>
              <w:spacing w:after="0"/>
              <w:rPr>
                <w:sz w:val="20"/>
                <w:szCs w:val="20"/>
                <w:color w:val="auto"/>
              </w:rPr>
            </w:pPr>
            <w:r>
              <w:rPr>
                <w:rFonts w:ascii="Arial" w:cs="Arial" w:eastAsia="Arial" w:hAnsi="Arial"/>
                <w:sz w:val="15"/>
                <w:szCs w:val="15"/>
                <w:b w:val="1"/>
                <w:bCs w:val="1"/>
                <w:color w:val="auto"/>
                <w:w w:val="89"/>
              </w:rPr>
              <w:t>2022</w:t>
            </w:r>
          </w:p>
        </w:tc>
      </w:tr>
      <w:tr>
        <w:trPr>
          <w:trHeight w:val="30"/>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Depreciation, Amortization, and Accretion:</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2"/>
        </w:trPr>
        <w:tc>
          <w:tcPr>
            <w:tcW w:w="5180" w:type="dxa"/>
            <w:vAlign w:val="bottom"/>
          </w:tcPr>
          <w:p>
            <w:pPr>
              <w:ind w:left="160"/>
              <w:spacing w:after="0"/>
              <w:rPr>
                <w:sz w:val="20"/>
                <w:szCs w:val="20"/>
                <w:color w:val="auto"/>
              </w:rPr>
            </w:pPr>
            <w:r>
              <w:rPr>
                <w:rFonts w:ascii="Arial" w:cs="Arial" w:eastAsia="Arial" w:hAnsi="Arial"/>
                <w:sz w:val="15"/>
                <w:szCs w:val="15"/>
                <w:color w:val="auto"/>
              </w:rPr>
              <w:t>Renewable Power</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1,488</w:t>
            </w:r>
          </w:p>
        </w:tc>
        <w:tc>
          <w:tcPr>
            <w:tcW w:w="80" w:type="dxa"/>
            <w:vAlign w:val="bottom"/>
          </w:tcPr>
          <w:p>
            <w:pPr>
              <w:spacing w:after="0"/>
              <w:rPr>
                <w:sz w:val="16"/>
                <w:szCs w:val="16"/>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1,176</w:t>
            </w:r>
          </w:p>
        </w:tc>
        <w:tc>
          <w:tcPr>
            <w:tcW w:w="80" w:type="dxa"/>
            <w:vAlign w:val="bottom"/>
          </w:tcPr>
          <w:p>
            <w:pPr>
              <w:spacing w:after="0"/>
              <w:rPr>
                <w:sz w:val="16"/>
                <w:szCs w:val="16"/>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4,389</w:t>
            </w:r>
          </w:p>
        </w:tc>
        <w:tc>
          <w:tcPr>
            <w:tcW w:w="120" w:type="dxa"/>
            <w:vAlign w:val="bottom"/>
          </w:tcPr>
          <w:p>
            <w:pPr>
              <w:spacing w:after="0"/>
              <w:rPr>
                <w:sz w:val="16"/>
                <w:szCs w:val="16"/>
                <w:color w:val="auto"/>
              </w:rPr>
            </w:pP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4,283</w:t>
            </w:r>
          </w:p>
        </w:tc>
      </w:tr>
      <w:tr>
        <w:trPr>
          <w:trHeight w:val="30"/>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2"/>
        </w:trPr>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RNG Fuel</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2,492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2,461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6,808</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6,379</w:t>
            </w:r>
          </w:p>
        </w:tc>
      </w:tr>
      <w:tr>
        <w:trPr>
          <w:trHeight w:val="192"/>
        </w:trPr>
        <w:tc>
          <w:tcPr>
            <w:tcW w:w="5180" w:type="dxa"/>
            <w:vAlign w:val="bottom"/>
          </w:tcPr>
          <w:p>
            <w:pPr>
              <w:ind w:left="160"/>
              <w:spacing w:after="0"/>
              <w:rPr>
                <w:sz w:val="20"/>
                <w:szCs w:val="20"/>
                <w:color w:val="auto"/>
              </w:rPr>
            </w:pPr>
            <w:r>
              <w:rPr>
                <w:rFonts w:ascii="Arial" w:cs="Arial" w:eastAsia="Arial" w:hAnsi="Arial"/>
                <w:sz w:val="15"/>
                <w:szCs w:val="15"/>
                <w:color w:val="auto"/>
              </w:rPr>
              <w:t>Fuel Station Services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411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2,555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616</w:t>
            </w:r>
          </w:p>
        </w:tc>
      </w:tr>
      <w:tr>
        <w:trPr>
          <w:trHeight w:val="30"/>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2"/>
        </w:trPr>
        <w:tc>
          <w:tcPr>
            <w:tcW w:w="51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r>
      <w:tr>
        <w:trPr>
          <w:trHeight w:val="192"/>
        </w:trPr>
        <w:tc>
          <w:tcPr>
            <w:tcW w:w="5180" w:type="dxa"/>
            <w:vAlign w:val="bottom"/>
          </w:tcPr>
          <w:p>
            <w:pPr>
              <w:ind w:left="160"/>
              <w:spacing w:after="0"/>
              <w:rPr>
                <w:sz w:val="20"/>
                <w:szCs w:val="20"/>
                <w:color w:val="auto"/>
              </w:rPr>
            </w:pPr>
            <w:r>
              <w:rPr>
                <w:rFonts w:ascii="Arial" w:cs="Arial" w:eastAsia="Arial" w:hAnsi="Arial"/>
                <w:sz w:val="15"/>
                <w:szCs w:val="15"/>
                <w:color w:val="auto"/>
              </w:rPr>
              <w:t>Equity Method Investment(s)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(699)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(2,854)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(1,272)</w:t>
            </w:r>
          </w:p>
        </w:tc>
      </w:tr>
      <w:tr>
        <w:trPr>
          <w:trHeight w:val="30"/>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9"/>
        </w:trPr>
        <w:tc>
          <w:tcPr>
            <w:tcW w:w="5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3,739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3,380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10,934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10,101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00"/>
        <w:spacing w:after="0"/>
        <w:tabs>
          <w:tab w:leader="none" w:pos="48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Other includes amortization of intangible assets and depreciation expense not allocated to any segment.</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4"/>
          </w:tcPr>
          <w:p>
            <w:pPr>
              <w:jc w:val="right"/>
              <w:ind w:right="626"/>
              <w:spacing w:after="0"/>
              <w:rPr>
                <w:sz w:val="20"/>
                <w:szCs w:val="20"/>
                <w:color w:val="auto"/>
              </w:rPr>
            </w:pPr>
            <w:r>
              <w:rPr>
                <w:rFonts w:ascii="Arial" w:cs="Arial" w:eastAsia="Arial" w:hAnsi="Arial"/>
                <w:sz w:val="15"/>
                <w:szCs w:val="15"/>
                <w:b w:val="1"/>
                <w:bCs w:val="1"/>
                <w:color w:val="auto"/>
              </w:rPr>
              <w:t>Nine Months Ended</w:t>
            </w:r>
          </w:p>
        </w:tc>
      </w:tr>
      <w:tr>
        <w:trPr>
          <w:trHeight w:val="214"/>
        </w:trPr>
        <w:tc>
          <w:tcPr>
            <w:tcW w:w="5020" w:type="dxa"/>
            <w:vAlign w:val="bottom"/>
          </w:tcPr>
          <w:p>
            <w:pPr>
              <w:spacing w:after="0"/>
              <w:rPr>
                <w:sz w:val="18"/>
                <w:szCs w:val="18"/>
                <w:color w:val="auto"/>
              </w:rPr>
            </w:pPr>
          </w:p>
        </w:tc>
        <w:tc>
          <w:tcPr>
            <w:tcW w:w="2440" w:type="dxa"/>
            <w:vAlign w:val="bottom"/>
            <w:gridSpan w:val="6"/>
          </w:tcPr>
          <w:p>
            <w:pPr>
              <w:ind w:left="20"/>
              <w:spacing w:after="0"/>
              <w:rPr>
                <w:sz w:val="20"/>
                <w:szCs w:val="20"/>
                <w:color w:val="auto"/>
              </w:rPr>
            </w:pPr>
            <w:r>
              <w:rPr>
                <w:rFonts w:ascii="Arial" w:cs="Arial" w:eastAsia="Arial" w:hAnsi="Arial"/>
                <w:sz w:val="15"/>
                <w:szCs w:val="15"/>
                <w:b w:val="1"/>
                <w:bCs w:val="1"/>
                <w:color w:val="auto"/>
                <w:w w:val="94"/>
              </w:rPr>
              <w:t>Three Months Ended September 30,</w:t>
            </w: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40" w:type="dxa"/>
            <w:vAlign w:val="bottom"/>
          </w:tcPr>
          <w:p>
            <w:pPr>
              <w:spacing w:after="0"/>
              <w:rPr>
                <w:sz w:val="18"/>
                <w:szCs w:val="18"/>
                <w:color w:val="auto"/>
              </w:rPr>
            </w:pPr>
          </w:p>
        </w:tc>
      </w:tr>
      <w:tr>
        <w:trPr>
          <w:trHeight w:val="192"/>
        </w:trPr>
        <w:tc>
          <w:tcPr>
            <w:tcW w:w="50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426"/>
              <w:spacing w:after="0"/>
              <w:rPr>
                <w:sz w:val="20"/>
                <w:szCs w:val="20"/>
                <w:color w:val="auto"/>
              </w:rPr>
            </w:pPr>
            <w:r>
              <w:rPr>
                <w:rFonts w:ascii="Arial" w:cs="Arial" w:eastAsia="Arial" w:hAnsi="Arial"/>
                <w:sz w:val="15"/>
                <w:szCs w:val="15"/>
                <w:b w:val="1"/>
                <w:bCs w:val="1"/>
                <w:color w:val="auto"/>
                <w:w w:val="95"/>
              </w:rPr>
              <w:t>2022</w:t>
            </w:r>
          </w:p>
        </w:tc>
      </w:tr>
      <w:tr>
        <w:trPr>
          <w:trHeight w:val="30"/>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227"/>
        </w:trPr>
        <w:tc>
          <w:tcPr>
            <w:tcW w:w="5020" w:type="dxa"/>
            <w:vAlign w:val="bottom"/>
          </w:tcPr>
          <w:p>
            <w:pPr>
              <w:ind w:left="120"/>
              <w:spacing w:after="0"/>
              <w:rPr>
                <w:sz w:val="20"/>
                <w:szCs w:val="20"/>
                <w:color w:val="auto"/>
              </w:rPr>
            </w:pPr>
            <w:r>
              <w:rPr>
                <w:rFonts w:ascii="Arial" w:cs="Arial" w:eastAsia="Arial" w:hAnsi="Arial"/>
                <w:sz w:val="15"/>
                <w:szCs w:val="15"/>
                <w:color w:val="auto"/>
              </w:rPr>
              <w:t>Renewable Power</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983</w:t>
            </w:r>
          </w:p>
        </w:tc>
        <w:tc>
          <w:tcPr>
            <w:tcW w:w="80" w:type="dxa"/>
            <w:vAlign w:val="bottom"/>
          </w:tcPr>
          <w:p>
            <w:pPr>
              <w:spacing w:after="0"/>
              <w:rPr>
                <w:sz w:val="19"/>
                <w:szCs w:val="19"/>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3,483</w:t>
            </w:r>
          </w:p>
        </w:tc>
        <w:tc>
          <w:tcPr>
            <w:tcW w:w="100" w:type="dxa"/>
            <w:vAlign w:val="bottom"/>
          </w:tcPr>
          <w:p>
            <w:pPr>
              <w:spacing w:after="0"/>
              <w:rPr>
                <w:sz w:val="19"/>
                <w:szCs w:val="19"/>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10,584</w:t>
            </w:r>
          </w:p>
        </w:tc>
        <w:tc>
          <w:tcPr>
            <w:tcW w:w="120" w:type="dxa"/>
            <w:vAlign w:val="bottom"/>
          </w:tcPr>
          <w:p>
            <w:pPr>
              <w:spacing w:after="0"/>
              <w:rPr>
                <w:sz w:val="19"/>
                <w:szCs w:val="19"/>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1,314</w:t>
            </w:r>
          </w:p>
        </w:tc>
      </w:tr>
      <w:tr>
        <w:trPr>
          <w:trHeight w:val="241"/>
        </w:trPr>
        <w:tc>
          <w:tcPr>
            <w:tcW w:w="5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RNG Fuel</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21,775</w:t>
            </w:r>
          </w:p>
        </w:tc>
      </w:tr>
      <w:tr>
        <w:trPr>
          <w:trHeight w:val="227"/>
        </w:trPr>
        <w:tc>
          <w:tcPr>
            <w:tcW w:w="5020" w:type="dxa"/>
            <w:vAlign w:val="bottom"/>
          </w:tcPr>
          <w:p>
            <w:pPr>
              <w:ind w:left="120"/>
              <w:spacing w:after="0"/>
              <w:rPr>
                <w:sz w:val="20"/>
                <w:szCs w:val="20"/>
                <w:color w:val="auto"/>
              </w:rPr>
            </w:pPr>
            <w:r>
              <w:rPr>
                <w:rFonts w:ascii="Arial" w:cs="Arial" w:eastAsia="Arial" w:hAnsi="Arial"/>
                <w:sz w:val="15"/>
                <w:szCs w:val="15"/>
                <w:color w:val="auto"/>
              </w:rPr>
              <w:t>Fuel Station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11,624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7,429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12,574</w:t>
            </w:r>
          </w:p>
        </w:tc>
      </w:tr>
      <w:tr>
        <w:trPr>
          <w:trHeight w:val="241"/>
        </w:trPr>
        <w:tc>
          <w:tcPr>
            <w:tcW w:w="5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79,441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(38,761)</w:t>
            </w:r>
          </w:p>
        </w:tc>
      </w:tr>
      <w:tr>
        <w:trPr>
          <w:trHeight w:val="227"/>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Equity Method Investment(s)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3,658</w:t>
            </w:r>
          </w:p>
        </w:tc>
      </w:tr>
      <w:tr>
        <w:trPr>
          <w:trHeight w:val="246"/>
        </w:trPr>
        <w:tc>
          <w:tcPr>
            <w:tcW w:w="50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106,931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7480"/>
        <w:spacing w:after="0"/>
        <w:rPr>
          <w:sz w:val="20"/>
          <w:szCs w:val="20"/>
          <w:color w:val="auto"/>
        </w:rPr>
      </w:pPr>
      <w:r>
        <w:rPr>
          <w:rFonts w:ascii="Arial" w:cs="Arial" w:eastAsia="Arial" w:hAnsi="Arial"/>
          <w:sz w:val="15"/>
          <w:szCs w:val="15"/>
          <w:b w:val="1"/>
          <w:bCs w:val="1"/>
          <w:color w:val="auto"/>
        </w:rPr>
        <w:t>Nine Months Ended</w:t>
      </w:r>
    </w:p>
    <w:p>
      <w:pPr>
        <w:spacing w:after="0" w:line="16" w:lineRule="exact"/>
        <w:rPr>
          <w:sz w:val="20"/>
          <w:szCs w:val="20"/>
          <w:color w:val="auto"/>
        </w:rPr>
      </w:pPr>
    </w:p>
    <w:p>
      <w:pPr>
        <w:jc w:val="center"/>
        <w:ind w:left="7480"/>
        <w:spacing w:after="0"/>
        <w:rPr>
          <w:sz w:val="20"/>
          <w:szCs w:val="20"/>
          <w:color w:val="auto"/>
        </w:rPr>
      </w:pPr>
      <w:r>
        <w:rPr>
          <w:rFonts w:ascii="Arial" w:cs="Arial" w:eastAsia="Arial" w:hAnsi="Arial"/>
          <w:sz w:val="15"/>
          <w:szCs w:val="15"/>
          <w:b w:val="1"/>
          <w:bCs w:val="1"/>
          <w:color w:val="auto"/>
        </w:rPr>
        <w:t>September 30,</w:t>
      </w:r>
    </w:p>
    <w:p>
      <w:pPr>
        <w:spacing w:after="0" w:line="13"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784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2022</w:t>
            </w:r>
          </w:p>
        </w:tc>
      </w:tr>
      <w:tr>
        <w:trPr>
          <w:trHeight w:val="30"/>
        </w:trPr>
        <w:tc>
          <w:tcPr>
            <w:tcW w:w="7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2"/>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Purchases of Property, Plant, and Equipment:</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27"/>
        </w:trPr>
        <w:tc>
          <w:tcPr>
            <w:tcW w:w="7840" w:type="dxa"/>
            <w:vAlign w:val="bottom"/>
          </w:tcPr>
          <w:p>
            <w:pPr>
              <w:ind w:left="140"/>
              <w:spacing w:after="0"/>
              <w:rPr>
                <w:sz w:val="20"/>
                <w:szCs w:val="20"/>
                <w:color w:val="auto"/>
              </w:rPr>
            </w:pPr>
            <w:r>
              <w:rPr>
                <w:rFonts w:ascii="Arial" w:cs="Arial" w:eastAsia="Arial" w:hAnsi="Arial"/>
                <w:sz w:val="15"/>
                <w:szCs w:val="15"/>
                <w:color w:val="auto"/>
              </w:rPr>
              <w:t>Renewable Power</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209"/>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Fuel Station Services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16,860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7,038</w:t>
            </w:r>
          </w:p>
        </w:tc>
      </w:tr>
      <w:tr>
        <w:trPr>
          <w:trHeight w:val="192"/>
        </w:trPr>
        <w:tc>
          <w:tcPr>
            <w:tcW w:w="7840" w:type="dxa"/>
            <w:vAlign w:val="bottom"/>
          </w:tcPr>
          <w:p>
            <w:pPr>
              <w:ind w:left="140"/>
              <w:spacing w:after="0"/>
              <w:rPr>
                <w:sz w:val="20"/>
                <w:szCs w:val="20"/>
                <w:color w:val="auto"/>
              </w:rPr>
            </w:pPr>
            <w:r>
              <w:rPr>
                <w:rFonts w:ascii="Arial" w:cs="Arial" w:eastAsia="Arial" w:hAnsi="Arial"/>
                <w:sz w:val="15"/>
                <w:szCs w:val="15"/>
                <w:color w:val="auto"/>
              </w:rPr>
              <w:t>RNG Fuel</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75,390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76,496</w:t>
            </w:r>
          </w:p>
        </w:tc>
      </w:tr>
      <w:tr>
        <w:trPr>
          <w:trHeight w:val="30"/>
        </w:trPr>
        <w:tc>
          <w:tcPr>
            <w:tcW w:w="7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9"/>
        </w:trPr>
        <w:tc>
          <w:tcPr>
            <w:tcW w:w="78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92,250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85,334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20" w:top="1440" w:right="339" w:bottom="1440" w:gutter="0" w:footer="0" w:header="0"/>
        </w:sectPr>
      </w:pPr>
    </w:p>
    <w:p>
      <w:pPr>
        <w:spacing w:after="0" w:line="84" w:lineRule="exact"/>
        <w:rPr>
          <w:sz w:val="20"/>
          <w:szCs w:val="20"/>
          <w:color w:val="auto"/>
        </w:rPr>
      </w:pPr>
    </w:p>
    <w:p>
      <w:pPr>
        <w:jc w:val="center"/>
        <w:ind w:left="8460"/>
        <w:spacing w:after="0"/>
        <w:rPr>
          <w:sz w:val="20"/>
          <w:szCs w:val="20"/>
          <w:color w:val="auto"/>
        </w:rPr>
      </w:pPr>
      <w:r>
        <w:rPr>
          <w:rFonts w:ascii="Arial" w:cs="Arial" w:eastAsia="Arial" w:hAnsi="Arial"/>
          <w:sz w:val="13"/>
          <w:szCs w:val="13"/>
          <w:b w:val="1"/>
          <w:bCs w:val="1"/>
          <w:color w:val="auto"/>
        </w:rPr>
        <w:t>September 30,</w:t>
      </w:r>
    </w:p>
    <w:p>
      <w:pPr>
        <w:spacing w:after="0" w:line="39" w:lineRule="exact"/>
        <w:rPr>
          <w:sz w:val="20"/>
          <w:szCs w:val="20"/>
          <w:color w:val="auto"/>
        </w:rPr>
      </w:pPr>
    </w:p>
    <w:p>
      <w:pPr>
        <w:jc w:val="center"/>
        <w:ind w:left="8460"/>
        <w:spacing w:after="0"/>
        <w:rPr>
          <w:sz w:val="20"/>
          <w:szCs w:val="20"/>
          <w:color w:val="auto"/>
        </w:rPr>
      </w:pPr>
      <w:r>
        <w:rPr>
          <w:rFonts w:ascii="Arial" w:cs="Arial" w:eastAsia="Arial" w:hAnsi="Arial"/>
          <w:sz w:val="15"/>
          <w:szCs w:val="15"/>
          <w:b w:val="1"/>
          <w:bCs w:val="1"/>
          <w:color w:val="auto"/>
        </w:rPr>
        <w:t>2023</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color w:val="auto"/>
        </w:rPr>
        <w:t>December 31,</w:t>
      </w:r>
    </w:p>
    <w:p>
      <w:pPr>
        <w:spacing w:after="0" w:line="39" w:lineRule="exact"/>
        <w:rPr>
          <w:sz w:val="20"/>
          <w:szCs w:val="20"/>
          <w:color w:val="auto"/>
        </w:rPr>
      </w:pPr>
    </w:p>
    <w:p>
      <w:pPr>
        <w:jc w:val="center"/>
        <w:ind w:right="400"/>
        <w:spacing w:after="0"/>
        <w:rPr>
          <w:sz w:val="20"/>
          <w:szCs w:val="20"/>
          <w:color w:val="auto"/>
        </w:rPr>
      </w:pPr>
      <w:r>
        <w:rPr>
          <w:rFonts w:ascii="Arial" w:cs="Arial" w:eastAsia="Arial" w:hAnsi="Arial"/>
          <w:sz w:val="15"/>
          <w:szCs w:val="15"/>
          <w:b w:val="1"/>
          <w:bCs w:val="1"/>
          <w:color w:val="auto"/>
        </w:rPr>
        <w:t>2022</w:t>
      </w:r>
    </w:p>
    <w:p>
      <w:pPr>
        <w:spacing w:after="0" w:line="13" w:lineRule="exact"/>
        <w:rPr>
          <w:sz w:val="20"/>
          <w:szCs w:val="20"/>
          <w:color w:val="auto"/>
        </w:rPr>
      </w:pPr>
    </w:p>
    <w:p>
      <w:pPr>
        <w:sectPr>
          <w:pgSz w:w="11900" w:h="16838" w:orient="portrait"/>
          <w:cols w:equalWidth="0" w:num="2">
            <w:col w:w="9360" w:space="720"/>
            <w:col w:w="1260"/>
          </w:cols>
          <w:pgMar w:left="2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192"/>
        </w:trPr>
        <w:tc>
          <w:tcPr>
            <w:tcW w:w="8160" w:type="dxa"/>
            <w:vAlign w:val="bottom"/>
          </w:tcPr>
          <w:p>
            <w:pPr>
              <w:ind w:left="120"/>
              <w:spacing w:after="0"/>
              <w:rPr>
                <w:sz w:val="20"/>
                <w:szCs w:val="20"/>
                <w:color w:val="auto"/>
              </w:rPr>
            </w:pPr>
            <w:r>
              <w:rPr>
                <w:rFonts w:ascii="Arial" w:cs="Arial" w:eastAsia="Arial" w:hAnsi="Arial"/>
                <w:sz w:val="15"/>
                <w:szCs w:val="15"/>
                <w:color w:val="auto"/>
              </w:rPr>
              <w:t>Renewable Power</w:t>
            </w: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39,503</w:t>
            </w:r>
          </w:p>
        </w:tc>
        <w:tc>
          <w:tcPr>
            <w:tcW w:w="120" w:type="dxa"/>
            <w:vAlign w:val="bottom"/>
          </w:tcPr>
          <w:p>
            <w:pPr>
              <w:spacing w:after="0"/>
              <w:rPr>
                <w:sz w:val="16"/>
                <w:szCs w:val="16"/>
                <w:color w:val="auto"/>
              </w:rPr>
            </w:pPr>
          </w:p>
        </w:tc>
        <w:tc>
          <w:tcPr>
            <w:tcW w:w="520" w:type="dxa"/>
            <w:vAlign w:val="bottom"/>
          </w:tcPr>
          <w:p>
            <w:pPr>
              <w:jc w:val="right"/>
              <w:ind w:right="34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43,468</w:t>
            </w:r>
          </w:p>
        </w:tc>
      </w:tr>
      <w:tr>
        <w:trPr>
          <w:trHeight w:val="30"/>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RNG Fuel</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290,247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347,750</w:t>
            </w:r>
          </w:p>
        </w:tc>
      </w:tr>
      <w:tr>
        <w:trPr>
          <w:trHeight w:val="219"/>
        </w:trPr>
        <w:tc>
          <w:tcPr>
            <w:tcW w:w="8160" w:type="dxa"/>
            <w:vAlign w:val="bottom"/>
          </w:tcPr>
          <w:p>
            <w:pPr>
              <w:ind w:left="120"/>
              <w:spacing w:after="0"/>
              <w:rPr>
                <w:sz w:val="20"/>
                <w:szCs w:val="20"/>
                <w:color w:val="auto"/>
              </w:rPr>
            </w:pPr>
            <w:r>
              <w:rPr>
                <w:rFonts w:ascii="Arial" w:cs="Arial" w:eastAsia="Arial" w:hAnsi="Arial"/>
                <w:sz w:val="15"/>
                <w:szCs w:val="15"/>
                <w:color w:val="auto"/>
              </w:rPr>
              <w:t>Fuel Station Services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131,838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119,669</w:t>
            </w:r>
          </w:p>
        </w:tc>
      </w:tr>
      <w:tr>
        <w:trPr>
          <w:trHeight w:val="224"/>
        </w:trPr>
        <w:tc>
          <w:tcPr>
            <w:tcW w:w="8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82,204</w:t>
            </w:r>
          </w:p>
        </w:tc>
      </w:tr>
      <w:tr>
        <w:trPr>
          <w:trHeight w:val="192"/>
        </w:trPr>
        <w:tc>
          <w:tcPr>
            <w:tcW w:w="8160" w:type="dxa"/>
            <w:vAlign w:val="bottom"/>
          </w:tcPr>
          <w:p>
            <w:pPr>
              <w:ind w:left="120"/>
              <w:spacing w:after="0"/>
              <w:rPr>
                <w:sz w:val="20"/>
                <w:szCs w:val="20"/>
                <w:color w:val="auto"/>
              </w:rPr>
            </w:pPr>
            <w:r>
              <w:rPr>
                <w:rFonts w:ascii="Arial" w:cs="Arial" w:eastAsia="Arial" w:hAnsi="Arial"/>
                <w:sz w:val="15"/>
                <w:szCs w:val="15"/>
                <w:color w:val="auto"/>
              </w:rPr>
              <w:t>Equity Method Investment(s)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199,466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51,765</w:t>
            </w:r>
          </w:p>
        </w:tc>
      </w:tr>
      <w:tr>
        <w:trPr>
          <w:trHeight w:val="30"/>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9"/>
        </w:trPr>
        <w:tc>
          <w:tcPr>
            <w:tcW w:w="8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690,455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644,856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Geographic Information: The Company's assets and revenue generating activities are domiciled in the United States.</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12. Variable Interest Entities</w:t>
      </w:r>
    </w:p>
    <w:p>
      <w:pPr>
        <w:spacing w:after="0" w:line="153" w:lineRule="exact"/>
        <w:rPr>
          <w:sz w:val="20"/>
          <w:szCs w:val="20"/>
          <w:color w:val="auto"/>
        </w:rPr>
      </w:pPr>
    </w:p>
    <w:p>
      <w:pPr>
        <w:jc w:val="both"/>
        <w:ind w:left="100" w:firstLine="296"/>
        <w:spacing w:after="0" w:line="273" w:lineRule="auto"/>
        <w:rPr>
          <w:sz w:val="20"/>
          <w:szCs w:val="20"/>
          <w:color w:val="auto"/>
        </w:rPr>
      </w:pPr>
      <w:r>
        <w:rPr>
          <w:rFonts w:ascii="Arial" w:cs="Arial" w:eastAsia="Arial" w:hAnsi="Arial"/>
          <w:sz w:val="16"/>
          <w:szCs w:val="16"/>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207010</wp:posOffset>
            </wp:positionV>
            <wp:extent cx="716978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type w:val="continuous"/>
        </w:sectPr>
      </w:pPr>
    </w:p>
    <w:bookmarkStart w:id="49" w:name="page50"/>
    <w:bookmarkEnd w:id="49"/>
    <w:p>
      <w:pPr>
        <w:spacing w:after="0" w:line="15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93"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05"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As of September 30, 2023, the Company held equity interests in seven VIEs — Sunoma, GREP, Emerald, Sapphire, Paragon, SJI Joint Venture (RNG Atlantic and RNG Burlington) and Central Valley. On May 30, 2023, the Company together with a third-party environmental solutions company formed Paragon. The Company owns 50% of ownership interest in Paragon. Concurrent with the formation of Paragon, the Company contributed its 50% ownership interests in Emerald and Sapphire to Paragon.</w:t>
      </w:r>
    </w:p>
    <w:p>
      <w:pPr>
        <w:spacing w:after="0" w:line="105"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 xml:space="preserve">Upon the execution of the above the transaction, the Company reassessed its equity interests in Emerald and Sapphire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and determined that the Company does not have a controlling financial interest in Paragon under ASC 810 because the governance of the joint venture is driven by an independent board jointly controlled by the joint venture partner and OPAL equally and there are substantive participating rights held by the joint venture partner in the significant activities of Paragon.</w:t>
      </w:r>
    </w:p>
    <w:p>
      <w:pPr>
        <w:spacing w:after="0" w:line="93"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 xml:space="preserve">Based on the above analysis, the Company determined that it should account for its ownership interests in Paragon under the equity method of accounting pursuant to ASC 323, </w:t>
      </w:r>
      <w:r>
        <w:rPr>
          <w:rFonts w:ascii="Arial" w:cs="Arial" w:eastAsia="Arial" w:hAnsi="Arial"/>
          <w:sz w:val="16"/>
          <w:szCs w:val="16"/>
          <w:i w:val="1"/>
          <w:iCs w:val="1"/>
          <w:color w:val="auto"/>
        </w:rPr>
        <w:t>Investments Equity Method and Joint Ventures</w:t>
      </w:r>
      <w:r>
        <w:rPr>
          <w:rFonts w:ascii="Arial" w:cs="Arial" w:eastAsia="Arial" w:hAnsi="Arial"/>
          <w:sz w:val="16"/>
          <w:szCs w:val="16"/>
          <w:color w:val="auto"/>
        </w:rPr>
        <w:t>, prospectively, as the Company has the ability to exercise significant influence, but not control over the joint venture company.</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Prior to May 30, 2023, the Company consolidated these two entities in accordance with the variable interest entity model guidance under ASC 810, Consolidation.</w:t>
      </w:r>
    </w:p>
    <w:p>
      <w:pPr>
        <w:spacing w:after="0" w:line="160"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5"/>
          <w:szCs w:val="15"/>
          <w:color w:val="auto"/>
        </w:rPr>
        <w:t>On September 14, 2023, OPAL L2G, a wholly-owned indirect subsidiary of the Company, entered into the Agreement with SJI LRNG, a wholly-owned indirect subsidiary of SJI, establishing the terms and conditions of governance and operation of the SJI Joint Venture. The purpose of the SJI Joint Venture, which is owned 50/50 by OPAL L2G and SJI LRNG, is to develop, construct, own and operate Facilities to produce RNG using biogas generated by certain landfills.</w:t>
      </w:r>
    </w:p>
    <w:p>
      <w:pPr>
        <w:spacing w:after="0" w:line="70" w:lineRule="exact"/>
        <w:rPr>
          <w:sz w:val="20"/>
          <w:szCs w:val="20"/>
          <w:color w:val="auto"/>
        </w:rPr>
      </w:pPr>
    </w:p>
    <w:p>
      <w:pPr>
        <w:jc w:val="both"/>
        <w:ind w:firstLine="296"/>
        <w:spacing w:after="0" w:line="290" w:lineRule="auto"/>
        <w:rPr>
          <w:sz w:val="20"/>
          <w:szCs w:val="20"/>
          <w:color w:val="auto"/>
        </w:rPr>
      </w:pPr>
      <w:r>
        <w:rPr>
          <w:rFonts w:ascii="Arial" w:cs="Arial" w:eastAsia="Arial" w:hAnsi="Arial"/>
          <w:sz w:val="15"/>
          <w:szCs w:val="15"/>
          <w:color w:val="auto"/>
        </w:rPr>
        <w:t xml:space="preserve">Upon the execution of the above transaction, the Company reassessed its equity interests in the SJI Joint Venture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and determined that the Company does not have a controlling financial interest in SJI Joint Venture under ASC 810 because the governance of the joint venture is driven by a board jointly controlled by the joint venture partner and OPAL equally and there are substantive participating rights held by the joint venture partner in the significant activities of SJI Joint Venture. As of September 30, 2023, there have been no material contribution made by the Company in the SJI Joint Venture.</w:t>
      </w:r>
    </w:p>
    <w:p>
      <w:pPr>
        <w:spacing w:after="0" w:line="91"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As of September 30, 2023, GREP and Paragon were presented as equity method investments and the remaining two VIEs Sunoma and Central Valley are consolidated by the Company.</w:t>
      </w:r>
    </w:p>
    <w:p>
      <w:pPr>
        <w:spacing w:after="0" w:line="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December 31, 2022, GREP has been presented as an equity method investment and the remaining four VIEs Sunoma, Emerald, Sapphire, and Central Valley are consolidated by the Company.</w:t>
      </w:r>
    </w:p>
    <w:p>
      <w:pPr>
        <w:spacing w:after="0" w:line="76"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September 30, 2023 and December 31,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54" w:lineRule="exact"/>
        <w:rPr>
          <w:sz w:val="20"/>
          <w:szCs w:val="20"/>
          <w:color w:val="auto"/>
        </w:rPr>
      </w:pPr>
    </w:p>
    <w:p>
      <w:pPr>
        <w:ind w:firstLine="296"/>
        <w:spacing w:after="0" w:line="288" w:lineRule="auto"/>
        <w:rPr>
          <w:sz w:val="20"/>
          <w:szCs w:val="20"/>
          <w:color w:val="auto"/>
        </w:rPr>
      </w:pPr>
      <w:r>
        <w:rPr>
          <w:rFonts w:ascii="Arial" w:cs="Arial" w:eastAsia="Arial" w:hAnsi="Arial"/>
          <w:sz w:val="16"/>
          <w:szCs w:val="16"/>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76" w:lineRule="exact"/>
        <w:rPr>
          <w:sz w:val="20"/>
          <w:szCs w:val="20"/>
          <w:color w:val="auto"/>
        </w:rPr>
      </w:pPr>
    </w:p>
    <w:p>
      <w:pPr>
        <w:ind w:left="740" w:right="240" w:hanging="446"/>
        <w:spacing w:after="0" w:line="288" w:lineRule="auto"/>
        <w:tabs>
          <w:tab w:leader="none" w:pos="7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as a managing member, has the power to order the activities that significantly impact the economic performance of the two entities including establishment of strategic, operating, and capital decisions for each of these entities; and</w:t>
      </w:r>
    </w:p>
    <w:p>
      <w:pPr>
        <w:spacing w:after="0" w:line="88" w:lineRule="exact"/>
        <w:rPr>
          <w:rFonts w:ascii="Arial" w:cs="Arial" w:eastAsia="Arial" w:hAnsi="Arial"/>
          <w:sz w:val="16"/>
          <w:szCs w:val="16"/>
          <w:color w:val="auto"/>
        </w:rPr>
      </w:pPr>
    </w:p>
    <w:p>
      <w:pPr>
        <w:ind w:left="740" w:hanging="446"/>
        <w:spacing w:after="0"/>
        <w:tabs>
          <w:tab w:leader="none" w:pos="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has the obligation to absorb the potential losses for the right to receive potential benefits, which could be significant to the VIE;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xml:space="preserve">As a primary beneficiary, the Company consolidates these entities in accordance with the variable interest entity model guidance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w:t>
      </w:r>
    </w:p>
    <w:p>
      <w:pPr>
        <w:spacing w:after="0" w:line="148" w:lineRule="exact"/>
        <w:rPr>
          <w:sz w:val="20"/>
          <w:szCs w:val="20"/>
          <w:color w:val="auto"/>
        </w:rPr>
      </w:pPr>
    </w:p>
    <w:p>
      <w:pPr>
        <w:ind w:firstLine="296"/>
        <w:spacing w:after="0" w:line="288" w:lineRule="auto"/>
        <w:rPr>
          <w:sz w:val="20"/>
          <w:szCs w:val="20"/>
          <w:color w:val="auto"/>
        </w:rPr>
      </w:pPr>
      <w:r>
        <w:rPr>
          <w:rFonts w:ascii="Arial" w:cs="Arial" w:eastAsia="Arial" w:hAnsi="Arial"/>
          <w:sz w:val="16"/>
          <w:szCs w:val="16"/>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88" w:lineRule="exact"/>
        <w:rPr>
          <w:sz w:val="20"/>
          <w:szCs w:val="20"/>
          <w:color w:val="auto"/>
        </w:rPr>
      </w:pPr>
    </w:p>
    <w:p>
      <w:pPr>
        <w:ind w:firstLine="296"/>
        <w:spacing w:after="0" w:line="324" w:lineRule="auto"/>
        <w:rPr>
          <w:sz w:val="20"/>
          <w:szCs w:val="20"/>
          <w:color w:val="auto"/>
        </w:rPr>
      </w:pPr>
      <w:r>
        <w:rPr>
          <w:rFonts w:ascii="Arial" w:cs="Arial" w:eastAsia="Arial" w:hAnsi="Arial"/>
          <w:sz w:val="15"/>
          <w:szCs w:val="15"/>
          <w:color w:val="auto"/>
        </w:rPr>
        <w:t>The following table summarizes the major condensed consolidated balance sheet items for consolidated VIEs as of September 30, 2023 and December 31, 2022. The information below is presented on an aggregate basis based on similar risk and reward characteristics and the nature of our involvement with the VIEs, such as:</w:t>
      </w:r>
    </w:p>
    <w:p>
      <w:pPr>
        <w:spacing w:after="0" w:line="64" w:lineRule="exact"/>
        <w:rPr>
          <w:sz w:val="20"/>
          <w:szCs w:val="20"/>
          <w:color w:val="auto"/>
        </w:rPr>
      </w:pPr>
    </w:p>
    <w:p>
      <w:pPr>
        <w:ind w:left="740" w:hanging="446"/>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of the VIEs are RNG facilities and they are reported under the RNG Fuel Supply segment;</w:t>
      </w:r>
    </w:p>
    <w:p>
      <w:pPr>
        <w:spacing w:after="0" w:line="136" w:lineRule="exact"/>
        <w:rPr>
          <w:rFonts w:ascii="Arial" w:cs="Arial" w:eastAsia="Arial" w:hAnsi="Arial"/>
          <w:sz w:val="16"/>
          <w:szCs w:val="16"/>
          <w:color w:val="auto"/>
        </w:rPr>
      </w:pPr>
    </w:p>
    <w:p>
      <w:pPr>
        <w:ind w:left="740" w:hanging="446"/>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nature of our interest in these entities is primarily equity based and therefore carry similar risk and reward characteristics;</w:t>
      </w:r>
    </w:p>
    <w:p>
      <w:pPr>
        <w:spacing w:after="0" w:line="112" w:lineRule="exact"/>
        <w:rPr>
          <w:sz w:val="20"/>
          <w:szCs w:val="20"/>
          <w:color w:val="auto"/>
        </w:rPr>
      </w:pPr>
    </w:p>
    <w:p>
      <w:pPr>
        <w:ind w:right="280" w:firstLine="296"/>
        <w:spacing w:after="0" w:line="288" w:lineRule="auto"/>
        <w:rPr>
          <w:sz w:val="20"/>
          <w:szCs w:val="20"/>
          <w:color w:val="auto"/>
        </w:rPr>
      </w:pPr>
      <w:r>
        <w:rPr>
          <w:rFonts w:ascii="Arial" w:cs="Arial" w:eastAsia="Arial" w:hAnsi="Arial"/>
          <w:sz w:val="16"/>
          <w:szCs w:val="16"/>
          <w:color w:val="auto"/>
        </w:rPr>
        <w:t>The amount of assets that can only be used to settle obligations of the VIEs are parenthesized in the condensed consolidated balance sheets and are included in the asset totals listed in the table below.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5"/>
              </w:rPr>
              <w:t>As of</w:t>
            </w:r>
          </w:p>
        </w:tc>
        <w:tc>
          <w:tcPr>
            <w:tcW w:w="200" w:type="dxa"/>
            <w:vAlign w:val="bottom"/>
          </w:tcPr>
          <w:p>
            <w:pPr>
              <w:spacing w:after="0"/>
              <w:rPr>
                <w:sz w:val="16"/>
                <w:szCs w:val="16"/>
                <w:color w:val="auto"/>
              </w:rPr>
            </w:pPr>
          </w:p>
        </w:tc>
        <w:tc>
          <w:tcPr>
            <w:tcW w:w="1280" w:type="dxa"/>
            <w:vAlign w:val="bottom"/>
          </w:tcPr>
          <w:p>
            <w:pPr>
              <w:jc w:val="center"/>
              <w:ind w:right="126"/>
              <w:spacing w:after="0"/>
              <w:rPr>
                <w:sz w:val="20"/>
                <w:szCs w:val="20"/>
                <w:color w:val="auto"/>
              </w:rPr>
            </w:pPr>
            <w:r>
              <w:rPr>
                <w:rFonts w:ascii="Arial" w:cs="Arial" w:eastAsia="Arial" w:hAnsi="Arial"/>
                <w:sz w:val="15"/>
                <w:szCs w:val="15"/>
                <w:b w:val="1"/>
                <w:bCs w:val="1"/>
                <w:color w:val="auto"/>
                <w:w w:val="85"/>
              </w:rPr>
              <w:t>As of</w:t>
            </w:r>
          </w:p>
        </w:tc>
      </w:tr>
      <w:tr>
        <w:trPr>
          <w:trHeight w:val="173"/>
        </w:trPr>
        <w:tc>
          <w:tcPr>
            <w:tcW w:w="8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September 30,</w:t>
            </w:r>
          </w:p>
        </w:tc>
        <w:tc>
          <w:tcPr>
            <w:tcW w:w="200" w:type="dxa"/>
            <w:vAlign w:val="bottom"/>
          </w:tcPr>
          <w:p>
            <w:pPr>
              <w:spacing w:after="0"/>
              <w:rPr>
                <w:sz w:val="15"/>
                <w:szCs w:val="15"/>
                <w:color w:val="auto"/>
              </w:rPr>
            </w:pPr>
          </w:p>
        </w:tc>
        <w:tc>
          <w:tcPr>
            <w:tcW w:w="1280" w:type="dxa"/>
            <w:vAlign w:val="bottom"/>
          </w:tcPr>
          <w:p>
            <w:pPr>
              <w:jc w:val="center"/>
              <w:ind w:right="106"/>
              <w:spacing w:after="0"/>
              <w:rPr>
                <w:sz w:val="20"/>
                <w:szCs w:val="20"/>
                <w:color w:val="auto"/>
              </w:rPr>
            </w:pPr>
            <w:r>
              <w:rPr>
                <w:rFonts w:ascii="Arial" w:cs="Arial" w:eastAsia="Arial" w:hAnsi="Arial"/>
                <w:sz w:val="15"/>
                <w:szCs w:val="15"/>
                <w:b w:val="1"/>
                <w:bCs w:val="1"/>
                <w:color w:val="auto"/>
                <w:w w:val="88"/>
              </w:rPr>
              <w:t>December 31,</w:t>
            </w:r>
          </w:p>
        </w:tc>
      </w:tr>
      <w:tr>
        <w:trPr>
          <w:trHeight w:val="202"/>
        </w:trPr>
        <w:tc>
          <w:tcPr>
            <w:tcW w:w="8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83"/>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89"/>
              </w:rPr>
              <w:t>2022</w:t>
            </w:r>
          </w:p>
        </w:tc>
      </w:tr>
      <w:tr>
        <w:trPr>
          <w:trHeight w:val="18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12,506</w:t>
            </w: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Accounts receivable,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966</w:t>
            </w: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Restricted cash - current</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1,232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6,971</w:t>
            </w: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Environmental credits held for sale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415</w:t>
            </w:r>
          </w:p>
        </w:tc>
      </w:tr>
      <w:tr>
        <w:trPr>
          <w:trHeight w:val="184"/>
        </w:trPr>
        <w:tc>
          <w:tcPr>
            <w:tcW w:w="816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2,835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20,858</w:t>
            </w: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Property, plant and equipment, net</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26,684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73,140</w:t>
            </w: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Restricted cash, non-current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2,843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2,923</w:t>
            </w: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96,921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8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4,896</w:t>
            </w: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Accounts payable, related party</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433</w:t>
            </w: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capital expenses</w:t>
            </w: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7,821</w:t>
            </w:r>
          </w:p>
        </w:tc>
      </w:tr>
      <w:tr>
        <w:trPr>
          <w:trHeight w:val="192"/>
        </w:trPr>
        <w:tc>
          <w:tcPr>
            <w:tcW w:w="8160" w:type="dxa"/>
            <w:vAlign w:val="bottom"/>
          </w:tcPr>
          <w:p>
            <w:pPr>
              <w:ind w:left="140"/>
              <w:spacing w:after="0"/>
              <w:rPr>
                <w:sz w:val="20"/>
                <w:szCs w:val="20"/>
                <w:color w:val="auto"/>
              </w:rPr>
            </w:pPr>
            <w:r>
              <w:rPr>
                <w:rFonts w:ascii="Arial" w:cs="Arial" w:eastAsia="Arial" w:hAnsi="Arial"/>
                <w:sz w:val="15"/>
                <w:szCs w:val="15"/>
                <w:color w:val="auto"/>
              </w:rPr>
              <w:t>Accrued expenses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602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646</w:t>
            </w: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Sunoma Loan- current portion</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1,739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380</w:t>
            </w:r>
          </w:p>
        </w:tc>
      </w:tr>
      <w:tr>
        <w:trPr>
          <w:trHeight w:val="184"/>
        </w:trPr>
        <w:tc>
          <w:tcPr>
            <w:tcW w:w="816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3,979</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14,176</w:t>
            </w: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Sunoma loan, net of debt issuance costs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20,402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21,712</w:t>
            </w:r>
          </w:p>
        </w:tc>
      </w:tr>
      <w:tr>
        <w:trPr>
          <w:trHeight w:val="184"/>
        </w:trPr>
        <w:tc>
          <w:tcPr>
            <w:tcW w:w="8160" w:type="dxa"/>
            <w:vAlign w:val="bottom"/>
          </w:tcPr>
          <w:p>
            <w:pPr>
              <w:ind w:left="300"/>
              <w:spacing w:after="0"/>
              <w:rPr>
                <w:sz w:val="20"/>
                <w:szCs w:val="20"/>
                <w:color w:val="auto"/>
              </w:rPr>
            </w:pPr>
            <w:r>
              <w:rPr>
                <w:rFonts w:ascii="Arial" w:cs="Arial" w:eastAsia="Arial" w:hAnsi="Arial"/>
                <w:sz w:val="15"/>
                <w:szCs w:val="15"/>
                <w:color w:val="auto"/>
              </w:rPr>
              <w:t>Total liabilities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24,381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35,888</w:t>
            </w: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Equity</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2"/>
        </w:trPr>
        <w:tc>
          <w:tcPr>
            <w:tcW w:w="816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7,097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34,588</w:t>
            </w:r>
          </w:p>
        </w:tc>
      </w:tr>
      <w:tr>
        <w:trPr>
          <w:trHeight w:val="30"/>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Non-redeemable non-controlling interests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26,445</w:t>
            </w:r>
          </w:p>
        </w:tc>
      </w:tr>
      <w:tr>
        <w:trPr>
          <w:trHeight w:val="184"/>
        </w:trPr>
        <w:tc>
          <w:tcPr>
            <w:tcW w:w="8160" w:type="dxa"/>
            <w:vAlign w:val="bottom"/>
          </w:tcPr>
          <w:p>
            <w:pPr>
              <w:ind w:left="20"/>
              <w:spacing w:after="0"/>
              <w:rPr>
                <w:sz w:val="20"/>
                <w:szCs w:val="20"/>
                <w:color w:val="auto"/>
              </w:rPr>
            </w:pPr>
            <w:r>
              <w:rPr>
                <w:rFonts w:ascii="Arial" w:cs="Arial" w:eastAsia="Arial" w:hAnsi="Arial"/>
                <w:sz w:val="15"/>
                <w:szCs w:val="15"/>
                <w:color w:val="auto"/>
              </w:rPr>
              <w:t>Total equity</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7,981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61,033</w:t>
            </w:r>
          </w:p>
        </w:tc>
      </w:tr>
      <w:tr>
        <w:trPr>
          <w:trHeight w:val="30"/>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and Equity</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96,921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Redeemable non-controlling interests, Redeemable preferred non-controlling interests and Stockholders' Deficit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210"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4"/>
          <w:szCs w:val="14"/>
          <w:color w:val="auto"/>
        </w:rPr>
        <w:t>As of September 30, 2023, there are (i) 29,332,333 shares of Class A common stock issued and outstanding, (ii) 144,399,037 shares of New OPAL Class D common stock issued and outstanding, (iii) no shares of Class B common stock, par value $0.0001 per share, of (“Class B common stock”) issued and outstanding (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spacing w:after="0" w:line="159" w:lineRule="exact"/>
        <w:rPr>
          <w:sz w:val="20"/>
          <w:szCs w:val="20"/>
          <w:color w:val="auto"/>
        </w:rPr>
      </w:pPr>
    </w:p>
    <w:p>
      <w:pPr>
        <w:jc w:val="both"/>
        <w:ind w:firstLine="296"/>
        <w:spacing w:after="0" w:line="257" w:lineRule="auto"/>
        <w:rPr>
          <w:sz w:val="20"/>
          <w:szCs w:val="20"/>
          <w:color w:val="auto"/>
        </w:rPr>
      </w:pPr>
      <w:r>
        <w:rPr>
          <w:rFonts w:ascii="Arial" w:cs="Arial" w:eastAsia="Arial" w:hAnsi="Arial"/>
          <w:sz w:val="16"/>
          <w:szCs w:val="16"/>
          <w:color w:val="auto"/>
        </w:rPr>
        <w:t>During the first quarter of 2023, Meteora exercised the put option pursuant to the terms of the Forward Purchase Contract. The Company repurchased 1,635,783 shares at a price of $10.02 per share. The Company recorded $11,614 representing the fair value of the treasury stock as part of stockholders' deficit and $4,777 as an offset to the derivative financial liability, current on its condensed consolidated balance sheet as of September 30, 2023.</w:t>
      </w:r>
    </w:p>
    <w:p>
      <w:pPr>
        <w:spacing w:after="0" w:line="185" w:lineRule="exact"/>
        <w:rPr>
          <w:sz w:val="20"/>
          <w:szCs w:val="20"/>
          <w:color w:val="auto"/>
        </w:rPr>
      </w:pPr>
    </w:p>
    <w:p>
      <w:pPr>
        <w:jc w:val="both"/>
        <w:ind w:firstLine="296"/>
        <w:spacing w:after="0" w:line="272" w:lineRule="auto"/>
        <w:rPr>
          <w:sz w:val="20"/>
          <w:szCs w:val="20"/>
          <w:color w:val="auto"/>
        </w:rPr>
      </w:pPr>
      <w:r>
        <w:rPr>
          <w:rFonts w:ascii="Arial" w:cs="Arial" w:eastAsia="Arial" w:hAnsi="Arial"/>
          <w:sz w:val="16"/>
          <w:szCs w:val="16"/>
          <w:color w:val="auto"/>
        </w:rPr>
        <w:t>In March 2023, the Company issued 49,633 shares to certain warrant holders as consideration for their prior agreement to tender all warrants held by the warrant holders in the Company's voluntary exchange offer which closed on December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22, 2022. The Company recorded $338 representing the fair value of the shares issued based on the closing price on March 30, 2023 as part of Other income (expense), net.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Redeemable preferred non-controlling interests</w:t>
      </w:r>
    </w:p>
    <w:p>
      <w:pPr>
        <w:spacing w:after="0" w:line="223" w:lineRule="exact"/>
        <w:rPr>
          <w:sz w:val="20"/>
          <w:szCs w:val="20"/>
          <w:color w:val="auto"/>
        </w:rPr>
      </w:pPr>
    </w:p>
    <w:p>
      <w:pPr>
        <w:jc w:val="both"/>
        <w:ind w:firstLine="296"/>
        <w:spacing w:after="0" w:line="272" w:lineRule="auto"/>
        <w:rPr>
          <w:sz w:val="20"/>
          <w:szCs w:val="20"/>
          <w:color w:val="auto"/>
        </w:rPr>
      </w:pPr>
      <w:r>
        <w:rPr>
          <w:rFonts w:ascii="Arial" w:cs="Arial" w:eastAsia="Arial" w:hAnsi="Arial"/>
          <w:sz w:val="16"/>
          <w:szCs w:val="16"/>
          <w:color w:val="auto"/>
        </w:rPr>
        <w:t>On November 29, 2021, as part of an Exchange Agreement, the Company issued 300,000 Series A-1 preferred units to Hillman in return for Hillman’s non-controlling interest in four RNG project subsidiaries.</w:t>
      </w:r>
    </w:p>
    <w:p>
      <w:pPr>
        <w:spacing w:after="0" w:line="187" w:lineRule="exact"/>
        <w:rPr>
          <w:sz w:val="20"/>
          <w:szCs w:val="20"/>
          <w:color w:val="auto"/>
        </w:rPr>
      </w:pPr>
    </w:p>
    <w:p>
      <w:pPr>
        <w:jc w:val="both"/>
        <w:ind w:firstLine="296"/>
        <w:spacing w:after="0" w:line="324" w:lineRule="auto"/>
        <w:rPr>
          <w:sz w:val="20"/>
          <w:szCs w:val="20"/>
          <w:color w:val="auto"/>
        </w:rPr>
      </w:pPr>
      <w:r>
        <w:rPr>
          <w:rFonts w:ascii="Arial" w:cs="Arial" w:eastAsia="Arial" w:hAnsi="Arial"/>
          <w:sz w:val="15"/>
          <w:szCs w:val="15"/>
          <w:color w:val="auto"/>
        </w:rPr>
        <w:t>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w:t>
      </w:r>
    </w:p>
    <w:p>
      <w:pPr>
        <w:spacing w:after="0" w:line="150"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Upon completion of the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During the third quarter of 2023, the Company repaid all outstanding paid-in-kind preferred dividends.</w:t>
      </w:r>
    </w:p>
    <w:p>
      <w:pPr>
        <w:spacing w:after="0" w:line="136"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following table summarizes the changes in the redeemable preferred non-controlling interests which represent Series A and Series A-1 preferred units outstanding at OPAL Fuels level from December 31, 2022 to September 30,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3140" w:type="dxa"/>
            <w:vAlign w:val="bottom"/>
            <w:gridSpan w:val="5"/>
          </w:tcPr>
          <w:p>
            <w:pPr>
              <w:ind w:left="620"/>
              <w:spacing w:after="0"/>
              <w:rPr>
                <w:sz w:val="20"/>
                <w:szCs w:val="20"/>
                <w:color w:val="auto"/>
              </w:rPr>
            </w:pPr>
            <w:r>
              <w:rPr>
                <w:rFonts w:ascii="Arial" w:cs="Arial" w:eastAsia="Arial" w:hAnsi="Arial"/>
                <w:sz w:val="16"/>
                <w:szCs w:val="16"/>
                <w:b w:val="1"/>
                <w:bCs w:val="1"/>
                <w:color w:val="auto"/>
              </w:rPr>
              <w:t>Series A-1 preferred units</w:t>
            </w:r>
          </w:p>
        </w:tc>
        <w:tc>
          <w:tcPr>
            <w:tcW w:w="3240" w:type="dxa"/>
            <w:vAlign w:val="bottom"/>
            <w:gridSpan w:val="5"/>
          </w:tcPr>
          <w:p>
            <w:pPr>
              <w:ind w:left="740"/>
              <w:spacing w:after="0"/>
              <w:rPr>
                <w:sz w:val="20"/>
                <w:szCs w:val="20"/>
                <w:color w:val="auto"/>
              </w:rPr>
            </w:pPr>
            <w:r>
              <w:rPr>
                <w:rFonts w:ascii="Arial" w:cs="Arial" w:eastAsia="Arial" w:hAnsi="Arial"/>
                <w:sz w:val="16"/>
                <w:szCs w:val="16"/>
                <w:b w:val="1"/>
                <w:bCs w:val="1"/>
                <w:color w:val="auto"/>
              </w:rPr>
              <w:t>Series A preferred units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3380" w:type="dxa"/>
            <w:vAlign w:val="bottom"/>
          </w:tcPr>
          <w:p>
            <w:pPr>
              <w:spacing w:after="0"/>
              <w:rPr>
                <w:sz w:val="17"/>
                <w:szCs w:val="17"/>
                <w:color w:val="auto"/>
              </w:rPr>
            </w:pPr>
          </w:p>
        </w:tc>
        <w:tc>
          <w:tcPr>
            <w:tcW w:w="1580" w:type="dxa"/>
            <w:vAlign w:val="bottom"/>
            <w:tcBorders>
              <w:top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Units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7"/>
                <w:szCs w:val="17"/>
                <w:color w:val="auto"/>
              </w:rPr>
            </w:pPr>
          </w:p>
        </w:tc>
        <w:tc>
          <w:tcPr>
            <w:tcW w:w="1660" w:type="dxa"/>
            <w:vAlign w:val="bottom"/>
            <w:tcBorders>
              <w:top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Units</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8"/>
              <w:spacing w:after="0"/>
              <w:rPr>
                <w:sz w:val="20"/>
                <w:szCs w:val="20"/>
                <w:color w:val="auto"/>
              </w:rPr>
            </w:pPr>
            <w:r>
              <w:rPr>
                <w:rFonts w:ascii="Arial" w:cs="Arial" w:eastAsia="Arial" w:hAnsi="Arial"/>
                <w:sz w:val="16"/>
                <w:szCs w:val="16"/>
                <w:b w:val="1"/>
                <w:bCs w:val="1"/>
                <w:color w:val="auto"/>
              </w:rPr>
              <w:t>Total</w:t>
            </w:r>
          </w:p>
        </w:tc>
      </w:tr>
      <w:tr>
        <w:trPr>
          <w:trHeight w:val="202"/>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32,736</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105,406</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138,142</w:t>
            </w:r>
          </w:p>
        </w:tc>
      </w:tr>
      <w:tr>
        <w:trPr>
          <w:trHeight w:val="209"/>
        </w:trPr>
        <w:tc>
          <w:tcPr>
            <w:tcW w:w="3380" w:type="dxa"/>
            <w:vAlign w:val="bottom"/>
          </w:tcPr>
          <w:p>
            <w:pPr>
              <w:ind w:left="60"/>
              <w:spacing w:after="0"/>
              <w:rPr>
                <w:sz w:val="20"/>
                <w:szCs w:val="20"/>
                <w:color w:val="auto"/>
              </w:rPr>
            </w:pPr>
            <w:r>
              <w:rPr>
                <w:rFonts w:ascii="Arial" w:cs="Arial" w:eastAsia="Arial" w:hAnsi="Arial"/>
                <w:sz w:val="16"/>
                <w:szCs w:val="16"/>
                <w:color w:val="auto"/>
              </w:rPr>
              <w:t>Series A units issued by OPAL Fuels</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rPr>
              <w:t>Paid-in-kind dividends attributable to OPAL</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Fuels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r>
      <w:tr>
        <w:trPr>
          <w:trHeight w:val="172"/>
        </w:trPr>
        <w:tc>
          <w:tcPr>
            <w:tcW w:w="3380" w:type="dxa"/>
            <w:vAlign w:val="bottom"/>
          </w:tcPr>
          <w:p>
            <w:pPr>
              <w:ind w:left="20"/>
              <w:spacing w:after="0" w:line="172" w:lineRule="exact"/>
              <w:rPr>
                <w:sz w:val="20"/>
                <w:szCs w:val="20"/>
                <w:color w:val="auto"/>
              </w:rPr>
            </w:pPr>
            <w:r>
              <w:rPr>
                <w:rFonts w:ascii="Arial" w:cs="Arial" w:eastAsia="Arial" w:hAnsi="Arial"/>
                <w:sz w:val="16"/>
                <w:szCs w:val="16"/>
                <w:color w:val="auto"/>
              </w:rPr>
              <w:t>Paid-in kind dividends attributable to Class A</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common stockholders</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1,666</w:t>
            </w:r>
          </w:p>
        </w:tc>
        <w:tc>
          <w:tcPr>
            <w:tcW w:w="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7,042</w:t>
            </w:r>
          </w:p>
        </w:tc>
      </w:tr>
      <w:tr>
        <w:trPr>
          <w:trHeight w:val="210"/>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paid-in-kind preferred dividends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(4,722)</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(16,536)</w:t>
            </w:r>
          </w:p>
        </w:tc>
      </w:tr>
      <w:tr>
        <w:trPr>
          <w:trHeight w:val="202"/>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2023</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300,000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8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1,000,000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130,000</w:t>
            </w:r>
          </w:p>
        </w:tc>
      </w:tr>
      <w:tr>
        <w:trPr>
          <w:trHeight w:val="20"/>
        </w:trPr>
        <w:tc>
          <w:tcPr>
            <w:tcW w:w="3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Terms of Redeemable Preferred Units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Series A and Series A-1 preferred units (together the “Preferred Units”) are subject to substantially the same terms and features which are listed below:</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dispositions of assets and (iv) major acquisitions of assets outside of the Company’s primary business.</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The annual dividend rate increases to 12% if certain events of defaults occur. Additionally, the dividend rate increases by 2% for each unrelated uncured event of default up to a maximum of 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 w:lineRule="exact"/>
        <w:rPr>
          <w:sz w:val="20"/>
          <w:szCs w:val="20"/>
          <w:color w:val="auto"/>
        </w:rPr>
      </w:pPr>
    </w:p>
    <w:p>
      <w:pPr>
        <w:jc w:val="both"/>
        <w:ind w:left="1"/>
        <w:spacing w:after="0" w:line="273" w:lineRule="auto"/>
        <w:rPr>
          <w:sz w:val="20"/>
          <w:szCs w:val="20"/>
          <w:color w:val="auto"/>
        </w:rPr>
      </w:pPr>
      <w:r>
        <w:rPr>
          <w:rFonts w:ascii="Arial" w:cs="Arial" w:eastAsia="Arial" w:hAnsi="Arial"/>
          <w:sz w:val="16"/>
          <w:szCs w:val="16"/>
          <w:color w:val="auto"/>
        </w:rPr>
        <w:t>Liquidation preference: In the event of liquidation of the Company, each holder of Series A units and Series A-1 units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185" w:lineRule="exact"/>
        <w:rPr>
          <w:sz w:val="20"/>
          <w:szCs w:val="20"/>
          <w:color w:val="auto"/>
        </w:rPr>
      </w:pPr>
    </w:p>
    <w:p>
      <w:pPr>
        <w:jc w:val="both"/>
        <w:ind w:left="1"/>
        <w:spacing w:after="0" w:line="263" w:lineRule="auto"/>
        <w:rPr>
          <w:sz w:val="20"/>
          <w:szCs w:val="20"/>
          <w:color w:val="auto"/>
        </w:rPr>
      </w:pPr>
      <w:r>
        <w:rPr>
          <w:rFonts w:ascii="Arial" w:cs="Arial" w:eastAsia="Arial" w:hAnsi="Arial"/>
          <w:sz w:val="16"/>
          <w:szCs w:val="16"/>
          <w:color w:val="auto"/>
        </w:rPr>
        <w:t>Redemption: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(i) upon the occurrence of certain change in control event (ii) at the end of four years from the date of issuance, except that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on which both the Company and the Holder may redeem the Preferred Units. The maturity date may be as early as November 29, 2025 but shall not occur later than June 30, 2026.</w:t>
      </w:r>
    </w:p>
    <w:p>
      <w:pPr>
        <w:spacing w:after="0" w:line="195" w:lineRule="exact"/>
        <w:rPr>
          <w:sz w:val="20"/>
          <w:szCs w:val="20"/>
          <w:color w:val="auto"/>
        </w:rPr>
      </w:pPr>
    </w:p>
    <w:p>
      <w:pPr>
        <w:jc w:val="both"/>
        <w:ind w:left="1"/>
        <w:spacing w:after="0" w:line="262" w:lineRule="auto"/>
        <w:rPr>
          <w:sz w:val="20"/>
          <w:szCs w:val="20"/>
          <w:color w:val="auto"/>
        </w:rPr>
      </w:pPr>
      <w:r>
        <w:rPr>
          <w:rFonts w:ascii="Arial" w:cs="Arial" w:eastAsia="Arial" w:hAnsi="Arial"/>
          <w:sz w:val="16"/>
          <w:szCs w:val="16"/>
          <w:color w:val="auto"/>
        </w:rPr>
        <w:t>Conversion: Holders may elect to convert Preferred Units into common units in the event that the Company fails to redeem the Preferred Units under an optional redemption. The annual dividend rate shall increase to 12% and will further increase to 14% after one year, and thereafter by 2% every 90 days up to a maximum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the number of Preferred Units, multiplied by$100, plus accrued and unpaid cash dividends, divided by the conversion price. The conversion price is equal to the value of the Company’s common units determined as follows, and reduced by (i) a 20% discount if conversion occurs during the first year of delayed redemption, (ii) a 25% discount during the 2nd year, and (iii) a 30% discount thereafter:</w:t>
      </w:r>
    </w:p>
    <w:p>
      <w:pPr>
        <w:spacing w:after="0" w:line="196" w:lineRule="exact"/>
        <w:rPr>
          <w:sz w:val="20"/>
          <w:szCs w:val="20"/>
          <w:color w:val="auto"/>
        </w:rPr>
      </w:pPr>
    </w:p>
    <w:p>
      <w:pPr>
        <w:ind w:left="161" w:hanging="161"/>
        <w:spacing w:after="0"/>
        <w:tabs>
          <w:tab w:leader="none" w:pos="161" w:val="left"/>
        </w:tabs>
        <w:numPr>
          <w:ilvl w:val="0"/>
          <w:numId w:val="24"/>
        </w:numPr>
        <w:rPr>
          <w:rFonts w:ascii="Arial" w:cs="Arial" w:eastAsia="Arial" w:hAnsi="Arial"/>
          <w:sz w:val="16"/>
          <w:szCs w:val="16"/>
          <w:color w:val="auto"/>
        </w:rPr>
      </w:pPr>
      <w:r>
        <w:rPr>
          <w:rFonts w:ascii="Arial" w:cs="Arial" w:eastAsia="Arial" w:hAnsi="Arial"/>
          <w:sz w:val="16"/>
          <w:szCs w:val="16"/>
          <w:color w:val="auto"/>
        </w:rPr>
        <w:t>Using 20-day volume-weighted average price (“VWAP”) of the Company's common shares.</w:t>
      </w:r>
    </w:p>
    <w:p>
      <w:pPr>
        <w:spacing w:after="0" w:line="234" w:lineRule="exact"/>
        <w:rPr>
          <w:rFonts w:ascii="Arial" w:cs="Arial" w:eastAsia="Arial" w:hAnsi="Arial"/>
          <w:sz w:val="16"/>
          <w:szCs w:val="16"/>
          <w:color w:val="auto"/>
        </w:rPr>
      </w:pPr>
    </w:p>
    <w:p>
      <w:pPr>
        <w:ind w:left="161" w:hanging="161"/>
        <w:spacing w:after="0"/>
        <w:tabs>
          <w:tab w:leader="none" w:pos="161" w:val="left"/>
        </w:tabs>
        <w:numPr>
          <w:ilvl w:val="0"/>
          <w:numId w:val="24"/>
        </w:numPr>
        <w:rPr>
          <w:rFonts w:ascii="Arial" w:cs="Arial" w:eastAsia="Arial" w:hAnsi="Arial"/>
          <w:sz w:val="15"/>
          <w:szCs w:val="15"/>
          <w:color w:val="auto"/>
        </w:rPr>
      </w:pPr>
      <w:r>
        <w:rPr>
          <w:rFonts w:ascii="Arial" w:cs="Arial" w:eastAsia="Arial" w:hAnsi="Arial"/>
          <w:sz w:val="15"/>
          <w:szCs w:val="15"/>
          <w:color w:val="auto"/>
        </w:rPr>
        <w:t>Otherwise the estimated proceeds to be received by the Holder of a common unit if the net assets of the Company were sold at fair market value and distributed.</w:t>
      </w:r>
    </w:p>
    <w:p>
      <w:pPr>
        <w:spacing w:after="0" w:line="246"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Redeemable non-controlling interests</w:t>
      </w:r>
    </w:p>
    <w:p>
      <w:pPr>
        <w:spacing w:after="0" w:line="235" w:lineRule="exact"/>
        <w:rPr>
          <w:sz w:val="20"/>
          <w:szCs w:val="20"/>
          <w:color w:val="auto"/>
        </w:rPr>
      </w:pPr>
    </w:p>
    <w:p>
      <w:pPr>
        <w:jc w:val="both"/>
        <w:ind w:left="1" w:firstLine="296"/>
        <w:spacing w:after="0" w:line="286" w:lineRule="auto"/>
        <w:rPr>
          <w:sz w:val="20"/>
          <w:szCs w:val="20"/>
          <w:color w:val="auto"/>
        </w:rPr>
      </w:pPr>
      <w:r>
        <w:rPr>
          <w:rFonts w:ascii="Arial" w:cs="Arial" w:eastAsia="Arial" w:hAnsi="Arial"/>
          <w:sz w:val="15"/>
          <w:szCs w:val="15"/>
          <w:color w:val="auto"/>
        </w:rPr>
        <w:t>Upon consummation of the Business Combination, OPAL Fuels and its members caused the existing Limited Liability Company Agreement to be amended and restated. In connection therewith, all of the common units of OPAL Fuels issued and outstanding immediately prior to the Business Combination were re-classified into 144,399,037 Class B Units. Each Class B Unit is paired with a single non-economic share of Class D common stock issued by the Company. Each pair of Class B Unit and a single share of Class D common stock is exchangeable to either a single share of Class A common stock or a single share of Class C common stock at the holder's option. Upon an exchange for Class A common stock, the Company has the option to redeem shares for cash at their market value.</w:t>
      </w:r>
    </w:p>
    <w:p>
      <w:pPr>
        <w:spacing w:after="0" w:line="180" w:lineRule="exact"/>
        <w:rPr>
          <w:sz w:val="20"/>
          <w:szCs w:val="20"/>
          <w:color w:val="auto"/>
        </w:rPr>
      </w:pPr>
    </w:p>
    <w:p>
      <w:pPr>
        <w:jc w:val="both"/>
        <w:ind w:left="1" w:firstLine="296"/>
        <w:spacing w:after="0" w:line="267" w:lineRule="auto"/>
        <w:rPr>
          <w:sz w:val="20"/>
          <w:szCs w:val="20"/>
          <w:color w:val="auto"/>
        </w:rPr>
      </w:pPr>
      <w:r>
        <w:rPr>
          <w:rFonts w:ascii="Arial" w:cs="Arial" w:eastAsia="Arial" w:hAnsi="Arial"/>
          <w:sz w:val="16"/>
          <w:szCs w:val="16"/>
          <w:color w:val="auto"/>
        </w:rPr>
        <w:t>Redeemable non-controlling interests have been presented as mezzanine equity in the condensed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September 30, 2023, the Company recorded $1,158,937 to adjust the carrying value to their redemption value based on a five-day VWAP of $8.03 per share.</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14. Stock-based compensation</w:t>
      </w:r>
    </w:p>
    <w:p>
      <w:pPr>
        <w:spacing w:after="0" w:line="214" w:lineRule="exact"/>
        <w:rPr>
          <w:sz w:val="20"/>
          <w:szCs w:val="20"/>
          <w:color w:val="auto"/>
        </w:rPr>
      </w:pPr>
    </w:p>
    <w:p>
      <w:pPr>
        <w:jc w:val="both"/>
        <w:ind w:left="1" w:firstLine="591"/>
        <w:spacing w:after="0" w:line="263" w:lineRule="auto"/>
        <w:rPr>
          <w:sz w:val="20"/>
          <w:szCs w:val="20"/>
          <w:color w:val="auto"/>
        </w:rPr>
      </w:pPr>
      <w:r>
        <w:rPr>
          <w:rFonts w:ascii="Arial" w:cs="Arial" w:eastAsia="Arial" w:hAnsi="Arial"/>
          <w:sz w:val="16"/>
          <w:szCs w:val="16"/>
          <w:color w:val="auto"/>
        </w:rPr>
        <w:t>The 2022 Omnibus Equity Incentive Plan (the "2022 Plan")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the granting of stock options, stock appreciation rights, restricted stock, restricted stock units and other stock-based awards. The Company registered 19,811,726 shares of Class A common stock that can be issued under this Plan.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716978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54" w:name="page55"/>
    <w:bookmarkEnd w:id="54"/>
    <w:p>
      <w:pPr>
        <w:spacing w:after="0" w:line="216" w:lineRule="exact"/>
        <w:rPr>
          <w:sz w:val="20"/>
          <w:szCs w:val="20"/>
          <w:color w:val="auto"/>
        </w:rPr>
      </w:pPr>
    </w:p>
    <w:p>
      <w:pPr>
        <w:jc w:val="both"/>
        <w:ind w:firstLine="591"/>
        <w:spacing w:after="0" w:line="267" w:lineRule="auto"/>
        <w:rPr>
          <w:sz w:val="20"/>
          <w:szCs w:val="20"/>
          <w:color w:val="auto"/>
        </w:rPr>
      </w:pPr>
      <w:r>
        <w:rPr>
          <w:rFonts w:ascii="Arial" w:cs="Arial" w:eastAsia="Arial" w:hAnsi="Arial"/>
          <w:sz w:val="16"/>
          <w:szCs w:val="16"/>
          <w:color w:val="auto"/>
        </w:rPr>
        <w:t>On March 31, 2023, the Company issued 196,961 stock options, 888,831 restricted stock units and 274,617 performance units to certain employees of the Company. The fair value of the stock options was determined to be $5.26 based on Black Scholes model based on the share price of $6.97, exercise price of $6.97, expiration of 10 years, annual risk free interest rate of 4.04% and volatility of 65%. Additionally, the Company issued 135,583 restricted stock units to the board of directors. The total fair value of the equity awards was $6,955.</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summary of the equity awards under the 2022 Plan for the nine months ended September 30, 2023 is as follows:</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173"/>
        </w:trPr>
        <w:tc>
          <w:tcPr>
            <w:tcW w:w="516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Number of Units</w:t>
            </w:r>
          </w:p>
        </w:tc>
        <w:tc>
          <w:tcPr>
            <w:tcW w:w="80" w:type="dxa"/>
            <w:vAlign w:val="bottom"/>
            <w:tcBorders>
              <w:top w:val="single" w:sz="8" w:color="CCEEFF"/>
            </w:tcBorders>
            <w:vMerge w:val="restart"/>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center"/>
              <w:ind w:right="38"/>
              <w:spacing w:after="0" w:line="173" w:lineRule="exact"/>
              <w:rPr>
                <w:sz w:val="20"/>
                <w:szCs w:val="20"/>
                <w:color w:val="auto"/>
              </w:rPr>
            </w:pPr>
            <w:r>
              <w:rPr>
                <w:rFonts w:ascii="Arial" w:cs="Arial" w:eastAsia="Arial" w:hAnsi="Arial"/>
                <w:sz w:val="16"/>
                <w:szCs w:val="16"/>
                <w:b w:val="1"/>
                <w:bCs w:val="1"/>
                <w:color w:val="auto"/>
                <w:w w:val="91"/>
              </w:rPr>
              <w:t>Weighted Average</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Aggregate Fair Value</w:t>
            </w:r>
          </w:p>
        </w:tc>
        <w:tc>
          <w:tcPr>
            <w:tcW w:w="0" w:type="dxa"/>
            <w:vAlign w:val="bottom"/>
          </w:tcPr>
          <w:p>
            <w:pPr>
              <w:spacing w:after="0"/>
              <w:rPr>
                <w:sz w:val="1"/>
                <w:szCs w:val="1"/>
                <w:color w:val="auto"/>
              </w:rPr>
            </w:pPr>
          </w:p>
        </w:tc>
      </w:tr>
      <w:tr>
        <w:trPr>
          <w:trHeight w:val="160"/>
        </w:trPr>
        <w:tc>
          <w:tcPr>
            <w:tcW w:w="5160" w:type="dxa"/>
            <w:vAlign w:val="bottom"/>
            <w:shd w:val="clear" w:color="auto" w:fill="CCEEFF"/>
          </w:tcPr>
          <w:p>
            <w:pPr>
              <w:spacing w:after="0"/>
              <w:rPr>
                <w:sz w:val="13"/>
                <w:szCs w:val="13"/>
                <w:color w:val="auto"/>
              </w:rPr>
            </w:pPr>
          </w:p>
        </w:tc>
        <w:tc>
          <w:tcPr>
            <w:tcW w:w="178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center"/>
              <w:ind w:right="180"/>
              <w:spacing w:after="0" w:line="160" w:lineRule="exact"/>
              <w:rPr>
                <w:sz w:val="20"/>
                <w:szCs w:val="20"/>
                <w:color w:val="auto"/>
              </w:rPr>
            </w:pPr>
            <w:r>
              <w:rPr>
                <w:rFonts w:ascii="Arial" w:cs="Arial" w:eastAsia="Arial" w:hAnsi="Arial"/>
                <w:sz w:val="16"/>
                <w:szCs w:val="16"/>
                <w:b w:val="1"/>
                <w:bCs w:val="1"/>
                <w:color w:val="auto"/>
                <w:w w:val="98"/>
              </w:rPr>
              <w:t>Grant Date Fair</w:t>
            </w:r>
          </w:p>
        </w:tc>
        <w:tc>
          <w:tcPr>
            <w:tcW w:w="16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3"/>
              </w:rPr>
              <w:t>Value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38"/>
              <w:spacing w:after="0"/>
              <w:rPr>
                <w:sz w:val="20"/>
                <w:szCs w:val="20"/>
                <w:color w:val="auto"/>
              </w:rPr>
            </w:pPr>
            <w:r>
              <w:rPr>
                <w:rFonts w:ascii="Arial" w:cs="Arial" w:eastAsia="Arial" w:hAnsi="Arial"/>
                <w:sz w:val="16"/>
                <w:szCs w:val="16"/>
                <w:b w:val="1"/>
                <w:bCs w:val="1"/>
                <w:color w:val="auto"/>
                <w:w w:val="97"/>
              </w:rPr>
              <w:t>(in thousands)</w:t>
            </w:r>
          </w:p>
        </w:tc>
        <w:tc>
          <w:tcPr>
            <w:tcW w:w="0" w:type="dxa"/>
            <w:vAlign w:val="bottom"/>
          </w:tcPr>
          <w:p>
            <w:pPr>
              <w:spacing w:after="0"/>
              <w:rPr>
                <w:sz w:val="1"/>
                <w:szCs w:val="1"/>
                <w:color w:val="auto"/>
              </w:rPr>
            </w:pPr>
          </w:p>
        </w:tc>
      </w:tr>
      <w:tr>
        <w:trPr>
          <w:trHeight w:val="227"/>
        </w:trPr>
        <w:tc>
          <w:tcPr>
            <w:tcW w:w="516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Units: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6"/>
                <w:szCs w:val="16"/>
                <w:color w:val="auto"/>
              </w:rPr>
              <w:t>Unvested awards as of December 31, 2022</w:t>
            </w:r>
          </w:p>
        </w:tc>
        <w:tc>
          <w:tcPr>
            <w:tcW w:w="1780" w:type="dxa"/>
            <w:vAlign w:val="bottom"/>
          </w:tcPr>
          <w:p>
            <w:pPr>
              <w:jc w:val="right"/>
              <w:spacing w:after="0"/>
              <w:rPr>
                <w:sz w:val="20"/>
                <w:szCs w:val="20"/>
                <w:color w:val="auto"/>
              </w:rPr>
            </w:pPr>
            <w:r>
              <w:rPr>
                <w:rFonts w:ascii="Arial" w:cs="Arial" w:eastAsia="Arial" w:hAnsi="Arial"/>
                <w:sz w:val="16"/>
                <w:szCs w:val="16"/>
                <w:color w:val="auto"/>
              </w:rPr>
              <w:t>422,349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1,038,347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6"/>
                <w:szCs w:val="16"/>
                <w:color w:val="auto"/>
              </w:rPr>
              <w:t>Vested in August 2023</w:t>
            </w:r>
          </w:p>
        </w:tc>
        <w:tc>
          <w:tcPr>
            <w:tcW w:w="1780" w:type="dxa"/>
            <w:vAlign w:val="bottom"/>
          </w:tcPr>
          <w:p>
            <w:pPr>
              <w:jc w:val="right"/>
              <w:spacing w:after="0"/>
              <w:rPr>
                <w:sz w:val="20"/>
                <w:szCs w:val="20"/>
                <w:color w:val="auto"/>
              </w:rPr>
            </w:pPr>
            <w:r>
              <w:rPr>
                <w:rFonts w:ascii="Arial" w:cs="Arial" w:eastAsia="Arial" w:hAnsi="Arial"/>
                <w:sz w:val="16"/>
                <w:szCs w:val="16"/>
                <w:color w:val="auto"/>
              </w:rPr>
              <w:t>(2,135)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Shares withheld for settlement of taxes</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Forfeitures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(50,378)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Units outstanding as of September 30,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1,407,137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10,284</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Stock Options:</w:t>
            </w: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Unvested awards as of December 31, 2022</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Granted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196,961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Stock Options outstanding as of September 30,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196,961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Performance Stock Units:</w:t>
            </w: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Unvested awards as of December 31, 2022</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6"/>
                <w:szCs w:val="16"/>
                <w:color w:val="auto"/>
              </w:rPr>
              <w:t>Granted</w:t>
            </w:r>
          </w:p>
        </w:tc>
        <w:tc>
          <w:tcPr>
            <w:tcW w:w="1780" w:type="dxa"/>
            <w:vAlign w:val="bottom"/>
          </w:tcPr>
          <w:p>
            <w:pPr>
              <w:jc w:val="right"/>
              <w:spacing w:after="0"/>
              <w:rPr>
                <w:sz w:val="20"/>
                <w:szCs w:val="20"/>
                <w:color w:val="auto"/>
              </w:rPr>
            </w:pPr>
            <w:r>
              <w:rPr>
                <w:rFonts w:ascii="Arial" w:cs="Arial" w:eastAsia="Arial" w:hAnsi="Arial"/>
                <w:sz w:val="16"/>
                <w:szCs w:val="16"/>
                <w:color w:val="auto"/>
              </w:rPr>
              <w:t>274,617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Vested in August 2023</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6"/>
                <w:szCs w:val="16"/>
                <w:color w:val="auto"/>
              </w:rPr>
              <w:t>Shares withheld for settlement of taxes</w:t>
            </w:r>
          </w:p>
        </w:tc>
        <w:tc>
          <w:tcPr>
            <w:tcW w:w="17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Forfeitures</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Performance Stock Units outstanding as of September 30, 2023</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270,528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375"/>
        </w:trPr>
        <w:tc>
          <w:tcPr>
            <w:tcW w:w="5160" w:type="dxa"/>
            <w:vAlign w:val="bottom"/>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20"/>
                <w:szCs w:val="20"/>
                <w:color w:val="auto"/>
              </w:rPr>
            </w:pPr>
            <w:r>
              <w:rPr>
                <w:rFonts w:ascii="Arial" w:cs="Arial" w:eastAsia="Arial" w:hAnsi="Arial"/>
                <w:sz w:val="16"/>
                <w:szCs w:val="16"/>
                <w:color w:val="auto"/>
              </w:rPr>
              <w:t>Total unvested awards outstanding as of September 30, 2023</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1,874,626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all stock awards included in Selling, general and administrative expenses: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2420" w:type="dxa"/>
            <w:vAlign w:val="bottom"/>
            <w:gridSpan w:val="6"/>
          </w:tcPr>
          <w:p>
            <w:pPr>
              <w:ind w:left="20"/>
              <w:spacing w:after="0"/>
              <w:rPr>
                <w:sz w:val="20"/>
                <w:szCs w:val="20"/>
                <w:color w:val="auto"/>
              </w:rPr>
            </w:pPr>
            <w:r>
              <w:rPr>
                <w:rFonts w:ascii="Arial" w:cs="Arial" w:eastAsia="Arial" w:hAnsi="Arial"/>
                <w:sz w:val="15"/>
                <w:szCs w:val="15"/>
                <w:b w:val="1"/>
                <w:bCs w:val="1"/>
                <w:color w:val="auto"/>
                <w:w w:val="93"/>
              </w:rPr>
              <w:t>Three Months Ended September 30,</w:t>
            </w:r>
          </w:p>
        </w:tc>
        <w:tc>
          <w:tcPr>
            <w:tcW w:w="160" w:type="dxa"/>
            <w:vAlign w:val="bottom"/>
          </w:tcPr>
          <w:p>
            <w:pPr>
              <w:spacing w:after="0"/>
              <w:rPr>
                <w:sz w:val="17"/>
                <w:szCs w:val="17"/>
                <w:color w:val="auto"/>
              </w:rPr>
            </w:pPr>
          </w:p>
        </w:tc>
        <w:tc>
          <w:tcPr>
            <w:tcW w:w="2500" w:type="dxa"/>
            <w:vAlign w:val="bottom"/>
            <w:gridSpan w:val="4"/>
          </w:tcPr>
          <w:p>
            <w:pPr>
              <w:jc w:val="right"/>
              <w:ind w:right="146"/>
              <w:spacing w:after="0"/>
              <w:rPr>
                <w:sz w:val="20"/>
                <w:szCs w:val="20"/>
                <w:color w:val="auto"/>
              </w:rPr>
            </w:pPr>
            <w:r>
              <w:rPr>
                <w:rFonts w:ascii="Arial" w:cs="Arial" w:eastAsia="Arial" w:hAnsi="Arial"/>
                <w:sz w:val="15"/>
                <w:szCs w:val="15"/>
                <w:b w:val="1"/>
                <w:bCs w:val="1"/>
                <w:color w:val="auto"/>
                <w:w w:val="91"/>
              </w:rPr>
              <w:t>Nine Months Ended September 30,</w:t>
            </w:r>
          </w:p>
        </w:tc>
      </w:tr>
      <w:tr>
        <w:trPr>
          <w:trHeight w:val="192"/>
        </w:trPr>
        <w:tc>
          <w:tcPr>
            <w:tcW w:w="50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2022</w:t>
            </w:r>
          </w:p>
        </w:tc>
      </w:tr>
      <w:tr>
        <w:trPr>
          <w:trHeight w:val="30"/>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7"/>
        </w:trPr>
        <w:tc>
          <w:tcPr>
            <w:tcW w:w="5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7"/>
        </w:trPr>
        <w:tc>
          <w:tcPr>
            <w:tcW w:w="50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Stock-based compensation expense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w:t>
            </w:r>
          </w:p>
        </w:tc>
      </w:tr>
      <w:tr>
        <w:trPr>
          <w:trHeight w:val="246"/>
        </w:trPr>
        <w:tc>
          <w:tcPr>
            <w:tcW w:w="5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Stock-based compensation expense related to unvested awards yet to be recognized as of September 30, 2023 totaled $7,705 and is expected to be recognized, on a weighted average basis, over 2.3 years.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Net (Loss) Income Per Share</w:t>
      </w:r>
    </w:p>
    <w:p>
      <w:pPr>
        <w:spacing w:after="0" w:line="214"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The basic income per share of Class A common stock is computed by dividing the net (loss) income attributable to Class A common stockholders by the weighted average number of Class A common stock outstanding during the period. The basic income per share for the three and nine months ended September 30, 2023 does not include 1,635,783 shares in treasury, 763,908 shares issued and outstanding but are contingent on achieving earnout targets. In the first quarter of 2023, the put option was exercised and 197,258 shares of Class A common stock were cancelled.</w:t>
      </w:r>
    </w:p>
    <w:p>
      <w:pPr>
        <w:spacing w:after="0" w:line="167" w:lineRule="exact"/>
        <w:rPr>
          <w:sz w:val="20"/>
          <w:szCs w:val="20"/>
          <w:color w:val="auto"/>
        </w:rPr>
      </w:pPr>
    </w:p>
    <w:p>
      <w:pPr>
        <w:jc w:val="both"/>
        <w:ind w:firstLine="296"/>
        <w:spacing w:after="0" w:line="263" w:lineRule="auto"/>
        <w:rPr>
          <w:sz w:val="20"/>
          <w:szCs w:val="20"/>
          <w:color w:val="auto"/>
        </w:rPr>
      </w:pPr>
      <w:r>
        <w:rPr>
          <w:rFonts w:ascii="Arial" w:cs="Arial" w:eastAsia="Arial" w:hAnsi="Arial"/>
          <w:sz w:val="16"/>
          <w:szCs w:val="16"/>
          <w:color w:val="auto"/>
        </w:rPr>
        <w:t>The diluted income per share of Class A common stock for the three and nine months ended September 30, 2023 does not include Redeemable preferred non-controlling interests because the substantive contingency for conversion has not been met as of September 30, 2023.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September 30, 2023. The outstanding stock options issued under the 2022 Plan are not included as their impact is antidilutive. The outstanding performance units under the 2022 Plan are not included as the performance conditions have not been met as of September 30, 2023.</w:t>
      </w:r>
    </w:p>
    <w:p>
      <w:pPr>
        <w:spacing w:after="0" w:line="109"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Class D common stock does not participate in the earnings or losses of the Company and are therefore not participating securities. As such, separate presentation of basic and diluted earnings per share of Class D common stock under the two-class method has not been presented.</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208"/>
        </w:trPr>
        <w:tc>
          <w:tcPr>
            <w:tcW w:w="6660" w:type="dxa"/>
            <w:vAlign w:val="bottom"/>
            <w:gridSpan w:val="2"/>
          </w:tcPr>
          <w:p>
            <w:pPr>
              <w:spacing w:after="0"/>
              <w:rPr>
                <w:sz w:val="20"/>
                <w:szCs w:val="20"/>
                <w:color w:val="auto"/>
              </w:rPr>
            </w:pPr>
            <w:r>
              <w:rPr>
                <w:rFonts w:ascii="Arial" w:cs="Arial" w:eastAsia="Arial" w:hAnsi="Arial"/>
                <w:sz w:val="16"/>
                <w:szCs w:val="16"/>
                <w:color w:val="auto"/>
              </w:rPr>
              <w:t>The following table summarizes the calculation of basic and diluted net loss per share:</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95"/>
              </w:rPr>
              <w:t>Nine Months Ended</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66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w w:val="99"/>
              </w:rPr>
              <w:t>September 30, 2023</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95"/>
              </w:rPr>
              <w:t>September 30, 2023</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Class A common stockholders</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15,945</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 of Class A common stock - basic</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26,978,969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27,110,953</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6600" w:type="dxa"/>
            <w:vAlign w:val="bottom"/>
          </w:tcPr>
          <w:p>
            <w:pPr>
              <w:ind w:left="20"/>
              <w:spacing w:after="0" w:line="160" w:lineRule="exact"/>
              <w:rPr>
                <w:sz w:val="20"/>
                <w:szCs w:val="20"/>
                <w:color w:val="auto"/>
              </w:rPr>
            </w:pPr>
            <w:r>
              <w:rPr>
                <w:rFonts w:ascii="Arial" w:cs="Arial" w:eastAsia="Arial" w:hAnsi="Arial"/>
                <w:sz w:val="16"/>
                <w:szCs w:val="16"/>
                <w:color w:val="auto"/>
                <w:w w:val="94"/>
              </w:rPr>
              <w:t>Dilutive effect of stock options, restricted stock units, performance units, Convertible note payable,</w:t>
            </w: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6600" w:type="dxa"/>
            <w:vAlign w:val="bottom"/>
          </w:tcPr>
          <w:p>
            <w:pPr>
              <w:ind w:left="20"/>
              <w:spacing w:after="0" w:line="172" w:lineRule="exact"/>
              <w:rPr>
                <w:sz w:val="20"/>
                <w:szCs w:val="20"/>
                <w:color w:val="auto"/>
              </w:rPr>
            </w:pPr>
            <w:r>
              <w:rPr>
                <w:rFonts w:ascii="Arial" w:cs="Arial" w:eastAsia="Arial" w:hAnsi="Arial"/>
                <w:sz w:val="16"/>
                <w:szCs w:val="16"/>
                <w:color w:val="auto"/>
                <w:w w:val="99"/>
              </w:rPr>
              <w:t>earnout shares, Redeemable preferred non-controlling interests, Redeemable non-controlling</w:t>
            </w: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8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572,902</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 of Class A common stock - diluted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26,978,969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27,683,855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 of Class A common stock</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6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Income Taxes</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As a result of the Company’s up-C structure effective with the Business Combination,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business, there may be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pacing w:after="0" w:line="15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6"/>
          <w:szCs w:val="16"/>
          <w:color w:val="auto"/>
        </w:rPr>
        <w:t>For the three and nine months ended September 30, 2023, the Company recorded zero income tax expense. The effective tax rate for the three and nine months ended September 30, 2023 was 0%. The difference between the Company’s effective tax rate for the three and nine months ended September 30, 2023 and the U.S. statutory tax rate of 21% was primarily due to a full valuation allowance recorded on the Company’s net U.S. deferred tax assets. The Company did not record a tax provision for the three and nine months ended September 30, 2022 primarily due to OPAL Fuels' status as a pass-through entity for U.S. federal income tax purposes. The Company evaluates the realizability of the deferred tax assets on a quarterly basis and establishes a valuation allowance when it is more likely than not that all or a portion of a deferred tax asset may not be realized.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Commitments and Contingencies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w:t>
      </w:r>
    </w:p>
    <w:p>
      <w:pPr>
        <w:spacing w:after="0" w:line="140"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As of September 30, 2023 and December 31, 2022, the Company was required to maintain five and nine standby letters of credit totaling $10,498 and $2,292,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Options</w:t>
      </w:r>
    </w:p>
    <w:p>
      <w:pPr>
        <w:spacing w:after="0" w:line="140"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88"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99"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On May 30, 2023, OPAL Intermediate Holdco 2 assigned to Paragon its rights and obligations under the OPAL Term Loan II. Additionally, the Company signed an equity commitment letter up to a maximum of $2,100, to Paragon relating to its share of equity contribution towards any cost over runs in connection with the construction and completion of Emerald project.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153"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76"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In September 2021, an indirect subsidiary of the Company, MD Digester, LLC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entered into a nearly identical EPC Contract for the design and construction of a second facility, also in California’s Central Valley. CEI’s performance under both of the EPC Contracts is fully bonded by licensed sureties.</w:t>
      </w:r>
    </w:p>
    <w:p>
      <w:pPr>
        <w:spacing w:after="0" w:line="192"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CEI has submitted a series of change order requests seeking to increase the EPC Contract Price by approximately $14 million, per project, primarily due to: (1) modifications to CEI’s design drawings which are required to meet its contracted performance guaranties, and (2) a termination (for default) of one of CEI’s major equipment manufacturers. The Company disputes the vast majority of the change order requests. The Company, CEI and CEI’s surety are in active settlement discussions and have agreed to a temporary funding arrangement pending resolution of the disputed change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orders to keep the projects moving forward. No formal legal proceedings have been filed, and no discovery has been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Subsequent Events</w:t>
      </w:r>
    </w:p>
    <w:p>
      <w:pPr>
        <w:spacing w:after="0" w:line="200" w:lineRule="exact"/>
        <w:rPr>
          <w:sz w:val="20"/>
          <w:szCs w:val="20"/>
          <w:color w:val="auto"/>
        </w:rPr>
      </w:pPr>
    </w:p>
    <w:p>
      <w:pPr>
        <w:spacing w:after="0" w:line="298" w:lineRule="exact"/>
        <w:rPr>
          <w:sz w:val="20"/>
          <w:szCs w:val="20"/>
          <w:color w:val="auto"/>
        </w:rPr>
      </w:pPr>
    </w:p>
    <w:p>
      <w:pPr>
        <w:jc w:val="both"/>
        <w:ind w:firstLine="296"/>
        <w:spacing w:after="0" w:line="262" w:lineRule="auto"/>
        <w:rPr>
          <w:sz w:val="20"/>
          <w:szCs w:val="20"/>
          <w:color w:val="auto"/>
        </w:rPr>
      </w:pPr>
      <w:r>
        <w:rPr>
          <w:rFonts w:ascii="Arial" w:cs="Arial" w:eastAsia="Arial" w:hAnsi="Arial"/>
          <w:sz w:val="16"/>
          <w:szCs w:val="16"/>
          <w:color w:val="auto"/>
        </w:rPr>
        <w:t>On October 5, 2023, Ms. Ann Anthony gave notice of her intention to resign as Chief Financial Officer ("CFO") of the Company to pursue another professional opportunity. Ms. Anthony’s departure date was at the time not yet determined. Ms. Anthony will, also resign from her positions as the Company’s Principal Financial Officer and Principal Accounting Officer. On October 10, 2023, the board of directors of the Company appointed Mr. Scott Contino as Interim Chief Financial Officer. Mr. Contino will assist Ms. Anthony during the transition and assume the CFO role on the date of Ms. Anthony’s departure. The Company has entered into an interim services agreement (the “Interim Services Agreement”) with Fortistar in accordance with the terms and conditions of the existing Administrative Services Agreement between the Company and Fortistar. Pursuant to the Interim Services Agreement, the Company will pay Fortistar a services fee as described below, which is substantially the same as the cash compensation that was paid to Ms. Anthony.</w:t>
      </w:r>
    </w:p>
    <w:p>
      <w:pPr>
        <w:spacing w:after="0" w:line="110"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On October 19, 2023, Ms. Anthony signed a separation agreement with the Company, pursuant to which Ms. Anthony has agreed to serve in her current role until November 15, 2023. Certain equity incentive awards that were granted to Ms. Anthony, and that would have otherwise been forfeited due to her resignation, will vest on March 31, 2024 in accordance with the Separation Agreement. These equity awards consist of 33,328 restricted stock units and options to purchase 5,545 shares of Class A Common Stock at an exercise price of $6.97.</w:t>
      </w:r>
    </w:p>
    <w:p>
      <w:pPr>
        <w:spacing w:after="0" w:line="105" w:lineRule="exact"/>
        <w:rPr>
          <w:sz w:val="20"/>
          <w:szCs w:val="20"/>
          <w:color w:val="auto"/>
        </w:rPr>
      </w:pPr>
    </w:p>
    <w:p>
      <w:pPr>
        <w:jc w:val="both"/>
        <w:ind w:firstLine="296"/>
        <w:spacing w:after="0" w:line="282" w:lineRule="auto"/>
        <w:rPr>
          <w:sz w:val="20"/>
          <w:szCs w:val="20"/>
          <w:color w:val="auto"/>
        </w:rPr>
      </w:pPr>
      <w:r>
        <w:rPr>
          <w:rFonts w:ascii="Arial" w:cs="Arial" w:eastAsia="Arial" w:hAnsi="Arial"/>
          <w:sz w:val="15"/>
          <w:szCs w:val="15"/>
          <w:color w:val="auto"/>
        </w:rPr>
        <w:t>On October 20, 2023 (the “Effective Date”), a wholly-owned subsidiary of the Company entered into an Asset Purchase and Sale Agreement (for the purposes of this paragraph, the “Agreement”) with Washington Gas Light Company ("WGL"). The subsidiary is currently constructing a production facility (the “Facility”) at the Prince William County landfill located in Manassas, Virginia, on a parcel located on the landfill, to process landfill gas into RNG. The Agreement obligates the subsidiary to develop, plan and permit a gas pipeline extension and associated interconnection facilities (the “Project”) to deliver RNG from the Facility to an interconnection point on WGL’s pipeline. Per the terms and conditions of the Agreement, WGL will purchase the Project from the subsidiary after the final completion of same at a purchase price of $25 million. The closing is contingent upon approval of the Agreement by the Virginia State Corporation Commission, as well as the satisfaction of customary closing conditions, and the outside closing date is on or prior to the 12-month anniversary of the Effective Date.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40"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i w:val="1"/>
          <w:iCs w:val="1"/>
          <w:color w:val="auto"/>
        </w:rPr>
        <w:t xml:space="preserve">In this section, references to "OPAL", "we", "us", "our", and the "Company" refer to </w:t>
      </w:r>
      <w:r>
        <w:rPr>
          <w:rFonts w:ascii="Arial" w:cs="Arial" w:eastAsia="Arial" w:hAnsi="Arial"/>
          <w:sz w:val="16"/>
          <w:szCs w:val="16"/>
          <w:color w:val="auto"/>
        </w:rPr>
        <w:t>OPAL Fuels Inc.</w:t>
      </w:r>
      <w:r>
        <w:rPr>
          <w:rFonts w:ascii="Arial" w:cs="Arial" w:eastAsia="Arial" w:hAnsi="Arial"/>
          <w:sz w:val="16"/>
          <w:szCs w:val="16"/>
          <w:i w:val="1"/>
          <w:iCs w:val="1"/>
          <w:color w:val="auto"/>
        </w:rPr>
        <w:t xml:space="preserve"> and its consolidated subsidiaries. The following discussion and analysis should be read in conjunction with the Company's unaudited condensed consolidated financial statements as of September 30, 2023 and for the three and nine months ended September 30, 2023 and 2022, and the audited consolidated financial statements and notes thereto included in the Company's Annual Report. In addition to historical information, this discussion and analysis includes certain forward-looking statements which reflect our current expectations. The Company's actual results may materially differ from these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4" w:lineRule="exact"/>
        <w:rPr>
          <w:sz w:val="20"/>
          <w:szCs w:val="20"/>
          <w:color w:val="auto"/>
        </w:rPr>
      </w:pPr>
    </w:p>
    <w:p>
      <w:pPr>
        <w:jc w:val="both"/>
        <w:ind w:firstLine="296"/>
        <w:spacing w:after="0" w:line="281" w:lineRule="auto"/>
        <w:rPr>
          <w:sz w:val="20"/>
          <w:szCs w:val="20"/>
          <w:color w:val="auto"/>
        </w:rPr>
      </w:pPr>
      <w:r>
        <w:rPr>
          <w:rFonts w:ascii="Arial" w:cs="Arial" w:eastAsia="Arial" w:hAnsi="Arial"/>
          <w:sz w:val="15"/>
          <w:szCs w:val="15"/>
          <w:color w:val="auto"/>
        </w:rPr>
        <w:t>We are a renewable energy company specializing in the capture and conversion of biogas for the (i) production of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recently begun implementing design, development, and construction services for hydrogen Fueling Stations, and we are pursuing opportunities to diversify our sources of biogas to other waste streams. The term “Environmental Attributes” refers to federal, state and local government incentives in the United States, provided in the form of RINs, RECs, LCFS credits, ISCC Carbon Credits, rebates, tax credits and other incentives to end users, distributors, system integrators and manufacturers of renewable energy projects.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developments</w:t>
      </w:r>
    </w:p>
    <w:p>
      <w:pPr>
        <w:spacing w:after="0" w:line="149" w:lineRule="exact"/>
        <w:rPr>
          <w:sz w:val="20"/>
          <w:szCs w:val="20"/>
          <w:color w:val="auto"/>
        </w:rPr>
      </w:pPr>
    </w:p>
    <w:p>
      <w:pPr>
        <w:jc w:val="both"/>
        <w:ind w:firstLine="296"/>
        <w:spacing w:after="0" w:line="262" w:lineRule="auto"/>
        <w:rPr>
          <w:sz w:val="20"/>
          <w:szCs w:val="20"/>
          <w:color w:val="auto"/>
        </w:rPr>
      </w:pPr>
      <w:r>
        <w:rPr>
          <w:rFonts w:ascii="Arial" w:cs="Arial" w:eastAsia="Arial" w:hAnsi="Arial"/>
          <w:sz w:val="16"/>
          <w:szCs w:val="16"/>
          <w:color w:val="auto"/>
        </w:rPr>
        <w:t>On October 5, 2023, Ms. Ann Anthony gave notice of her intention to resign as Chief Financial Officer ("CFO") of the Company to pursue another professional opportunity. Ms. Anthony’s departure date was at the time not yet determined. Ms. Anthony will, also resign from her positions as the Company’s Principal Financial Officer and Principal Accounting Officer. On October 10, 2023, the board of directors of the Company appointed Mr. Scott Contino as Interim Chief Financial Officer. Mr. Contino will assist Ms. Anthony during the transition and assume the CFO role on the date of Ms. Anthony’s departure. The Company has entered into an interim services agreement (the “Interim Services Agreement”) with Fortistar in accordance with the terms and conditions of the existing Administrative Services Agreement between the Company and Fortistar. Pursuant to the Interim Services Agreement, the Company will pay Fortistar a services fee as described below, which is substantially the same as the cash compensation that was paid to Ms. Anthony.</w:t>
      </w:r>
    </w:p>
    <w:p>
      <w:pPr>
        <w:spacing w:after="0" w:line="97"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On October 19, 2023, Ms. Anthony signed a separation agreement with the Company, pursuant to which Ms. Anthony has agreed to serve in her current role until November 15, 2023. Certain equity incentive awards that were granted to Ms. Anthony, and that would have otherwise been forfeited due to her resignation, will vest on March 31, 2024 in accordance with the Separation Agreement. These equity awards consist of 33,328 restricted stock units and options to purchase 5,545 shares of Class A Common Stock at an exercise price of $6.97.</w:t>
      </w:r>
    </w:p>
    <w:p>
      <w:pPr>
        <w:spacing w:after="0" w:line="105" w:lineRule="exact"/>
        <w:rPr>
          <w:sz w:val="20"/>
          <w:szCs w:val="20"/>
          <w:color w:val="auto"/>
        </w:rPr>
      </w:pPr>
    </w:p>
    <w:p>
      <w:pPr>
        <w:jc w:val="both"/>
        <w:ind w:firstLine="296"/>
        <w:spacing w:after="0" w:line="282" w:lineRule="auto"/>
        <w:rPr>
          <w:sz w:val="20"/>
          <w:szCs w:val="20"/>
          <w:color w:val="auto"/>
        </w:rPr>
      </w:pPr>
      <w:r>
        <w:rPr>
          <w:rFonts w:ascii="Arial" w:cs="Arial" w:eastAsia="Arial" w:hAnsi="Arial"/>
          <w:sz w:val="15"/>
          <w:szCs w:val="15"/>
          <w:color w:val="auto"/>
        </w:rPr>
        <w:t>On October 20, 2023 (the “Effective Date”), a wholly-owned subsidiary of the Company entered into an Asset Purchase and Sale Agreement (for the purposes of this paragraph, the “Agreement”) with Washington Gas Light Company ("WGL"). The subsidiary is currently constructing a production facility (the “Facility”) at the Prince William County landfill located in Manassas, Virginia, on a parcel located on the landfill, to process LFG into RNG. The Agreement obligates the subsidiary to develop, plan and permit a gas pipeline extension and associated interconnection facilities (the “Project”) to deliver RNG from the Facility to an interconnection point on WGL’s pipeline. Per the terms and conditions of the Agreement, WGL will purchase the Project from the subsidiary after the final completion of same at a purchase price of $25 million. The closing is contingent upon approval of the Agreement by the Virginia State Corporation Commission, as well as the satisfaction of customary closing conditions, and the outside closing date is on or prior to the 12-month anniversary of the Effective Date.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COVID-19</w:t>
      </w:r>
    </w:p>
    <w:p>
      <w:pPr>
        <w:spacing w:after="0" w:line="149"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5"/>
          <w:szCs w:val="15"/>
          <w:color w:val="auto"/>
        </w:rPr>
        <w:t>In response to the COVID-19 pandemic, we instituted a safety committee to oversee our compliance with federal, state, and local government mandates, and ensure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9" w:name="page60"/>
    <w:bookmarkEnd w:id="59"/>
    <w:p>
      <w:pPr>
        <w:jc w:val="both"/>
        <w:spacing w:after="0" w:line="288" w:lineRule="auto"/>
        <w:rPr>
          <w:sz w:val="20"/>
          <w:szCs w:val="20"/>
          <w:color w:val="auto"/>
        </w:rPr>
      </w:pPr>
      <w:r>
        <w:rPr>
          <w:rFonts w:ascii="Arial" w:cs="Arial" w:eastAsia="Arial" w:hAnsi="Arial"/>
          <w:sz w:val="16"/>
          <w:szCs w:val="16"/>
          <w:color w:val="auto"/>
        </w:rPr>
        <w:t>worked remotely and minimized travel and other non-essential contact. Additionally, we are providing our employees with COVID-19 testing at no cost and personal protective equipment for their safety and well-being.</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the date of this report, the COVID-19 pandemic has had a relatively minimal economic impact on our results of operations.</w:t>
      </w:r>
    </w:p>
    <w:p>
      <w:pPr>
        <w:spacing w:after="0" w:line="149"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duration and future economic severity of the COVID-19 remains uncertain, and our results of operations and financial condition could potentially face material adverse effect(s) in the future due to COVID-19.</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Accounting Policies</w:t>
      </w:r>
    </w:p>
    <w:p>
      <w:pPr>
        <w:spacing w:after="0" w:line="124" w:lineRule="exact"/>
        <w:rPr>
          <w:sz w:val="20"/>
          <w:szCs w:val="20"/>
          <w:color w:val="auto"/>
        </w:rPr>
      </w:pPr>
    </w:p>
    <w:p>
      <w:pPr>
        <w:jc w:val="both"/>
        <w:ind w:firstLine="591"/>
        <w:spacing w:after="0" w:line="245"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interim unaudited condensed consolidated financial statements, which have been prepared in accordance with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spacing w:after="0" w:line="207"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6"/>
          <w:szCs w:val="16"/>
          <w:color w:val="auto"/>
        </w:rPr>
        <w:t>Critical accounting policies are those that reflect significant judgments of uncertainties and potentially result in materially different results under different assumptions and conditions. As the discussion and analysis of our financial condition and results of operations are based upon our interim unaudited condensed consolidated financial statements, they do not include all of the information on critical accounting policies normally included in consolidated financial statements. Accordingly, a detailed description of these critical accounting policies and the consolidated financial statements and notes thereto are included in the Company’s Annual Report.</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1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fair value of the deconsolidated VIEs, the value of stock-based compensation and the fair value of derivatives including warrant liabilities, earnout liabilities, put option on a forward purchase agreement, interest rate swaps and commodity swap contracts.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and Trends Influencing our Results of Operations</w:t>
      </w:r>
    </w:p>
    <w:p>
      <w:pPr>
        <w:spacing w:after="0" w:line="153" w:lineRule="exact"/>
        <w:rPr>
          <w:sz w:val="20"/>
          <w:szCs w:val="20"/>
          <w:color w:val="auto"/>
        </w:rPr>
      </w:pPr>
    </w:p>
    <w:p>
      <w:pPr>
        <w:jc w:val="both"/>
        <w:ind w:firstLine="296"/>
        <w:spacing w:after="0" w:line="324" w:lineRule="auto"/>
        <w:rPr>
          <w:sz w:val="20"/>
          <w:szCs w:val="20"/>
          <w:color w:val="auto"/>
        </w:rPr>
      </w:pPr>
      <w:r>
        <w:rPr>
          <w:rFonts w:ascii="Arial" w:cs="Arial" w:eastAsia="Arial" w:hAnsi="Arial"/>
          <w:sz w:val="15"/>
          <w:szCs w:val="15"/>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Arial" w:cs="Arial" w:eastAsia="Arial" w:hAnsi="Arial"/>
          <w:sz w:val="15"/>
          <w:szCs w:val="15"/>
          <w:i w:val="1"/>
          <w:iCs w:val="1"/>
          <w:color w:val="auto"/>
        </w:rPr>
        <w:t>Risk Factors</w:t>
      </w:r>
      <w:r>
        <w:rPr>
          <w:rFonts w:ascii="Arial" w:cs="Arial" w:eastAsia="Arial" w:hAnsi="Arial"/>
          <w:sz w:val="15"/>
          <w:szCs w:val="15"/>
          <w:color w:val="auto"/>
        </w:rPr>
        <w:t>" elsewhere in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 Demand for RNG</w:t>
      </w:r>
    </w:p>
    <w:p>
      <w:pPr>
        <w:spacing w:after="0" w:line="210" w:lineRule="exact"/>
        <w:rPr>
          <w:sz w:val="20"/>
          <w:szCs w:val="20"/>
          <w:color w:val="auto"/>
        </w:rPr>
      </w:pPr>
    </w:p>
    <w:p>
      <w:pPr>
        <w:jc w:val="both"/>
        <w:ind w:firstLine="296"/>
        <w:spacing w:after="0" w:line="261" w:lineRule="auto"/>
        <w:rPr>
          <w:sz w:val="20"/>
          <w:szCs w:val="20"/>
          <w:color w:val="auto"/>
        </w:rPr>
      </w:pPr>
      <w:r>
        <w:rPr>
          <w:rFonts w:ascii="Arial" w:cs="Arial" w:eastAsia="Arial" w:hAnsi="Arial"/>
          <w:sz w:val="16"/>
          <w:szCs w:val="16"/>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spacing w:after="0" w:line="171" w:lineRule="exact"/>
        <w:rPr>
          <w:sz w:val="20"/>
          <w:szCs w:val="20"/>
          <w:color w:val="auto"/>
        </w:rPr>
      </w:pPr>
    </w:p>
    <w:p>
      <w:pPr>
        <w:jc w:val="both"/>
        <w:ind w:firstLine="296"/>
        <w:spacing w:after="0" w:line="203" w:lineRule="exact"/>
        <w:rPr>
          <w:sz w:val="20"/>
          <w:szCs w:val="20"/>
          <w:color w:val="auto"/>
        </w:rPr>
      </w:pPr>
      <w:r>
        <w:rPr>
          <w:rFonts w:ascii="Arial" w:cs="Arial" w:eastAsia="Arial" w:hAnsi="Arial"/>
          <w:sz w:val="16"/>
          <w:szCs w:val="16"/>
          <w:color w:val="auto"/>
        </w:rPr>
        <w:t>Transportation, including heavy-duty trucking, generates approximately 30% of overall CO</w:t>
      </w:r>
      <w:r>
        <w:rPr>
          <w:rFonts w:ascii="MS PGothic" w:cs="MS PGothic" w:eastAsia="MS PGothic" w:hAnsi="MS PGothic"/>
          <w:sz w:val="16"/>
          <w:szCs w:val="16"/>
          <w:color w:val="auto"/>
        </w:rPr>
        <w:t>₂</w:t>
      </w:r>
      <w:r>
        <w:rPr>
          <w:rFonts w:ascii="Arial" w:cs="Arial" w:eastAsia="Arial" w:hAnsi="Arial"/>
          <w:sz w:val="16"/>
          <w:szCs w:val="16"/>
          <w:color w:val="auto"/>
        </w:rPr>
        <w:t xml:space="preserve"> and other climate-harming GHG emissions in the United States, and transitioning this sector to low and negative carbon fuels is a critical step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60" w:name="page61"/>
    <w:bookmarkEnd w:id="60"/>
    <w:p>
      <w:pPr>
        <w:jc w:val="both"/>
        <w:spacing w:after="0" w:line="288" w:lineRule="auto"/>
        <w:rPr>
          <w:sz w:val="20"/>
          <w:szCs w:val="20"/>
          <w:color w:val="auto"/>
        </w:rPr>
      </w:pPr>
      <w:r>
        <w:rPr>
          <w:rFonts w:ascii="Arial" w:cs="Arial" w:eastAsia="Arial" w:hAnsi="Arial"/>
          <w:sz w:val="16"/>
          <w:szCs w:val="16"/>
          <w:color w:val="auto"/>
        </w:rPr>
        <w:t>towards reducing overall global GHG emissions. The adoption rate of RNG-powered vehicles by commercial transportation fleets will significantly impact demand for our products.</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are also exposed to the commodity prices of natural gas and diesel, which serve as alternative fuel for RNG and therefore impact the demand for RNG.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Renewable Power Markets</w:t>
      </w:r>
    </w:p>
    <w:p>
      <w:pPr>
        <w:spacing w:after="0" w:line="210" w:lineRule="exact"/>
        <w:rPr>
          <w:sz w:val="20"/>
          <w:szCs w:val="20"/>
          <w:color w:val="auto"/>
        </w:rPr>
      </w:pPr>
    </w:p>
    <w:p>
      <w:pPr>
        <w:jc w:val="both"/>
        <w:ind w:firstLine="296"/>
        <w:spacing w:after="0" w:line="329" w:lineRule="auto"/>
        <w:rPr>
          <w:sz w:val="20"/>
          <w:szCs w:val="20"/>
          <w:color w:val="auto"/>
        </w:rPr>
      </w:pPr>
      <w:r>
        <w:rPr>
          <w:rFonts w:ascii="Arial" w:cs="Arial" w:eastAsia="Arial" w:hAnsi="Arial"/>
          <w:sz w:val="14"/>
          <w:szCs w:val="14"/>
          <w:color w:val="auto"/>
        </w:rPr>
        <w:t>We also generate revenues from sales of Renewable Power generated by our biogas-to-Renewable Power projects, and associated ISCC Carbon Credits and RECs. ISCC Carbon Credits and RECs exist because of legal and governmental regulatory requirements in Europe and the United States, respectively, and a change in law or in governmental policies concerning Renewable Power, LFG, or ISCC Carbon Credits or RECs could affect the market for, and the pricing of, such power and credits.</w:t>
      </w:r>
    </w:p>
    <w:p>
      <w:pPr>
        <w:spacing w:after="0" w:line="127"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associated ISCC Carbon Credits and RECs, together with the revenue opportunities and conversion costs associated with converting our LFG sites to RNG production, could have a significant impact on our future profitability.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140" w:lineRule="exact"/>
        <w:rPr>
          <w:sz w:val="20"/>
          <w:szCs w:val="20"/>
          <w:color w:val="auto"/>
        </w:rPr>
      </w:pPr>
    </w:p>
    <w:p>
      <w:pPr>
        <w:jc w:val="both"/>
        <w:ind w:firstLine="296"/>
        <w:spacing w:after="0" w:line="257" w:lineRule="auto"/>
        <w:rPr>
          <w:sz w:val="20"/>
          <w:szCs w:val="20"/>
          <w:color w:val="auto"/>
        </w:rPr>
      </w:pPr>
      <w:r>
        <w:rPr>
          <w:rFonts w:ascii="Arial" w:cs="Arial" w:eastAsia="Arial" w:hAnsi="Arial"/>
          <w:sz w:val="16"/>
          <w:szCs w:val="16"/>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spacing w:after="0" w:line="2" w:lineRule="exact"/>
        <w:rPr>
          <w:sz w:val="20"/>
          <w:szCs w:val="20"/>
          <w:color w:val="auto"/>
        </w:rPr>
      </w:pPr>
    </w:p>
    <w:p>
      <w:pPr>
        <w:ind w:left="740" w:hanging="446"/>
        <w:spacing w:after="0" w:line="254" w:lineRule="auto"/>
        <w:tabs>
          <w:tab w:leader="none" w:pos="736"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RNG Fuel. </w:t>
      </w:r>
      <w:r>
        <w:rPr>
          <w:rFonts w:ascii="Arial" w:cs="Arial" w:eastAsia="Arial" w:hAnsi="Arial"/>
          <w:sz w:val="16"/>
          <w:szCs w:val="16"/>
          <w:color w:val="auto"/>
        </w:rPr>
        <w:t>The RNG Fuel segment includes RNG supply as well as the associated generation and sale of commodity natural gas and environmental credits,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consists of:</w:t>
      </w:r>
    </w:p>
    <w:p>
      <w:pPr>
        <w:spacing w:after="0" w:line="200" w:lineRule="exact"/>
        <w:rPr>
          <w:rFonts w:ascii="Arial" w:cs="Arial" w:eastAsia="Arial" w:hAnsi="Arial"/>
          <w:sz w:val="16"/>
          <w:szCs w:val="16"/>
          <w:color w:val="auto"/>
        </w:rPr>
      </w:pPr>
    </w:p>
    <w:p>
      <w:pPr>
        <w:ind w:left="1320" w:right="420" w:hanging="434"/>
        <w:spacing w:after="0" w:line="264" w:lineRule="auto"/>
        <w:tabs>
          <w:tab w:leader="none" w:pos="1317" w:val="left"/>
        </w:tabs>
        <w:numPr>
          <w:ilvl w:val="1"/>
          <w:numId w:val="25"/>
        </w:numPr>
        <w:rPr>
          <w:rFonts w:ascii="Arial" w:cs="Arial" w:eastAsia="Arial" w:hAnsi="Arial"/>
          <w:sz w:val="16"/>
          <w:szCs w:val="16"/>
          <w:color w:val="auto"/>
        </w:rPr>
      </w:pPr>
      <w:r>
        <w:rPr>
          <w:rFonts w:ascii="Arial" w:cs="Arial" w:eastAsia="Arial" w:hAnsi="Arial"/>
          <w:sz w:val="16"/>
          <w:szCs w:val="16"/>
          <w:color w:val="auto"/>
        </w:rPr>
        <w:t>RNG Production Facilities – the design, development, construction, maintenance and operation of facilities that convert raw biogas into pipeline quality natural gas; and</w:t>
      </w:r>
    </w:p>
    <w:p>
      <w:pPr>
        <w:ind w:left="1320" w:hanging="434"/>
        <w:spacing w:after="0"/>
        <w:tabs>
          <w:tab w:leader="none" w:pos="13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Company's interests in both operating and construction projects.</w:t>
      </w:r>
    </w:p>
    <w:p>
      <w:pPr>
        <w:spacing w:after="0" w:line="207" w:lineRule="exact"/>
        <w:rPr>
          <w:rFonts w:ascii="Arial" w:cs="Arial" w:eastAsia="Arial" w:hAnsi="Arial"/>
          <w:sz w:val="16"/>
          <w:szCs w:val="16"/>
          <w:color w:val="auto"/>
        </w:rPr>
      </w:pPr>
    </w:p>
    <w:p>
      <w:pPr>
        <w:ind w:left="740" w:hanging="446"/>
        <w:spacing w:after="0" w:line="312" w:lineRule="auto"/>
        <w:tabs>
          <w:tab w:leader="none" w:pos="736"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 xml:space="preserve">Fuel Station Services. </w:t>
      </w:r>
      <w:r>
        <w:rPr>
          <w:rFonts w:ascii="Arial" w:cs="Arial" w:eastAsia="Arial" w:hAnsi="Arial"/>
          <w:sz w:val="15"/>
          <w:szCs w:val="15"/>
          <w:color w:val="auto"/>
        </w:rPr>
        <w:t>Through its Fuel Station Services segment</w:t>
      </w:r>
      <w:r>
        <w:rPr>
          <w:rFonts w:ascii="Arial" w:cs="Arial" w:eastAsia="Arial" w:hAnsi="Arial"/>
          <w:sz w:val="15"/>
          <w:szCs w:val="15"/>
          <w:b w:val="1"/>
          <w:bCs w:val="1"/>
          <w:color w:val="auto"/>
        </w:rPr>
        <w:t>, t</w:t>
      </w:r>
      <w:r>
        <w:rPr>
          <w:rFonts w:ascii="Arial" w:cs="Arial" w:eastAsia="Arial" w:hAnsi="Arial"/>
          <w:sz w:val="15"/>
          <w:szCs w:val="15"/>
          <w:color w:val="auto"/>
        </w:rPr>
        <w:t>he Company provides construction and maintenance services to third-party owners of</w:t>
      </w:r>
      <w:r>
        <w:rPr>
          <w:rFonts w:ascii="Arial" w:cs="Arial" w:eastAsia="Arial" w:hAnsi="Arial"/>
          <w:sz w:val="15"/>
          <w:szCs w:val="15"/>
          <w:b w:val="1"/>
          <w:bCs w:val="1"/>
          <w:color w:val="auto"/>
        </w:rPr>
        <w:t xml:space="preserve"> </w:t>
      </w:r>
      <w:r>
        <w:rPr>
          <w:rFonts w:ascii="Arial" w:cs="Arial" w:eastAsia="Arial" w:hAnsi="Arial"/>
          <w:sz w:val="15"/>
          <w:szCs w:val="15"/>
          <w:color w:val="auto"/>
        </w:rPr>
        <w:t>vehicle Fueling Stations and performs fuel dispensing activities including generation and minting of environmental credits. This segment includes:</w:t>
      </w:r>
    </w:p>
    <w:p>
      <w:pPr>
        <w:spacing w:after="0" w:line="147" w:lineRule="exact"/>
        <w:rPr>
          <w:rFonts w:ascii="Arial" w:cs="Arial" w:eastAsia="Arial" w:hAnsi="Arial"/>
          <w:sz w:val="15"/>
          <w:szCs w:val="15"/>
          <w:color w:val="auto"/>
        </w:rPr>
      </w:pPr>
    </w:p>
    <w:p>
      <w:pPr>
        <w:ind w:left="1320" w:hanging="434"/>
        <w:spacing w:after="0"/>
        <w:tabs>
          <w:tab w:leader="none" w:pos="13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Manufacturing division that builds Compact Fueling Systems and Defueling systems;</w:t>
      </w:r>
    </w:p>
    <w:p>
      <w:pPr>
        <w:spacing w:after="0" w:line="24" w:lineRule="exact"/>
        <w:rPr>
          <w:rFonts w:ascii="Arial" w:cs="Arial" w:eastAsia="Arial" w:hAnsi="Arial"/>
          <w:sz w:val="16"/>
          <w:szCs w:val="16"/>
          <w:color w:val="auto"/>
        </w:rPr>
      </w:pPr>
    </w:p>
    <w:p>
      <w:pPr>
        <w:ind w:left="1320" w:right="560" w:hanging="434"/>
        <w:spacing w:after="0" w:line="249" w:lineRule="auto"/>
        <w:tabs>
          <w:tab w:leader="none" w:pos="1317"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Design/Build contracts where the Company serves as general contractor for construction of Fueling Stations, typically structured as Guarantee Maximum Price or fixed priced contracts for customers, generally lasting less than one year;</w:t>
      </w:r>
    </w:p>
    <w:p>
      <w:pPr>
        <w:ind w:left="1320" w:hanging="434"/>
        <w:spacing w:after="0"/>
        <w:tabs>
          <w:tab w:leader="none" w:pos="13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Service and maintenance contracts for RNG/CNG Fueling Stations; and</w:t>
      </w:r>
    </w:p>
    <w:p>
      <w:pPr>
        <w:spacing w:after="0" w:line="3" w:lineRule="exact"/>
        <w:rPr>
          <w:rFonts w:ascii="Arial" w:cs="Arial" w:eastAsia="Arial" w:hAnsi="Arial"/>
          <w:sz w:val="16"/>
          <w:szCs w:val="16"/>
          <w:color w:val="auto"/>
        </w:rPr>
      </w:pPr>
    </w:p>
    <w:p>
      <w:pPr>
        <w:ind w:left="1320" w:right="420" w:hanging="434"/>
        <w:spacing w:after="0" w:line="287" w:lineRule="auto"/>
        <w:tabs>
          <w:tab w:leader="none" w:pos="1317" w:val="left"/>
        </w:tabs>
        <w:numPr>
          <w:ilvl w:val="1"/>
          <w:numId w:val="25"/>
        </w:numPr>
        <w:rPr>
          <w:rFonts w:ascii="Arial" w:cs="Arial" w:eastAsia="Arial" w:hAnsi="Arial"/>
          <w:sz w:val="15"/>
          <w:szCs w:val="15"/>
          <w:color w:val="auto"/>
        </w:rPr>
      </w:pPr>
      <w:r>
        <w:rPr>
          <w:rFonts w:ascii="Arial" w:cs="Arial" w:eastAsia="Arial" w:hAnsi="Arial"/>
          <w:sz w:val="15"/>
          <w:szCs w:val="15"/>
          <w:color w:val="auto"/>
        </w:rPr>
        <w:t>RNG and CNG Fuel Dispensing Stations - This includes both the dispensing (or sale) of RNG, commodity natural gas, and environmental credit generation and monetization. The Company operates Fueling Stations that dispense both CNG and RNG fuel for vehicles.</w:t>
      </w:r>
    </w:p>
    <w:p>
      <w:pPr>
        <w:spacing w:after="0" w:line="173" w:lineRule="exact"/>
        <w:rPr>
          <w:rFonts w:ascii="Arial" w:cs="Arial" w:eastAsia="Arial" w:hAnsi="Arial"/>
          <w:sz w:val="15"/>
          <w:szCs w:val="15"/>
          <w:color w:val="auto"/>
        </w:rPr>
      </w:pPr>
    </w:p>
    <w:p>
      <w:pPr>
        <w:ind w:left="740" w:hanging="446"/>
        <w:spacing w:after="0" w:line="294" w:lineRule="auto"/>
        <w:tabs>
          <w:tab w:leader="none" w:pos="736"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Renewable Power Portfolio. </w:t>
      </w:r>
      <w:r>
        <w:rPr>
          <w:rFonts w:ascii="Arial" w:cs="Arial" w:eastAsia="Arial" w:hAnsi="Arial"/>
          <w:sz w:val="16"/>
          <w:szCs w:val="16"/>
          <w:color w:val="auto"/>
        </w:rPr>
        <w:t>The Renewable Power portfolio segment generates renewable power and associated environmental attributes such as ISCC</w:t>
      </w:r>
      <w:r>
        <w:rPr>
          <w:rFonts w:ascii="Arial" w:cs="Arial" w:eastAsia="Arial" w:hAnsi="Arial"/>
          <w:sz w:val="16"/>
          <w:szCs w:val="16"/>
          <w:b w:val="1"/>
          <w:bCs w:val="1"/>
          <w:color w:val="auto"/>
        </w:rPr>
        <w:t xml:space="preserve"> </w:t>
      </w:r>
      <w:r>
        <w:rPr>
          <w:rFonts w:ascii="Arial" w:cs="Arial" w:eastAsia="Arial" w:hAnsi="Arial"/>
          <w:sz w:val="16"/>
          <w:szCs w:val="16"/>
          <w:color w:val="auto"/>
        </w:rPr>
        <w:t>Carbon Credits and RECs through combustion of biogas from landfills which is then sold to public utilities throughout the United States.</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costs of sales associated with each revenue category are as follows:</w:t>
      </w:r>
    </w:p>
    <w:p>
      <w:pPr>
        <w:spacing w:after="0" w:line="145" w:lineRule="exact"/>
        <w:rPr>
          <w:sz w:val="20"/>
          <w:szCs w:val="20"/>
          <w:color w:val="auto"/>
        </w:rPr>
      </w:pPr>
    </w:p>
    <w:p>
      <w:pPr>
        <w:ind w:left="740" w:hanging="446"/>
        <w:spacing w:after="0" w:line="294" w:lineRule="auto"/>
        <w:tabs>
          <w:tab w:leader="none" w:pos="736"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RNG Fuel. </w:t>
      </w:r>
      <w:r>
        <w:rPr>
          <w:rFonts w:ascii="Arial" w:cs="Arial" w:eastAsia="Arial" w:hAnsi="Arial"/>
          <w:sz w:val="16"/>
          <w:szCs w:val="16"/>
          <w:color w:val="auto"/>
        </w:rPr>
        <w:t>Includes royalty payments to biogas site owners for the biogas we use; service provider costs; salaries and other indirect expenses related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process, utilities, transportation, storage, and insurance; and depreciation of production facilities.</w:t>
      </w:r>
    </w:p>
    <w:p>
      <w:pPr>
        <w:spacing w:after="0" w:line="79" w:lineRule="exact"/>
        <w:rPr>
          <w:rFonts w:ascii="Arial" w:cs="Arial" w:eastAsia="Arial" w:hAnsi="Arial"/>
          <w:sz w:val="16"/>
          <w:szCs w:val="16"/>
          <w:color w:val="auto"/>
        </w:rPr>
      </w:pPr>
    </w:p>
    <w:p>
      <w:pPr>
        <w:ind w:left="740" w:hanging="446"/>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Fuel Station Services. </w:t>
      </w:r>
      <w:r>
        <w:rPr>
          <w:rFonts w:ascii="Arial" w:cs="Arial" w:eastAsia="Arial" w:hAnsi="Arial"/>
          <w:sz w:val="16"/>
          <w:szCs w:val="16"/>
          <w:color w:val="auto"/>
        </w:rPr>
        <w:t>Includes equipment supplier costs; service provider costs; and salaries and other indirect expenses.</w:t>
      </w:r>
    </w:p>
    <w:p>
      <w:pPr>
        <w:spacing w:after="0" w:line="136" w:lineRule="exact"/>
        <w:rPr>
          <w:rFonts w:ascii="Arial" w:cs="Arial" w:eastAsia="Arial" w:hAnsi="Arial"/>
          <w:sz w:val="16"/>
          <w:szCs w:val="16"/>
          <w:color w:val="auto"/>
        </w:rPr>
      </w:pPr>
    </w:p>
    <w:p>
      <w:pPr>
        <w:ind w:left="740" w:hanging="446"/>
        <w:spacing w:after="0" w:line="294" w:lineRule="auto"/>
        <w:tabs>
          <w:tab w:leader="none" w:pos="736"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Renewable Power. </w:t>
      </w:r>
      <w:r>
        <w:rPr>
          <w:rFonts w:ascii="Arial" w:cs="Arial" w:eastAsia="Arial" w:hAnsi="Arial"/>
          <w:sz w:val="16"/>
          <w:szCs w:val="16"/>
          <w:color w:val="auto"/>
        </w:rPr>
        <w:t>Includes royalty payments, land usage costs; service provider costs; salaries and other indirect expenses related to the production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utilities; and depreciation of production facilities.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61" w:name="page62"/>
    <w:bookmarkEnd w:id="61"/>
    <w:p>
      <w:pPr>
        <w:ind w:left="141"/>
        <w:spacing w:after="0" w:line="288" w:lineRule="auto"/>
        <w:rPr>
          <w:sz w:val="20"/>
          <w:szCs w:val="20"/>
          <w:color w:val="auto"/>
        </w:rPr>
      </w:pPr>
      <w:r>
        <w:rPr>
          <w:rFonts w:ascii="Arial" w:cs="Arial" w:eastAsia="Arial" w:hAnsi="Arial"/>
          <w:sz w:val="16"/>
          <w:szCs w:val="16"/>
          <w:color w:val="auto"/>
        </w:rPr>
        <w:t>Selling, general, and administrative expense consists of costs involving corporate overhead functions, including the cost of services provided to us by an affiliate, and marketing costs.</w:t>
      </w:r>
    </w:p>
    <w:p>
      <w:pPr>
        <w:spacing w:after="0" w:line="76" w:lineRule="exact"/>
        <w:rPr>
          <w:sz w:val="20"/>
          <w:szCs w:val="20"/>
          <w:color w:val="auto"/>
        </w:rPr>
      </w:pPr>
    </w:p>
    <w:p>
      <w:pPr>
        <w:jc w:val="both"/>
        <w:ind w:left="1" w:firstLine="296"/>
        <w:spacing w:after="0" w:line="273" w:lineRule="auto"/>
        <w:rPr>
          <w:sz w:val="20"/>
          <w:szCs w:val="20"/>
          <w:color w:val="auto"/>
        </w:rPr>
      </w:pPr>
      <w:r>
        <w:rPr>
          <w:rFonts w:ascii="Arial" w:cs="Arial" w:eastAsia="Arial" w:hAnsi="Arial"/>
          <w:sz w:val="16"/>
          <w:szCs w:val="16"/>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99"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Results of Operations for the three and nine months ended September 30, 2023 and 2022:</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Operational Results</w:t>
      </w:r>
    </w:p>
    <w:p>
      <w:pPr>
        <w:spacing w:after="0" w:line="136"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following table summarizes the operational data achieved for the three and nine months ended September 30, 2023 and 2022:</w:t>
      </w:r>
    </w:p>
    <w:p>
      <w:pPr>
        <w:spacing w:after="0" w:line="200" w:lineRule="exact"/>
        <w:rPr>
          <w:sz w:val="20"/>
          <w:szCs w:val="20"/>
          <w:color w:val="auto"/>
        </w:rPr>
      </w:pPr>
    </w:p>
    <w:p>
      <w:pPr>
        <w:spacing w:after="0" w:line="343" w:lineRule="exact"/>
        <w:rPr>
          <w:sz w:val="20"/>
          <w:szCs w:val="20"/>
          <w:color w:val="auto"/>
        </w:rPr>
      </w:pPr>
    </w:p>
    <w:tbl>
      <w:tblPr>
        <w:tblLayout w:type="fixed"/>
        <w:tblInd w:w="301" w:type="dxa"/>
        <w:tblCellMar>
          <w:top w:w="0" w:type="dxa"/>
          <w:left w:w="0" w:type="dxa"/>
          <w:bottom w:w="0" w:type="dxa"/>
          <w:right w:w="0" w:type="dxa"/>
        </w:tblCellMar>
      </w:tblPr>
      <w:tr>
        <w:trPr>
          <w:trHeight w:val="209"/>
        </w:trPr>
        <w:tc>
          <w:tcPr>
            <w:tcW w:w="5140" w:type="dxa"/>
            <w:vAlign w:val="bottom"/>
            <w:shd w:val="clear" w:color="auto" w:fill="CCEEFF"/>
          </w:tcPr>
          <w:p>
            <w:pPr>
              <w:spacing w:after="0"/>
              <w:rPr>
                <w:sz w:val="18"/>
                <w:szCs w:val="18"/>
                <w:color w:val="auto"/>
              </w:rPr>
            </w:pPr>
          </w:p>
        </w:tc>
        <w:tc>
          <w:tcPr>
            <w:tcW w:w="2860" w:type="dxa"/>
            <w:vAlign w:val="bottom"/>
            <w:gridSpan w:val="5"/>
            <w:shd w:val="clear" w:color="auto" w:fill="CCEEFF"/>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2"/>
        </w:trPr>
        <w:tc>
          <w:tcPr>
            <w:tcW w:w="51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RNG Fuel Capacity and Utilization</w:t>
            </w: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9"/>
        </w:trPr>
        <w:tc>
          <w:tcPr>
            <w:tcW w:w="6080" w:type="dxa"/>
            <w:vAlign w:val="bottom"/>
            <w:gridSpan w:val="2"/>
          </w:tcPr>
          <w:p>
            <w:pPr>
              <w:ind w:left="60"/>
              <w:spacing w:after="0" w:line="210" w:lineRule="exact"/>
              <w:rPr>
                <w:sz w:val="20"/>
                <w:szCs w:val="20"/>
                <w:color w:val="auto"/>
              </w:rPr>
            </w:pPr>
            <w:r>
              <w:rPr>
                <w:rFonts w:ascii="Arial" w:cs="Arial" w:eastAsia="Arial" w:hAnsi="Arial"/>
                <w:sz w:val="16"/>
                <w:szCs w:val="16"/>
                <w:color w:val="auto"/>
              </w:rPr>
              <w:t>Design Capacity (Million MMBtus)</w:t>
            </w:r>
            <w:r>
              <w:rPr>
                <w:rFonts w:ascii="Arial" w:cs="Arial" w:eastAsia="Arial" w:hAnsi="Arial"/>
                <w:sz w:val="21"/>
                <w:szCs w:val="21"/>
                <w:color w:val="auto"/>
                <w:vertAlign w:val="superscript"/>
              </w:rPr>
              <w:t>(1)</w:t>
            </w:r>
          </w:p>
        </w:tc>
        <w:tc>
          <w:tcPr>
            <w:tcW w:w="480" w:type="dxa"/>
            <w:vAlign w:val="bottom"/>
          </w:tcPr>
          <w:p>
            <w:pPr>
              <w:jc w:val="right"/>
              <w:ind w:right="118"/>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80" w:type="dxa"/>
            <w:vAlign w:val="bottom"/>
          </w:tcPr>
          <w:p>
            <w:pPr>
              <w:jc w:val="right"/>
              <w:ind w:right="118"/>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2.9</w:t>
            </w:r>
          </w:p>
        </w:tc>
      </w:tr>
      <w:tr>
        <w:trPr>
          <w:trHeight w:val="20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Volume of Inlet Gas (Million MMBtus)</w:t>
            </w:r>
          </w:p>
        </w:tc>
        <w:tc>
          <w:tcPr>
            <w:tcW w:w="4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1.7</w:t>
            </w:r>
          </w:p>
        </w:tc>
      </w:tr>
      <w:tr>
        <w:trPr>
          <w:trHeight w:val="209"/>
        </w:trPr>
        <w:tc>
          <w:tcPr>
            <w:tcW w:w="608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 xml:space="preserve">Inlet Design Capacity Utilization % </w:t>
            </w:r>
            <w:r>
              <w:rPr>
                <w:rFonts w:ascii="Arial" w:cs="Arial" w:eastAsia="Arial" w:hAnsi="Arial"/>
                <w:sz w:val="21"/>
                <w:szCs w:val="21"/>
                <w:color w:val="auto"/>
                <w:vertAlign w:val="superscript"/>
              </w:rPr>
              <w:t>(2) (3)</w:t>
            </w:r>
          </w:p>
        </w:tc>
        <w:tc>
          <w:tcPr>
            <w:tcW w:w="480" w:type="dxa"/>
            <w:vAlign w:val="bottom"/>
          </w:tcPr>
          <w:p>
            <w:pPr>
              <w:jc w:val="right"/>
              <w:spacing w:after="0"/>
              <w:rPr>
                <w:sz w:val="20"/>
                <w:szCs w:val="20"/>
                <w:color w:val="auto"/>
              </w:rPr>
            </w:pPr>
            <w:r>
              <w:rPr>
                <w:rFonts w:ascii="Arial" w:cs="Arial" w:eastAsia="Arial" w:hAnsi="Arial"/>
                <w:sz w:val="16"/>
                <w:szCs w:val="16"/>
                <w:color w:val="auto"/>
              </w:rPr>
              <w:t>79 %</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0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RNG Fuel volume produced (Million MMBtus)</w:t>
            </w:r>
          </w:p>
        </w:tc>
        <w:tc>
          <w:tcPr>
            <w:tcW w:w="4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1.5</w:t>
            </w:r>
          </w:p>
        </w:tc>
      </w:tr>
      <w:tr>
        <w:trPr>
          <w:trHeight w:val="278"/>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 xml:space="preserve">Utilization of Inlet Gas % </w:t>
            </w:r>
            <w:r>
              <w:rPr>
                <w:rFonts w:ascii="Arial" w:cs="Arial" w:eastAsia="Arial" w:hAnsi="Arial"/>
                <w:sz w:val="21"/>
                <w:szCs w:val="21"/>
                <w:color w:val="auto"/>
                <w:vertAlign w:val="superscript"/>
              </w:rPr>
              <w:t>(3) (4)</w:t>
            </w:r>
          </w:p>
        </w:tc>
        <w:tc>
          <w:tcPr>
            <w:tcW w:w="480" w:type="dxa"/>
            <w:vAlign w:val="bottom"/>
          </w:tcPr>
          <w:p>
            <w:pPr>
              <w:jc w:val="right"/>
              <w:spacing w:after="0"/>
              <w:rPr>
                <w:sz w:val="20"/>
                <w:szCs w:val="20"/>
                <w:color w:val="auto"/>
              </w:rPr>
            </w:pPr>
            <w:r>
              <w:rPr>
                <w:rFonts w:ascii="Arial" w:cs="Arial" w:eastAsia="Arial" w:hAnsi="Arial"/>
                <w:sz w:val="16"/>
                <w:szCs w:val="16"/>
                <w:color w:val="auto"/>
              </w:rPr>
              <w:t>84 %</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87 %</w:t>
            </w:r>
          </w:p>
        </w:tc>
      </w:tr>
    </w:tbl>
    <w:p>
      <w:pPr>
        <w:spacing w:after="0" w:line="215" w:lineRule="exact"/>
        <w:rPr>
          <w:sz w:val="20"/>
          <w:szCs w:val="20"/>
          <w:color w:val="auto"/>
        </w:rPr>
      </w:pPr>
    </w:p>
    <w:p>
      <w:pPr>
        <w:jc w:val="both"/>
        <w:ind w:left="1" w:hanging="1"/>
        <w:spacing w:after="0" w:line="237" w:lineRule="auto"/>
        <w:tabs>
          <w:tab w:leader="none" w:pos="19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211" w:lineRule="exact"/>
        <w:rPr>
          <w:rFonts w:ascii="Arial" w:cs="Arial" w:eastAsia="Arial" w:hAnsi="Arial"/>
          <w:sz w:val="21"/>
          <w:szCs w:val="21"/>
          <w:color w:val="auto"/>
          <w:vertAlign w:val="superscript"/>
        </w:rPr>
      </w:pPr>
    </w:p>
    <w:p>
      <w:pPr>
        <w:jc w:val="both"/>
        <w:ind w:left="1" w:hanging="1"/>
        <w:spacing w:after="0" w:line="290" w:lineRule="auto"/>
        <w:tabs>
          <w:tab w:leader="none" w:pos="152"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Inlet Design Capacity Utilization is measured as the weighted average of Volume of Inlet Gas, divided by the total Design Capacity.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w:t>
      </w:r>
    </w:p>
    <w:p>
      <w:pPr>
        <w:spacing w:after="0" w:line="366" w:lineRule="exact"/>
        <w:rPr>
          <w:rFonts w:ascii="Arial" w:cs="Arial" w:eastAsia="Arial" w:hAnsi="Arial"/>
          <w:sz w:val="18"/>
          <w:szCs w:val="18"/>
          <w:color w:val="auto"/>
          <w:vertAlign w:val="superscript"/>
        </w:rPr>
      </w:pPr>
    </w:p>
    <w:p>
      <w:pPr>
        <w:ind w:left="161" w:hanging="161"/>
        <w:spacing w:after="0"/>
        <w:tabs>
          <w:tab w:leader="none" w:pos="161"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Data not available for the Company's dairy projects, i.e., Sunoma and Biotown.</w:t>
      </w:r>
    </w:p>
    <w:p>
      <w:pPr>
        <w:spacing w:after="0" w:line="210" w:lineRule="exact"/>
        <w:rPr>
          <w:rFonts w:ascii="Arial" w:cs="Arial" w:eastAsia="Arial" w:hAnsi="Arial"/>
          <w:sz w:val="19"/>
          <w:szCs w:val="19"/>
          <w:color w:val="auto"/>
          <w:vertAlign w:val="superscript"/>
        </w:rPr>
      </w:pPr>
    </w:p>
    <w:p>
      <w:pPr>
        <w:jc w:val="both"/>
        <w:ind w:left="1" w:hanging="1"/>
        <w:spacing w:after="0" w:line="288" w:lineRule="auto"/>
        <w:tabs>
          <w:tab w:leader="none" w:pos="152"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Utilization of Inlet Gas is measured as weighted average of RNG Fuel Produced divided by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- 90%.</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716978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002" w:right="339" w:bottom="1440" w:gutter="0" w:footer="0" w:header="0"/>
        </w:sectPr>
      </w:pPr>
    </w:p>
    <w:bookmarkStart w:id="62" w:name="page63"/>
    <w:bookmarkEnd w:id="62"/>
    <w:tbl>
      <w:tblPr>
        <w:tblLayout w:type="fixed"/>
        <w:tblInd w:w="1" w:type="dxa"/>
        <w:tblCellMar>
          <w:top w:w="0" w:type="dxa"/>
          <w:left w:w="0" w:type="dxa"/>
          <w:bottom w:w="0" w:type="dxa"/>
          <w:right w:w="0" w:type="dxa"/>
        </w:tblCellMar>
      </w:tblPr>
      <w:tr>
        <w:trPr>
          <w:trHeight w:val="209"/>
        </w:trPr>
        <w:tc>
          <w:tcPr>
            <w:tcW w:w="5120" w:type="dxa"/>
            <w:vAlign w:val="bottom"/>
            <w:shd w:val="clear" w:color="auto" w:fill="CCEEFF"/>
          </w:tcPr>
          <w:p>
            <w:pPr>
              <w:spacing w:after="0"/>
              <w:rPr>
                <w:sz w:val="18"/>
                <w:szCs w:val="18"/>
                <w:color w:val="auto"/>
              </w:rPr>
            </w:pPr>
          </w:p>
        </w:tc>
        <w:tc>
          <w:tcPr>
            <w:tcW w:w="2880" w:type="dxa"/>
            <w:vAlign w:val="bottom"/>
            <w:gridSpan w:val="5"/>
            <w:shd w:val="clear" w:color="auto" w:fill="CCEEFF"/>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2"/>
        </w:trPr>
        <w:tc>
          <w:tcPr>
            <w:tcW w:w="51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18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Renewable Power</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9"/>
        </w:trPr>
        <w:tc>
          <w:tcPr>
            <w:tcW w:w="602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Design Capacity (MW per hour)</w:t>
            </w:r>
            <w:r>
              <w:rPr>
                <w:rFonts w:ascii="Arial" w:cs="Arial" w:eastAsia="Arial" w:hAnsi="Arial"/>
                <w:sz w:val="21"/>
                <w:szCs w:val="21"/>
                <w:color w:val="auto"/>
                <w:vertAlign w:val="superscript"/>
              </w:rPr>
              <w:t>(1)</w:t>
            </w:r>
          </w:p>
        </w:tc>
        <w:tc>
          <w:tcPr>
            <w:tcW w:w="520" w:type="dxa"/>
            <w:vAlign w:val="bottom"/>
          </w:tcPr>
          <w:p>
            <w:pPr>
              <w:jc w:val="right"/>
              <w:ind w:right="118"/>
              <w:spacing w:after="0"/>
              <w:rPr>
                <w:sz w:val="20"/>
                <w:szCs w:val="20"/>
                <w:color w:val="auto"/>
              </w:rPr>
            </w:pPr>
            <w:r>
              <w:rPr>
                <w:rFonts w:ascii="Arial" w:cs="Arial" w:eastAsia="Arial" w:hAnsi="Arial"/>
                <w:sz w:val="16"/>
                <w:szCs w:val="16"/>
                <w:color w:val="auto"/>
                <w:w w:val="96"/>
              </w:rPr>
              <w:t>83.6</w:t>
            </w:r>
          </w:p>
        </w:tc>
        <w:tc>
          <w:tcPr>
            <w:tcW w:w="8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18"/>
                <w:szCs w:val="18"/>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18"/>
                <w:szCs w:val="18"/>
                <w:color w:val="auto"/>
              </w:rPr>
            </w:pP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112.5</w:t>
            </w:r>
          </w:p>
        </w:tc>
      </w:tr>
      <w:tr>
        <w:trPr>
          <w:trHeight w:val="209"/>
        </w:trPr>
        <w:tc>
          <w:tcPr>
            <w:tcW w:w="60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Design Capacity for the period (Millions MWh) </w:t>
            </w:r>
            <w:r>
              <w:rPr>
                <w:rFonts w:ascii="Arial" w:cs="Arial" w:eastAsia="Arial" w:hAnsi="Arial"/>
                <w:sz w:val="21"/>
                <w:szCs w:val="21"/>
                <w:color w:val="auto"/>
                <w:vertAlign w:val="superscript"/>
              </w:rPr>
              <w:t>(1)</w:t>
            </w:r>
          </w:p>
        </w:tc>
        <w:tc>
          <w:tcPr>
            <w:tcW w:w="5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96"/>
              </w:rPr>
              <w:t>0.25</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0.73</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0.73</w:t>
            </w:r>
          </w:p>
        </w:tc>
      </w:tr>
      <w:tr>
        <w:trPr>
          <w:trHeight w:val="209"/>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Renewable Power produced ( Millions MWh)</w:t>
            </w:r>
          </w:p>
        </w:tc>
        <w:tc>
          <w:tcPr>
            <w:tcW w:w="520" w:type="dxa"/>
            <w:vAlign w:val="bottom"/>
          </w:tcPr>
          <w:p>
            <w:pPr>
              <w:jc w:val="right"/>
              <w:ind w:right="118"/>
              <w:spacing w:after="0"/>
              <w:rPr>
                <w:sz w:val="20"/>
                <w:szCs w:val="20"/>
                <w:color w:val="auto"/>
              </w:rPr>
            </w:pPr>
            <w:r>
              <w:rPr>
                <w:rFonts w:ascii="Arial" w:cs="Arial" w:eastAsia="Arial" w:hAnsi="Arial"/>
                <w:sz w:val="16"/>
                <w:szCs w:val="16"/>
                <w:color w:val="auto"/>
                <w:w w:val="96"/>
              </w:rPr>
              <w:t>0.11</w:t>
            </w:r>
          </w:p>
        </w:tc>
        <w:tc>
          <w:tcPr>
            <w:tcW w:w="80" w:type="dxa"/>
            <w:vAlign w:val="bottom"/>
          </w:tcPr>
          <w:p>
            <w:pPr>
              <w:spacing w:after="0"/>
              <w:rPr>
                <w:sz w:val="18"/>
                <w:szCs w:val="18"/>
                <w:color w:val="auto"/>
              </w:rPr>
            </w:pPr>
          </w:p>
        </w:tc>
        <w:tc>
          <w:tcPr>
            <w:tcW w:w="1260" w:type="dxa"/>
            <w:vAlign w:val="bottom"/>
          </w:tcPr>
          <w:p>
            <w:pPr>
              <w:jc w:val="right"/>
              <w:ind w:right="118"/>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8"/>
                <w:szCs w:val="18"/>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0.35</w:t>
            </w:r>
          </w:p>
        </w:tc>
        <w:tc>
          <w:tcPr>
            <w:tcW w:w="80" w:type="dxa"/>
            <w:vAlign w:val="bottom"/>
          </w:tcPr>
          <w:p>
            <w:pPr>
              <w:spacing w:after="0"/>
              <w:rPr>
                <w:sz w:val="18"/>
                <w:szCs w:val="18"/>
                <w:color w:val="auto"/>
              </w:rPr>
            </w:pP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0.37</w:t>
            </w:r>
          </w:p>
        </w:tc>
      </w:tr>
      <w:tr>
        <w:trPr>
          <w:trHeight w:val="210"/>
        </w:trPr>
        <w:tc>
          <w:tcPr>
            <w:tcW w:w="60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Design Capacity Utilization (%) </w:t>
            </w:r>
            <w:r>
              <w:rPr>
                <w:rFonts w:ascii="Arial" w:cs="Arial" w:eastAsia="Arial" w:hAnsi="Arial"/>
                <w:sz w:val="21"/>
                <w:szCs w:val="21"/>
                <w:color w:val="auto"/>
                <w:vertAlign w:val="superscript"/>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bl>
    <w:p>
      <w:pPr>
        <w:spacing w:after="0" w:line="296" w:lineRule="exact"/>
        <w:rPr>
          <w:sz w:val="20"/>
          <w:szCs w:val="20"/>
          <w:color w:val="auto"/>
        </w:rPr>
      </w:pPr>
    </w:p>
    <w:p>
      <w:pPr>
        <w:jc w:val="both"/>
        <w:ind w:left="1" w:hanging="1"/>
        <w:spacing w:after="0" w:line="237" w:lineRule="auto"/>
        <w:tabs>
          <w:tab w:leader="none" w:pos="173"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Design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w:t>
      </w:r>
    </w:p>
    <w:p>
      <w:pPr>
        <w:spacing w:after="0" w:line="211" w:lineRule="exact"/>
        <w:rPr>
          <w:rFonts w:ascii="Arial" w:cs="Arial" w:eastAsia="Arial" w:hAnsi="Arial"/>
          <w:sz w:val="21"/>
          <w:szCs w:val="21"/>
          <w:color w:val="auto"/>
          <w:vertAlign w:val="superscript"/>
        </w:rPr>
      </w:pPr>
    </w:p>
    <w:p>
      <w:pPr>
        <w:jc w:val="both"/>
        <w:ind w:left="1" w:hanging="1"/>
        <w:spacing w:after="0" w:line="247" w:lineRule="auto"/>
        <w:tabs>
          <w:tab w:leader="none" w:pos="167" w:val="left"/>
        </w:tabs>
        <w:numPr>
          <w:ilvl w:val="0"/>
          <w:numId w:val="28"/>
        </w:numPr>
        <w:rPr>
          <w:rFonts w:ascii="Arial" w:cs="Arial" w:eastAsia="Arial" w:hAnsi="Arial"/>
          <w:sz w:val="20"/>
          <w:szCs w:val="20"/>
          <w:color w:val="auto"/>
          <w:vertAlign w:val="superscript"/>
        </w:rPr>
      </w:pPr>
      <w:r>
        <w:rPr>
          <w:rFonts w:ascii="Arial" w:cs="Arial" w:eastAsia="Arial" w:hAnsi="Arial"/>
          <w:sz w:val="16"/>
          <w:szCs w:val="16"/>
          <w:color w:val="auto"/>
        </w:rPr>
        <w:t>Design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RNG Projects</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6"/>
          <w:szCs w:val="16"/>
          <w:color w:val="auto"/>
        </w:rPr>
        <w:t>Below is a table setting forth the RNG projects in operation and construction in our portfolio:</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207010</wp:posOffset>
            </wp:positionV>
            <wp:extent cx="716978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101" w:right="339" w:bottom="1440" w:gutter="0" w:footer="0" w:header="0"/>
        </w:sectPr>
      </w:pPr>
    </w:p>
    <w:bookmarkStart w:id="63" w:name="page64"/>
    <w:bookmarkEnd w:id="63"/>
    <w:p>
      <w:pPr>
        <w:jc w:val="center"/>
        <w:ind w:left="1460"/>
        <w:spacing w:after="0"/>
        <w:rPr>
          <w:sz w:val="20"/>
          <w:szCs w:val="20"/>
          <w:color w:val="auto"/>
        </w:rPr>
      </w:pPr>
      <w:r>
        <w:rPr>
          <w:rFonts w:ascii="Arial" w:cs="Arial" w:eastAsia="Arial" w:hAnsi="Arial"/>
          <w:sz w:val="16"/>
          <w:szCs w:val="16"/>
          <w:b w:val="1"/>
          <w:bCs w:val="1"/>
          <w:color w:val="auto"/>
        </w:rPr>
        <w:t>OPAL's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6909435" cy="555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09435" cy="555625"/>
                    </a:xfrm>
                    <a:prstGeom prst="rect">
                      <a:avLst/>
                    </a:prstGeom>
                    <a:noFill/>
                  </pic:spPr>
                </pic:pic>
              </a:graphicData>
            </a:graphic>
          </wp:anchor>
        </w:drawing>
      </w:r>
    </w:p>
    <w:p>
      <w:pPr>
        <w:jc w:val="center"/>
        <w:ind w:left="1100"/>
        <w:spacing w:after="0" w:line="225" w:lineRule="auto"/>
        <w:rPr>
          <w:sz w:val="20"/>
          <w:szCs w:val="20"/>
          <w:color w:val="auto"/>
        </w:rPr>
      </w:pPr>
      <w:r>
        <w:rPr>
          <w:rFonts w:ascii="Arial" w:cs="Arial" w:eastAsia="Arial" w:hAnsi="Arial"/>
          <w:sz w:val="16"/>
          <w:szCs w:val="16"/>
          <w:b w:val="1"/>
          <w:bCs w:val="1"/>
          <w:color w:val="auto"/>
        </w:rPr>
        <w:t>of Design</w:t>
      </w:r>
    </w:p>
    <w:tbl>
      <w:tblPr>
        <w:tblLayout w:type="fixed"/>
        <w:tblInd w:w="1" w:type="dxa"/>
        <w:tblCellMar>
          <w:top w:w="0" w:type="dxa"/>
          <w:left w:w="0" w:type="dxa"/>
          <w:bottom w:w="0" w:type="dxa"/>
          <w:right w:w="0" w:type="dxa"/>
        </w:tblCellMar>
      </w:tblPr>
      <w:tr>
        <w:trPr>
          <w:trHeight w:val="146"/>
        </w:trPr>
        <w:tc>
          <w:tcPr>
            <w:tcW w:w="578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6"/>
                <w:szCs w:val="16"/>
                <w:b w:val="1"/>
                <w:bCs w:val="1"/>
                <w:color w:val="auto"/>
                <w:w w:val="95"/>
              </w:rPr>
              <w:t>Capacity</w:t>
            </w: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Source of</w:t>
            </w:r>
          </w:p>
        </w:tc>
        <w:tc>
          <w:tcPr>
            <w:tcW w:w="1220" w:type="dxa"/>
            <w:vAlign w:val="bottom"/>
          </w:tcPr>
          <w:p>
            <w:pPr>
              <w:spacing w:after="0"/>
              <w:rPr>
                <w:sz w:val="12"/>
                <w:szCs w:val="12"/>
                <w:color w:val="auto"/>
              </w:rPr>
            </w:pPr>
          </w:p>
        </w:tc>
        <w:tc>
          <w:tcPr>
            <w:tcW w:w="1600" w:type="dxa"/>
            <w:vAlign w:val="bottom"/>
          </w:tcPr>
          <w:p>
            <w:pPr>
              <w:jc w:val="center"/>
              <w:ind w:left="18"/>
              <w:spacing w:after="0" w:line="146" w:lineRule="exact"/>
              <w:rPr>
                <w:sz w:val="20"/>
                <w:szCs w:val="20"/>
                <w:color w:val="auto"/>
              </w:rPr>
            </w:pPr>
            <w:r>
              <w:rPr>
                <w:rFonts w:ascii="Arial" w:cs="Arial" w:eastAsia="Arial" w:hAnsi="Arial"/>
                <w:sz w:val="16"/>
                <w:szCs w:val="16"/>
                <w:b w:val="1"/>
                <w:bCs w:val="1"/>
                <w:color w:val="auto"/>
                <w:w w:val="92"/>
              </w:rPr>
              <w:t>Expected</w:t>
            </w: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(MMbtus per</w:t>
            </w:r>
          </w:p>
        </w:tc>
        <w:tc>
          <w:tcPr>
            <w:tcW w:w="11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600" w:type="dxa"/>
            <w:vAlign w:val="bottom"/>
          </w:tcPr>
          <w:p>
            <w:pPr>
              <w:jc w:val="center"/>
              <w:ind w:left="18"/>
              <w:spacing w:after="0" w:line="160" w:lineRule="exact"/>
              <w:rPr>
                <w:sz w:val="20"/>
                <w:szCs w:val="20"/>
                <w:color w:val="auto"/>
              </w:rPr>
            </w:pPr>
            <w:r>
              <w:rPr>
                <w:rFonts w:ascii="Arial" w:cs="Arial" w:eastAsia="Arial" w:hAnsi="Arial"/>
                <w:sz w:val="16"/>
                <w:szCs w:val="16"/>
                <w:b w:val="1"/>
                <w:bCs w:val="1"/>
                <w:color w:val="auto"/>
                <w:w w:val="93"/>
              </w:rPr>
              <w:t>Commercial</w:t>
            </w:r>
          </w:p>
        </w:tc>
        <w:tc>
          <w:tcPr>
            <w:tcW w:w="0" w:type="dxa"/>
            <w:vAlign w:val="bottom"/>
          </w:tcPr>
          <w:p>
            <w:pPr>
              <w:spacing w:after="0"/>
              <w:rPr>
                <w:sz w:val="1"/>
                <w:szCs w:val="1"/>
                <w:color w:val="auto"/>
              </w:rPr>
            </w:pPr>
          </w:p>
        </w:tc>
      </w:tr>
      <w:tr>
        <w:trPr>
          <w:trHeight w:val="222"/>
        </w:trPr>
        <w:tc>
          <w:tcPr>
            <w:tcW w:w="5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RNG Projects in Operation:</w:t>
            </w:r>
          </w:p>
        </w:tc>
        <w:tc>
          <w:tcPr>
            <w:tcW w:w="116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6"/>
                <w:szCs w:val="16"/>
                <w:b w:val="1"/>
                <w:bCs w:val="1"/>
                <w:color w:val="auto"/>
                <w:w w:val="86"/>
              </w:rPr>
              <w:t xml:space="preserve">year) </w:t>
            </w:r>
            <w:r>
              <w:rPr>
                <w:rFonts w:ascii="Arial" w:cs="Arial" w:eastAsia="Arial" w:hAnsi="Arial"/>
                <w:sz w:val="21"/>
                <w:szCs w:val="21"/>
                <w:b w:val="1"/>
                <w:bCs w:val="1"/>
                <w:color w:val="auto"/>
                <w:w w:val="86"/>
                <w:vertAlign w:val="superscript"/>
              </w:rPr>
              <w:t>(1)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Biogas</w:t>
            </w: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Ownership</w:t>
            </w:r>
          </w:p>
        </w:tc>
        <w:tc>
          <w:tcPr>
            <w:tcW w:w="1600" w:type="dxa"/>
            <w:vAlign w:val="bottom"/>
            <w:tcBorders>
              <w:bottom w:val="single" w:sz="8" w:color="auto"/>
            </w:tcBorders>
          </w:tcPr>
          <w:p>
            <w:pPr>
              <w:jc w:val="center"/>
              <w:ind w:left="18"/>
              <w:spacing w:after="0" w:line="222" w:lineRule="exact"/>
              <w:rPr>
                <w:sz w:val="20"/>
                <w:szCs w:val="20"/>
                <w:color w:val="auto"/>
              </w:rPr>
            </w:pPr>
            <w:r>
              <w:rPr>
                <w:rFonts w:ascii="Arial" w:cs="Arial" w:eastAsia="Arial" w:hAnsi="Arial"/>
                <w:sz w:val="16"/>
                <w:szCs w:val="16"/>
                <w:b w:val="1"/>
                <w:bCs w:val="1"/>
                <w:color w:val="auto"/>
                <w:w w:val="92"/>
              </w:rPr>
              <w:t xml:space="preserve">Operation Date </w:t>
            </w:r>
            <w:r>
              <w:rPr>
                <w:rFonts w:ascii="Arial" w:cs="Arial" w:eastAsia="Arial" w:hAnsi="Arial"/>
                <w:sz w:val="21"/>
                <w:szCs w:val="21"/>
                <w:b w:val="1"/>
                <w:bCs w:val="1"/>
                <w:color w:val="auto"/>
                <w:w w:val="92"/>
                <w:vertAlign w:val="superscript"/>
              </w:rPr>
              <w:t>(5)</w:t>
            </w:r>
          </w:p>
        </w:tc>
        <w:tc>
          <w:tcPr>
            <w:tcW w:w="0" w:type="dxa"/>
            <w:vAlign w:val="bottom"/>
          </w:tcPr>
          <w:p>
            <w:pPr>
              <w:spacing w:after="0"/>
              <w:rPr>
                <w:sz w:val="1"/>
                <w:szCs w:val="1"/>
                <w:color w:val="auto"/>
              </w:rPr>
            </w:pPr>
          </w:p>
        </w:tc>
      </w:tr>
      <w:tr>
        <w:trPr>
          <w:trHeight w:val="189"/>
        </w:trPr>
        <w:tc>
          <w:tcPr>
            <w:tcW w:w="578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Greentree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1,061,712</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LFG</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Imperial</w:t>
            </w:r>
          </w:p>
        </w:tc>
        <w:tc>
          <w:tcPr>
            <w:tcW w:w="1160" w:type="dxa"/>
            <w:vAlign w:val="bottom"/>
          </w:tcPr>
          <w:p>
            <w:pPr>
              <w:jc w:val="right"/>
              <w:spacing w:after="0"/>
              <w:rPr>
                <w:sz w:val="20"/>
                <w:szCs w:val="20"/>
                <w:color w:val="auto"/>
              </w:rPr>
            </w:pPr>
            <w:r>
              <w:rPr>
                <w:rFonts w:ascii="Arial" w:cs="Arial" w:eastAsia="Arial" w:hAnsi="Arial"/>
                <w:sz w:val="16"/>
                <w:szCs w:val="16"/>
                <w:color w:val="auto"/>
              </w:rPr>
              <w:t>1,061,712</w:t>
            </w:r>
          </w:p>
        </w:tc>
        <w:tc>
          <w:tcPr>
            <w:tcW w:w="1120" w:type="dxa"/>
            <w:vAlign w:val="bottom"/>
          </w:tcPr>
          <w:p>
            <w:pPr>
              <w:jc w:val="center"/>
              <w:spacing w:after="0"/>
              <w:rPr>
                <w:sz w:val="20"/>
                <w:szCs w:val="20"/>
                <w:color w:val="auto"/>
              </w:rPr>
            </w:pPr>
            <w:r>
              <w:rPr>
                <w:rFonts w:ascii="Arial" w:cs="Arial" w:eastAsia="Arial" w:hAnsi="Arial"/>
                <w:sz w:val="16"/>
                <w:szCs w:val="16"/>
                <w:color w:val="auto"/>
              </w:rPr>
              <w:t>LFG</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6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Emerald </w:t>
            </w:r>
            <w:r>
              <w:rPr>
                <w:rFonts w:ascii="Arial" w:cs="Arial" w:eastAsia="Arial" w:hAnsi="Arial"/>
                <w:sz w:val="21"/>
                <w:szCs w:val="21"/>
                <w:color w:val="auto"/>
                <w:vertAlign w:val="superscript"/>
              </w:rPr>
              <w:t>(2) (3)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1,327,140</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LFG</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New River</w:t>
            </w:r>
          </w:p>
        </w:tc>
        <w:tc>
          <w:tcPr>
            <w:tcW w:w="1160" w:type="dxa"/>
            <w:vAlign w:val="bottom"/>
          </w:tcPr>
          <w:p>
            <w:pPr>
              <w:jc w:val="right"/>
              <w:spacing w:after="0"/>
              <w:rPr>
                <w:sz w:val="20"/>
                <w:szCs w:val="20"/>
                <w:color w:val="auto"/>
              </w:rPr>
            </w:pPr>
            <w:r>
              <w:rPr>
                <w:rFonts w:ascii="Arial" w:cs="Arial" w:eastAsia="Arial" w:hAnsi="Arial"/>
                <w:sz w:val="16"/>
                <w:szCs w:val="16"/>
                <w:color w:val="auto"/>
              </w:rPr>
              <w:t>663,570</w:t>
            </w:r>
          </w:p>
        </w:tc>
        <w:tc>
          <w:tcPr>
            <w:tcW w:w="1120" w:type="dxa"/>
            <w:vAlign w:val="bottom"/>
          </w:tcPr>
          <w:p>
            <w:pPr>
              <w:jc w:val="center"/>
              <w:spacing w:after="0"/>
              <w:rPr>
                <w:sz w:val="20"/>
                <w:szCs w:val="20"/>
                <w:color w:val="auto"/>
              </w:rPr>
            </w:pPr>
            <w:r>
              <w:rPr>
                <w:rFonts w:ascii="Arial" w:cs="Arial" w:eastAsia="Arial" w:hAnsi="Arial"/>
                <w:sz w:val="16"/>
                <w:szCs w:val="16"/>
                <w:color w:val="auto"/>
              </w:rPr>
              <w:t>LFG</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6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Noble Road </w:t>
            </w:r>
            <w:r>
              <w:rPr>
                <w:rFonts w:ascii="Arial" w:cs="Arial" w:eastAsia="Arial" w:hAnsi="Arial"/>
                <w:sz w:val="21"/>
                <w:szCs w:val="21"/>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464,499</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LFG</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Pine Bend </w:t>
            </w:r>
            <w:r>
              <w:rPr>
                <w:rFonts w:ascii="Arial" w:cs="Arial" w:eastAsia="Arial" w:hAnsi="Arial"/>
                <w:sz w:val="21"/>
                <w:szCs w:val="21"/>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6"/>
                <w:szCs w:val="16"/>
                <w:color w:val="auto"/>
              </w:rPr>
              <w:t>424,685</w:t>
            </w:r>
          </w:p>
        </w:tc>
        <w:tc>
          <w:tcPr>
            <w:tcW w:w="1120" w:type="dxa"/>
            <w:vAlign w:val="bottom"/>
          </w:tcPr>
          <w:p>
            <w:pPr>
              <w:jc w:val="center"/>
              <w:spacing w:after="0"/>
              <w:rPr>
                <w:sz w:val="20"/>
                <w:szCs w:val="20"/>
                <w:color w:val="auto"/>
              </w:rPr>
            </w:pPr>
            <w:r>
              <w:rPr>
                <w:rFonts w:ascii="Arial" w:cs="Arial" w:eastAsia="Arial" w:hAnsi="Arial"/>
                <w:sz w:val="16"/>
                <w:szCs w:val="16"/>
                <w:color w:val="auto"/>
              </w:rPr>
              <w:t>LFG</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50%</w:t>
            </w:r>
          </w:p>
        </w:tc>
        <w:tc>
          <w:tcPr>
            <w:tcW w:w="16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Biotown </w:t>
            </w:r>
            <w:r>
              <w:rPr>
                <w:rFonts w:ascii="Arial" w:cs="Arial" w:eastAsia="Arial" w:hAnsi="Arial"/>
                <w:sz w:val="21"/>
                <w:szCs w:val="21"/>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48,573</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Dairy</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 xml:space="preserve">Sunoma </w:t>
            </w:r>
            <w:r>
              <w:rPr>
                <w:rFonts w:ascii="Arial" w:cs="Arial" w:eastAsia="Arial" w:hAnsi="Arial"/>
                <w:sz w:val="21"/>
                <w:szCs w:val="21"/>
                <w:color w:val="auto"/>
                <w:vertAlign w:val="superscript"/>
              </w:rPr>
              <w:t>(4)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192,350</w:t>
            </w: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Dairy</w:t>
            </w: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90%</w:t>
            </w: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Sub 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5,244,241</w:t>
            </w: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RNG Projects in Construction:</w:t>
            </w: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Prince William</w:t>
            </w:r>
          </w:p>
        </w:tc>
        <w:tc>
          <w:tcPr>
            <w:tcW w:w="1160" w:type="dxa"/>
            <w:vAlign w:val="bottom"/>
          </w:tcPr>
          <w:p>
            <w:pPr>
              <w:jc w:val="right"/>
              <w:spacing w:after="0"/>
              <w:rPr>
                <w:sz w:val="20"/>
                <w:szCs w:val="20"/>
                <w:color w:val="auto"/>
              </w:rPr>
            </w:pPr>
            <w:r>
              <w:rPr>
                <w:rFonts w:ascii="Arial" w:cs="Arial" w:eastAsia="Arial" w:hAnsi="Arial"/>
                <w:sz w:val="16"/>
                <w:szCs w:val="16"/>
                <w:color w:val="auto"/>
              </w:rPr>
              <w:t>1,725,282</w:t>
            </w:r>
          </w:p>
        </w:tc>
        <w:tc>
          <w:tcPr>
            <w:tcW w:w="1120" w:type="dxa"/>
            <w:vAlign w:val="bottom"/>
          </w:tcPr>
          <w:p>
            <w:pPr>
              <w:jc w:val="center"/>
              <w:spacing w:after="0"/>
              <w:rPr>
                <w:sz w:val="20"/>
                <w:szCs w:val="20"/>
                <w:color w:val="auto"/>
              </w:rPr>
            </w:pPr>
            <w:r>
              <w:rPr>
                <w:rFonts w:ascii="Arial" w:cs="Arial" w:eastAsia="Arial" w:hAnsi="Arial"/>
                <w:sz w:val="16"/>
                <w:szCs w:val="16"/>
                <w:color w:val="auto"/>
              </w:rPr>
              <w:t>LFG</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600" w:type="dxa"/>
            <w:vAlign w:val="bottom"/>
          </w:tcPr>
          <w:p>
            <w:pPr>
              <w:jc w:val="center"/>
              <w:ind w:left="18"/>
              <w:spacing w:after="0"/>
              <w:rPr>
                <w:sz w:val="20"/>
                <w:szCs w:val="20"/>
                <w:color w:val="auto"/>
              </w:rPr>
            </w:pPr>
            <w:r>
              <w:rPr>
                <w:rFonts w:ascii="Arial" w:cs="Arial" w:eastAsia="Arial" w:hAnsi="Arial"/>
                <w:sz w:val="16"/>
                <w:szCs w:val="16"/>
                <w:color w:val="auto"/>
                <w:w w:val="93"/>
              </w:rPr>
              <w:t>First quarter 2024</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Hilltop </w:t>
            </w:r>
            <w:r>
              <w:rPr>
                <w:rFonts w:ascii="Arial" w:cs="Arial" w:eastAsia="Arial" w:hAnsi="Arial"/>
                <w:sz w:val="21"/>
                <w:szCs w:val="21"/>
                <w:color w:val="auto"/>
                <w:vertAlign w:val="superscript"/>
              </w:rPr>
              <w:t>(6)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255,500</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Dairy</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Third quarter 2024</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Vander Schaaf </w:t>
            </w:r>
            <w:r>
              <w:rPr>
                <w:rFonts w:ascii="Arial" w:cs="Arial" w:eastAsia="Arial" w:hAnsi="Arial"/>
                <w:sz w:val="21"/>
                <w:szCs w:val="21"/>
                <w:color w:val="auto"/>
                <w:vertAlign w:val="superscript"/>
              </w:rPr>
              <w:t>(6)</w:t>
            </w:r>
          </w:p>
        </w:tc>
        <w:tc>
          <w:tcPr>
            <w:tcW w:w="1160" w:type="dxa"/>
            <w:vAlign w:val="bottom"/>
          </w:tcPr>
          <w:p>
            <w:pPr>
              <w:jc w:val="right"/>
              <w:spacing w:after="0"/>
              <w:rPr>
                <w:sz w:val="20"/>
                <w:szCs w:val="20"/>
                <w:color w:val="auto"/>
              </w:rPr>
            </w:pPr>
            <w:r>
              <w:rPr>
                <w:rFonts w:ascii="Arial" w:cs="Arial" w:eastAsia="Arial" w:hAnsi="Arial"/>
                <w:sz w:val="16"/>
                <w:szCs w:val="16"/>
                <w:color w:val="auto"/>
              </w:rPr>
              <w:t>255,500</w:t>
            </w:r>
          </w:p>
        </w:tc>
        <w:tc>
          <w:tcPr>
            <w:tcW w:w="1120" w:type="dxa"/>
            <w:vAlign w:val="bottom"/>
          </w:tcPr>
          <w:p>
            <w:pPr>
              <w:jc w:val="center"/>
              <w:spacing w:after="0"/>
              <w:rPr>
                <w:sz w:val="20"/>
                <w:szCs w:val="20"/>
                <w:color w:val="auto"/>
              </w:rPr>
            </w:pPr>
            <w:r>
              <w:rPr>
                <w:rFonts w:ascii="Arial" w:cs="Arial" w:eastAsia="Arial" w:hAnsi="Arial"/>
                <w:sz w:val="16"/>
                <w:szCs w:val="16"/>
                <w:color w:val="auto"/>
              </w:rPr>
              <w:t>Dairy</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600" w:type="dxa"/>
            <w:vAlign w:val="bottom"/>
          </w:tcPr>
          <w:p>
            <w:pPr>
              <w:jc w:val="center"/>
              <w:ind w:left="18"/>
              <w:spacing w:after="0"/>
              <w:rPr>
                <w:sz w:val="20"/>
                <w:szCs w:val="20"/>
                <w:color w:val="auto"/>
              </w:rPr>
            </w:pPr>
            <w:r>
              <w:rPr>
                <w:rFonts w:ascii="Arial" w:cs="Arial" w:eastAsia="Arial" w:hAnsi="Arial"/>
                <w:sz w:val="16"/>
                <w:szCs w:val="16"/>
                <w:color w:val="auto"/>
                <w:w w:val="91"/>
              </w:rPr>
              <w:t>Fourth quarter 2024</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Polk County</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1,060,000</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LFG</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c>
          <w:tcPr>
            <w:tcW w:w="160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1"/>
              </w:rPr>
              <w:t>Fourth quarter 2024</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Sapphire </w:t>
            </w:r>
            <w:r>
              <w:rPr>
                <w:rFonts w:ascii="Arial" w:cs="Arial" w:eastAsia="Arial" w:hAnsi="Arial"/>
                <w:sz w:val="21"/>
                <w:szCs w:val="21"/>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6"/>
                <w:szCs w:val="16"/>
                <w:color w:val="auto"/>
              </w:rPr>
              <w:t>796,284</w:t>
            </w:r>
          </w:p>
        </w:tc>
        <w:tc>
          <w:tcPr>
            <w:tcW w:w="1120" w:type="dxa"/>
            <w:vAlign w:val="bottom"/>
          </w:tcPr>
          <w:p>
            <w:pPr>
              <w:jc w:val="center"/>
              <w:spacing w:after="0"/>
              <w:rPr>
                <w:sz w:val="20"/>
                <w:szCs w:val="20"/>
                <w:color w:val="auto"/>
              </w:rPr>
            </w:pPr>
            <w:r>
              <w:rPr>
                <w:rFonts w:ascii="Arial" w:cs="Arial" w:eastAsia="Arial" w:hAnsi="Arial"/>
                <w:sz w:val="16"/>
                <w:szCs w:val="16"/>
                <w:color w:val="auto"/>
              </w:rPr>
              <w:t>LFG</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50%</w:t>
            </w:r>
          </w:p>
        </w:tc>
        <w:tc>
          <w:tcPr>
            <w:tcW w:w="1600" w:type="dxa"/>
            <w:vAlign w:val="bottom"/>
          </w:tcPr>
          <w:p>
            <w:pPr>
              <w:jc w:val="center"/>
              <w:spacing w:after="0"/>
              <w:rPr>
                <w:sz w:val="20"/>
                <w:szCs w:val="20"/>
                <w:color w:val="auto"/>
              </w:rPr>
            </w:pPr>
            <w:r>
              <w:rPr>
                <w:rFonts w:ascii="Arial" w:cs="Arial" w:eastAsia="Arial" w:hAnsi="Arial"/>
                <w:sz w:val="16"/>
                <w:szCs w:val="16"/>
                <w:color w:val="auto"/>
                <w:w w:val="94"/>
              </w:rPr>
              <w:t>Third quarter 2024</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Atlantic</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331,785</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LFG</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Mid 2025</w:t>
            </w:r>
          </w:p>
        </w:tc>
        <w:tc>
          <w:tcPr>
            <w:tcW w:w="0" w:type="dxa"/>
            <w:vAlign w:val="bottom"/>
          </w:tcPr>
          <w:p>
            <w:pPr>
              <w:spacing w:after="0"/>
              <w:rPr>
                <w:sz w:val="1"/>
                <w:szCs w:val="1"/>
                <w:color w:val="auto"/>
              </w:rPr>
            </w:pPr>
          </w:p>
        </w:tc>
      </w:tr>
      <w:tr>
        <w:trPr>
          <w:trHeight w:val="201"/>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Sub 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4,424,351</w:t>
            </w:r>
          </w:p>
        </w:tc>
        <w:tc>
          <w:tcPr>
            <w:tcW w:w="11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9,668,592</w:t>
            </w: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both"/>
        <w:ind w:left="1" w:hanging="1"/>
        <w:spacing w:after="0" w:line="242" w:lineRule="auto"/>
        <w:tabs>
          <w:tab w:leader="none" w:pos="179" w:val="left"/>
        </w:tabs>
        <w:numPr>
          <w:ilvl w:val="0"/>
          <w:numId w:val="29"/>
        </w:numPr>
        <w:rPr>
          <w:rFonts w:ascii="Arial" w:cs="Arial" w:eastAsia="Arial" w:hAnsi="Arial"/>
          <w:sz w:val="21"/>
          <w:szCs w:val="21"/>
          <w:b w:val="1"/>
          <w:bCs w:val="1"/>
          <w:color w:val="auto"/>
          <w:vertAlign w:val="superscript"/>
        </w:rPr>
      </w:pPr>
      <w:r>
        <w:rPr>
          <w:rFonts w:ascii="Arial" w:cs="Arial" w:eastAsia="Arial" w:hAnsi="Arial"/>
          <w:sz w:val="16"/>
          <w:szCs w:val="16"/>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spacing w:after="0" w:line="200" w:lineRule="exact"/>
        <w:rPr>
          <w:rFonts w:ascii="Arial" w:cs="Arial" w:eastAsia="Arial" w:hAnsi="Arial"/>
          <w:sz w:val="21"/>
          <w:szCs w:val="21"/>
          <w:b w:val="1"/>
          <w:bCs w:val="1"/>
          <w:color w:val="auto"/>
          <w:vertAlign w:val="superscript"/>
        </w:rPr>
      </w:pPr>
    </w:p>
    <w:p>
      <w:pPr>
        <w:spacing w:after="0" w:line="207" w:lineRule="exact"/>
        <w:rPr>
          <w:rFonts w:ascii="Arial" w:cs="Arial" w:eastAsia="Arial" w:hAnsi="Arial"/>
          <w:sz w:val="21"/>
          <w:szCs w:val="21"/>
          <w:b w:val="1"/>
          <w:bCs w:val="1"/>
          <w:color w:val="auto"/>
          <w:vertAlign w:val="superscript"/>
        </w:rPr>
      </w:pPr>
    </w:p>
    <w:p>
      <w:pPr>
        <w:ind w:left="141" w:hanging="141"/>
        <w:spacing w:after="0"/>
        <w:tabs>
          <w:tab w:leader="none" w:pos="141"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We record our ownership interests in these projects as equity method investments in our condensed consolidated financial statements.</w:t>
      </w:r>
    </w:p>
    <w:p>
      <w:pPr>
        <w:spacing w:after="0" w:line="198" w:lineRule="exact"/>
        <w:rPr>
          <w:rFonts w:ascii="Arial" w:cs="Arial" w:eastAsia="Arial" w:hAnsi="Arial"/>
          <w:sz w:val="17"/>
          <w:szCs w:val="17"/>
          <w:color w:val="auto"/>
          <w:vertAlign w:val="superscript"/>
        </w:rPr>
      </w:pPr>
    </w:p>
    <w:p>
      <w:pPr>
        <w:ind w:left="141" w:hanging="141"/>
        <w:spacing w:after="0"/>
        <w:tabs>
          <w:tab w:leader="none" w:pos="141"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Emerald completed commissioning and commenced operations during the third quarter of 2023.</w:t>
      </w:r>
    </w:p>
    <w:p>
      <w:pPr>
        <w:spacing w:after="0" w:line="198" w:lineRule="exact"/>
        <w:rPr>
          <w:rFonts w:ascii="Arial" w:cs="Arial" w:eastAsia="Arial" w:hAnsi="Arial"/>
          <w:sz w:val="17"/>
          <w:szCs w:val="17"/>
          <w:color w:val="auto"/>
          <w:vertAlign w:val="superscript"/>
        </w:rPr>
      </w:pPr>
    </w:p>
    <w:p>
      <w:pPr>
        <w:ind w:left="1" w:hanging="1"/>
        <w:spacing w:after="0" w:line="295" w:lineRule="auto"/>
        <w:tabs>
          <w:tab w:leader="none" w:pos="152"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139" w:lineRule="exact"/>
        <w:rPr>
          <w:rFonts w:ascii="Arial" w:cs="Arial" w:eastAsia="Arial" w:hAnsi="Arial"/>
          <w:sz w:val="18"/>
          <w:szCs w:val="18"/>
          <w:color w:val="auto"/>
          <w:vertAlign w:val="superscript"/>
        </w:rPr>
      </w:pPr>
    </w:p>
    <w:p>
      <w:pPr>
        <w:jc w:val="both"/>
        <w:ind w:left="1" w:hanging="1"/>
        <w:spacing w:after="0" w:line="288" w:lineRule="auto"/>
        <w:tabs>
          <w:tab w:leader="none" w:pos="152"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207010</wp:posOffset>
            </wp:positionV>
            <wp:extent cx="716978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091" w:right="339" w:bottom="1440" w:gutter="0" w:footer="0" w:header="0"/>
        </w:sectPr>
      </w:pPr>
    </w:p>
    <w:bookmarkStart w:id="64" w:name="page65"/>
    <w:bookmarkEnd w:id="64"/>
    <w:p>
      <w:pPr>
        <w:jc w:val="both"/>
        <w:ind w:left="1" w:hanging="1"/>
        <w:spacing w:after="0" w:line="288" w:lineRule="auto"/>
        <w:tabs>
          <w:tab w:leader="none" w:pos="152"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 xml:space="preserve">Achievement of these commissioning dates is subject to receipt of certain permits and successful resolution of a series of change order requests from the Engineering, Procurement and Construction contractor responsible for the design and construction of the projects’ facilities, which the Company has disputed. For additional information, please see Note 17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to the financial statements.</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Renewable Power Projects</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6"/>
          <w:szCs w:val="16"/>
          <w:color w:val="auto"/>
        </w:rPr>
        <w:t>Below is a table setting forth the Renewable Power projects in operation in our portfolio:</w:t>
      </w:r>
    </w:p>
    <w:p>
      <w:pPr>
        <w:spacing w:after="0" w:line="224"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624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Nameplate capacity (MW</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Current RNG conversion</w:t>
            </w:r>
          </w:p>
        </w:tc>
      </w:tr>
      <w:tr>
        <w:trPr>
          <w:trHeight w:val="222"/>
        </w:trPr>
        <w:tc>
          <w:tcPr>
            <w:tcW w:w="624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438"/>
              <w:spacing w:after="0" w:line="222" w:lineRule="exact"/>
              <w:rPr>
                <w:sz w:val="20"/>
                <w:szCs w:val="20"/>
                <w:color w:val="auto"/>
              </w:rPr>
            </w:pPr>
            <w:r>
              <w:rPr>
                <w:rFonts w:ascii="Arial" w:cs="Arial" w:eastAsia="Arial" w:hAnsi="Arial"/>
                <w:sz w:val="16"/>
                <w:szCs w:val="16"/>
                <w:b w:val="1"/>
                <w:bCs w:val="1"/>
                <w:color w:val="auto"/>
              </w:rPr>
              <w:t xml:space="preserve">per hour) </w:t>
            </w:r>
            <w:r>
              <w:rPr>
                <w:rFonts w:ascii="Arial" w:cs="Arial" w:eastAsia="Arial" w:hAnsi="Arial"/>
                <w:sz w:val="21"/>
                <w:szCs w:val="21"/>
                <w:b w:val="1"/>
                <w:bCs w:val="1"/>
                <w:color w:val="auto"/>
                <w:vertAlign w:val="superscript"/>
              </w:rPr>
              <w:t>(1)</w:t>
            </w:r>
          </w:p>
        </w:tc>
        <w:tc>
          <w:tcPr>
            <w:tcW w:w="2120" w:type="dxa"/>
            <w:vAlign w:val="bottom"/>
            <w:tcBorders>
              <w:bottom w:val="single" w:sz="8" w:color="auto"/>
            </w:tcBorders>
            <w:shd w:val="clear" w:color="auto" w:fill="CCEEFF"/>
          </w:tcPr>
          <w:p>
            <w:pPr>
              <w:jc w:val="center"/>
              <w:spacing w:after="0" w:line="222" w:lineRule="exact"/>
              <w:rPr>
                <w:sz w:val="20"/>
                <w:szCs w:val="20"/>
                <w:color w:val="auto"/>
              </w:rPr>
            </w:pPr>
            <w:r>
              <w:rPr>
                <w:rFonts w:ascii="Arial" w:cs="Arial" w:eastAsia="Arial" w:hAnsi="Arial"/>
                <w:sz w:val="16"/>
                <w:szCs w:val="16"/>
                <w:b w:val="1"/>
                <w:bCs w:val="1"/>
                <w:color w:val="auto"/>
                <w:w w:val="89"/>
              </w:rPr>
              <w:t xml:space="preserve">candidate </w:t>
            </w:r>
            <w:r>
              <w:rPr>
                <w:rFonts w:ascii="Arial" w:cs="Arial" w:eastAsia="Arial" w:hAnsi="Arial"/>
                <w:sz w:val="21"/>
                <w:szCs w:val="21"/>
                <w:b w:val="1"/>
                <w:bCs w:val="1"/>
                <w:color w:val="auto"/>
                <w:w w:val="89"/>
                <w:vertAlign w:val="superscript"/>
              </w:rPr>
              <w:t>(2)</w:t>
            </w:r>
          </w:p>
        </w:tc>
      </w:tr>
      <w:tr>
        <w:trPr>
          <w:trHeight w:val="226"/>
        </w:trPr>
        <w:tc>
          <w:tcPr>
            <w:tcW w:w="6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Sycamore</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r>
      <w:tr>
        <w:trPr>
          <w:trHeight w:val="209"/>
        </w:trPr>
        <w:tc>
          <w:tcPr>
            <w:tcW w:w="6240" w:type="dxa"/>
            <w:vAlign w:val="bottom"/>
          </w:tcPr>
          <w:p>
            <w:pPr>
              <w:ind w:left="20"/>
              <w:spacing w:after="0"/>
              <w:rPr>
                <w:sz w:val="20"/>
                <w:szCs w:val="20"/>
                <w:color w:val="auto"/>
              </w:rPr>
            </w:pPr>
            <w:r>
              <w:rPr>
                <w:rFonts w:ascii="Arial" w:cs="Arial" w:eastAsia="Arial" w:hAnsi="Arial"/>
                <w:sz w:val="16"/>
                <w:szCs w:val="16"/>
                <w:color w:val="auto"/>
              </w:rPr>
              <w:t>Lopez</w:t>
            </w:r>
          </w:p>
        </w:tc>
        <w:tc>
          <w:tcPr>
            <w:tcW w:w="1860" w:type="dxa"/>
            <w:vAlign w:val="bottom"/>
          </w:tcPr>
          <w:p>
            <w:pPr>
              <w:jc w:val="right"/>
              <w:spacing w:after="0"/>
              <w:rPr>
                <w:sz w:val="20"/>
                <w:szCs w:val="20"/>
                <w:color w:val="auto"/>
              </w:rPr>
            </w:pPr>
            <w:r>
              <w:rPr>
                <w:rFonts w:ascii="Arial" w:cs="Arial" w:eastAsia="Arial" w:hAnsi="Arial"/>
                <w:sz w:val="16"/>
                <w:szCs w:val="16"/>
                <w:color w:val="auto"/>
              </w:rPr>
              <w:t>3.0</w:t>
            </w:r>
          </w:p>
        </w:tc>
        <w:tc>
          <w:tcPr>
            <w:tcW w:w="21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Miramar Energy</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r>
      <w:tr>
        <w:trPr>
          <w:trHeight w:val="209"/>
        </w:trPr>
        <w:tc>
          <w:tcPr>
            <w:tcW w:w="6240" w:type="dxa"/>
            <w:vAlign w:val="bottom"/>
          </w:tcPr>
          <w:p>
            <w:pPr>
              <w:ind w:left="20"/>
              <w:spacing w:after="0"/>
              <w:rPr>
                <w:sz w:val="20"/>
                <w:szCs w:val="20"/>
                <w:color w:val="auto"/>
              </w:rPr>
            </w:pPr>
            <w:r>
              <w:rPr>
                <w:rFonts w:ascii="Arial" w:cs="Arial" w:eastAsia="Arial" w:hAnsi="Arial"/>
                <w:sz w:val="16"/>
                <w:szCs w:val="16"/>
                <w:color w:val="auto"/>
              </w:rPr>
              <w:t>San Marcos</w:t>
            </w:r>
          </w:p>
        </w:tc>
        <w:tc>
          <w:tcPr>
            <w:tcW w:w="1860" w:type="dxa"/>
            <w:vAlign w:val="bottom"/>
          </w:tcPr>
          <w:p>
            <w:pPr>
              <w:jc w:val="right"/>
              <w:spacing w:after="0"/>
              <w:rPr>
                <w:sz w:val="20"/>
                <w:szCs w:val="20"/>
                <w:color w:val="auto"/>
              </w:rPr>
            </w:pPr>
            <w:r>
              <w:rPr>
                <w:rFonts w:ascii="Arial" w:cs="Arial" w:eastAsia="Arial" w:hAnsi="Arial"/>
                <w:sz w:val="16"/>
                <w:szCs w:val="16"/>
                <w:color w:val="auto"/>
              </w:rPr>
              <w:t>1.8</w:t>
            </w:r>
          </w:p>
        </w:tc>
        <w:tc>
          <w:tcPr>
            <w:tcW w:w="21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Santa Cruz</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6240" w:type="dxa"/>
            <w:vAlign w:val="bottom"/>
          </w:tcPr>
          <w:p>
            <w:pPr>
              <w:ind w:left="20"/>
              <w:spacing w:after="0"/>
              <w:rPr>
                <w:sz w:val="20"/>
                <w:szCs w:val="20"/>
                <w:color w:val="auto"/>
              </w:rPr>
            </w:pPr>
            <w:r>
              <w:rPr>
                <w:rFonts w:ascii="Arial" w:cs="Arial" w:eastAsia="Arial" w:hAnsi="Arial"/>
                <w:sz w:val="16"/>
                <w:szCs w:val="16"/>
                <w:color w:val="auto"/>
              </w:rPr>
              <w:t>San Diego - Miramar</w:t>
            </w:r>
          </w:p>
        </w:tc>
        <w:tc>
          <w:tcPr>
            <w:tcW w:w="1860" w:type="dxa"/>
            <w:vAlign w:val="bottom"/>
          </w:tcPr>
          <w:p>
            <w:pPr>
              <w:jc w:val="right"/>
              <w:spacing w:after="0"/>
              <w:rPr>
                <w:sz w:val="20"/>
                <w:szCs w:val="20"/>
                <w:color w:val="auto"/>
              </w:rPr>
            </w:pPr>
            <w:r>
              <w:rPr>
                <w:rFonts w:ascii="Arial" w:cs="Arial" w:eastAsia="Arial" w:hAnsi="Arial"/>
                <w:sz w:val="16"/>
                <w:szCs w:val="16"/>
                <w:color w:val="auto"/>
              </w:rPr>
              <w:t>6.5</w:t>
            </w:r>
          </w:p>
        </w:tc>
        <w:tc>
          <w:tcPr>
            <w:tcW w:w="212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Covina</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6240" w:type="dxa"/>
            <w:vAlign w:val="bottom"/>
          </w:tcPr>
          <w:p>
            <w:pPr>
              <w:ind w:left="20"/>
              <w:spacing w:after="0"/>
              <w:rPr>
                <w:sz w:val="20"/>
                <w:szCs w:val="20"/>
                <w:color w:val="auto"/>
              </w:rPr>
            </w:pPr>
            <w:r>
              <w:rPr>
                <w:rFonts w:ascii="Arial" w:cs="Arial" w:eastAsia="Arial" w:hAnsi="Arial"/>
                <w:sz w:val="16"/>
                <w:szCs w:val="16"/>
                <w:color w:val="auto"/>
              </w:rPr>
              <w:t>Port Charlotte</w:t>
            </w:r>
          </w:p>
        </w:tc>
        <w:tc>
          <w:tcPr>
            <w:tcW w:w="1860" w:type="dxa"/>
            <w:vAlign w:val="bottom"/>
          </w:tcPr>
          <w:p>
            <w:pPr>
              <w:jc w:val="right"/>
              <w:spacing w:after="0"/>
              <w:rPr>
                <w:sz w:val="20"/>
                <w:szCs w:val="20"/>
                <w:color w:val="auto"/>
              </w:rPr>
            </w:pPr>
            <w:r>
              <w:rPr>
                <w:rFonts w:ascii="Arial" w:cs="Arial" w:eastAsia="Arial" w:hAnsi="Arial"/>
                <w:sz w:val="16"/>
                <w:szCs w:val="16"/>
                <w:color w:val="auto"/>
              </w:rPr>
              <w:t>2.9</w:t>
            </w:r>
          </w:p>
        </w:tc>
        <w:tc>
          <w:tcPr>
            <w:tcW w:w="21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Taunton</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62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Arbor Hills </w:t>
            </w:r>
            <w:r>
              <w:rPr>
                <w:rFonts w:ascii="Arial" w:cs="Arial" w:eastAsia="Arial" w:hAnsi="Arial"/>
                <w:sz w:val="21"/>
                <w:szCs w:val="21"/>
                <w:color w:val="auto"/>
                <w:vertAlign w:val="superscript"/>
              </w:rPr>
              <w:t>(3)</w:t>
            </w:r>
          </w:p>
        </w:tc>
        <w:tc>
          <w:tcPr>
            <w:tcW w:w="1860" w:type="dxa"/>
            <w:vAlign w:val="bottom"/>
          </w:tcPr>
          <w:p>
            <w:pPr>
              <w:jc w:val="right"/>
              <w:spacing w:after="0"/>
              <w:rPr>
                <w:sz w:val="20"/>
                <w:szCs w:val="20"/>
                <w:color w:val="auto"/>
              </w:rPr>
            </w:pPr>
            <w:r>
              <w:rPr>
                <w:rFonts w:ascii="Arial" w:cs="Arial" w:eastAsia="Arial" w:hAnsi="Arial"/>
                <w:sz w:val="16"/>
                <w:szCs w:val="16"/>
                <w:color w:val="auto"/>
              </w:rPr>
              <w:t>28.9</w:t>
            </w:r>
          </w:p>
        </w:tc>
        <w:tc>
          <w:tcPr>
            <w:tcW w:w="21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C&amp;C</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r>
      <w:tr>
        <w:trPr>
          <w:trHeight w:val="209"/>
        </w:trPr>
        <w:tc>
          <w:tcPr>
            <w:tcW w:w="6240" w:type="dxa"/>
            <w:vAlign w:val="bottom"/>
          </w:tcPr>
          <w:p>
            <w:pPr>
              <w:ind w:left="20"/>
              <w:spacing w:after="0"/>
              <w:rPr>
                <w:sz w:val="20"/>
                <w:szCs w:val="20"/>
                <w:color w:val="auto"/>
              </w:rPr>
            </w:pPr>
            <w:r>
              <w:rPr>
                <w:rFonts w:ascii="Arial" w:cs="Arial" w:eastAsia="Arial" w:hAnsi="Arial"/>
                <w:sz w:val="16"/>
                <w:szCs w:val="16"/>
                <w:color w:val="auto"/>
              </w:rPr>
              <w:t>Albany</w:t>
            </w:r>
          </w:p>
        </w:tc>
        <w:tc>
          <w:tcPr>
            <w:tcW w:w="1860" w:type="dxa"/>
            <w:vAlign w:val="bottom"/>
          </w:tcPr>
          <w:p>
            <w:pPr>
              <w:jc w:val="right"/>
              <w:spacing w:after="0"/>
              <w:rPr>
                <w:sz w:val="20"/>
                <w:szCs w:val="20"/>
                <w:color w:val="auto"/>
              </w:rPr>
            </w:pPr>
            <w:r>
              <w:rPr>
                <w:rFonts w:ascii="Arial" w:cs="Arial" w:eastAsia="Arial" w:hAnsi="Arial"/>
                <w:sz w:val="16"/>
                <w:szCs w:val="16"/>
                <w:color w:val="auto"/>
              </w:rPr>
              <w:t>5.9</w:t>
            </w:r>
          </w:p>
        </w:tc>
        <w:tc>
          <w:tcPr>
            <w:tcW w:w="21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Concord and CMS</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r>
      <w:tr>
        <w:trPr>
          <w:trHeight w:val="209"/>
        </w:trPr>
        <w:tc>
          <w:tcPr>
            <w:tcW w:w="6240" w:type="dxa"/>
            <w:vAlign w:val="bottom"/>
          </w:tcPr>
          <w:p>
            <w:pPr>
              <w:ind w:left="20"/>
              <w:spacing w:after="0"/>
              <w:rPr>
                <w:sz w:val="20"/>
                <w:szCs w:val="20"/>
                <w:color w:val="auto"/>
              </w:rPr>
            </w:pPr>
            <w:r>
              <w:rPr>
                <w:rFonts w:ascii="Arial" w:cs="Arial" w:eastAsia="Arial" w:hAnsi="Arial"/>
                <w:sz w:val="16"/>
                <w:szCs w:val="16"/>
                <w:color w:val="auto"/>
              </w:rPr>
              <w:t>Pioneer</w:t>
            </w:r>
          </w:p>
        </w:tc>
        <w:tc>
          <w:tcPr>
            <w:tcW w:w="1860" w:type="dxa"/>
            <w:vAlign w:val="bottom"/>
          </w:tcPr>
          <w:p>
            <w:pPr>
              <w:jc w:val="right"/>
              <w:spacing w:after="0"/>
              <w:rPr>
                <w:sz w:val="20"/>
                <w:szCs w:val="20"/>
                <w:color w:val="auto"/>
              </w:rPr>
            </w:pPr>
            <w:r>
              <w:rPr>
                <w:rFonts w:ascii="Arial" w:cs="Arial" w:eastAsia="Arial" w:hAnsi="Arial"/>
                <w:sz w:val="16"/>
                <w:szCs w:val="16"/>
                <w:color w:val="auto"/>
              </w:rPr>
              <w:t>8.0</w:t>
            </w:r>
          </w:p>
        </w:tc>
        <w:tc>
          <w:tcPr>
            <w:tcW w:w="21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62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Prince William I </w:t>
            </w:r>
            <w:r>
              <w:rPr>
                <w:rFonts w:ascii="Arial" w:cs="Arial" w:eastAsia="Arial" w:hAnsi="Arial"/>
                <w:sz w:val="21"/>
                <w:szCs w:val="21"/>
                <w:color w:val="auto"/>
                <w:vertAlign w:val="superscript"/>
              </w:rPr>
              <w:t>(4)</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r>
      <w:tr>
        <w:trPr>
          <w:trHeight w:val="209"/>
        </w:trPr>
        <w:tc>
          <w:tcPr>
            <w:tcW w:w="62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Prince William II </w:t>
            </w:r>
            <w:r>
              <w:rPr>
                <w:rFonts w:ascii="Arial" w:cs="Arial" w:eastAsia="Arial" w:hAnsi="Arial"/>
                <w:sz w:val="21"/>
                <w:szCs w:val="21"/>
                <w:color w:val="auto"/>
                <w:vertAlign w:val="superscript"/>
              </w:rPr>
              <w:t>(5)</w:t>
            </w:r>
          </w:p>
        </w:tc>
        <w:tc>
          <w:tcPr>
            <w:tcW w:w="1860" w:type="dxa"/>
            <w:vAlign w:val="bottom"/>
          </w:tcPr>
          <w:p>
            <w:pPr>
              <w:jc w:val="right"/>
              <w:spacing w:after="0"/>
              <w:rPr>
                <w:sz w:val="20"/>
                <w:szCs w:val="20"/>
                <w:color w:val="auto"/>
              </w:rPr>
            </w:pPr>
            <w:r>
              <w:rPr>
                <w:rFonts w:ascii="Arial" w:cs="Arial" w:eastAsia="Arial" w:hAnsi="Arial"/>
                <w:sz w:val="16"/>
                <w:szCs w:val="16"/>
                <w:color w:val="auto"/>
              </w:rPr>
              <w:t>4.8</w:t>
            </w:r>
          </w:p>
        </w:tc>
        <w:tc>
          <w:tcPr>
            <w:tcW w:w="212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Old Dominion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r>
      <w:tr>
        <w:trPr>
          <w:trHeight w:val="202"/>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212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ind w:left="1" w:right="140" w:hanging="1"/>
        <w:spacing w:after="0" w:line="295" w:lineRule="auto"/>
        <w:tabs>
          <w:tab w:leader="none" w:pos="167"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163" w:lineRule="exact"/>
        <w:rPr>
          <w:rFonts w:ascii="Arial" w:cs="Arial" w:eastAsia="Arial" w:hAnsi="Arial"/>
          <w:sz w:val="18"/>
          <w:szCs w:val="18"/>
          <w:color w:val="auto"/>
          <w:vertAlign w:val="superscript"/>
        </w:rPr>
      </w:pPr>
    </w:p>
    <w:p>
      <w:pPr>
        <w:jc w:val="both"/>
        <w:ind w:left="1" w:hanging="1"/>
        <w:spacing w:after="0" w:line="245" w:lineRule="auto"/>
        <w:tabs>
          <w:tab w:leader="none" w:pos="177"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spacing w:after="0" w:line="209" w:lineRule="exact"/>
        <w:rPr>
          <w:rFonts w:ascii="Arial" w:cs="Arial" w:eastAsia="Arial" w:hAnsi="Arial"/>
          <w:sz w:val="21"/>
          <w:szCs w:val="21"/>
          <w:color w:val="auto"/>
          <w:vertAlign w:val="superscript"/>
        </w:rPr>
      </w:pPr>
    </w:p>
    <w:p>
      <w:pPr>
        <w:ind w:left="1" w:right="360" w:hanging="1"/>
        <w:spacing w:after="0" w:line="235" w:lineRule="auto"/>
        <w:tabs>
          <w:tab w:leader="none" w:pos="167"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Although the RNG conversion is completed, it is currently contemplated that the Arbor Hills renewable power plant will continue limited operations on a stand-by, emergency basis through March of 2031.</w:t>
      </w:r>
    </w:p>
    <w:p>
      <w:pPr>
        <w:spacing w:after="0" w:line="210" w:lineRule="exact"/>
        <w:rPr>
          <w:rFonts w:ascii="Arial" w:cs="Arial" w:eastAsia="Arial" w:hAnsi="Arial"/>
          <w:sz w:val="20"/>
          <w:szCs w:val="20"/>
          <w:color w:val="auto"/>
          <w:vertAlign w:val="superscript"/>
        </w:rPr>
      </w:pPr>
    </w:p>
    <w:p>
      <w:pPr>
        <w:ind w:left="141" w:hanging="141"/>
        <w:spacing w:after="0"/>
        <w:tabs>
          <w:tab w:leader="none" w:pos="141"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It is currently contemplated that the Prince William I renewable power plant will continue operations through approximately December 2023.</w:t>
      </w:r>
    </w:p>
    <w:p>
      <w:pPr>
        <w:spacing w:after="0" w:line="211" w:lineRule="exact"/>
        <w:rPr>
          <w:rFonts w:ascii="Arial" w:cs="Arial" w:eastAsia="Arial" w:hAnsi="Arial"/>
          <w:sz w:val="17"/>
          <w:szCs w:val="17"/>
          <w:color w:val="auto"/>
          <w:vertAlign w:val="superscript"/>
        </w:rPr>
      </w:pPr>
    </w:p>
    <w:p>
      <w:pPr>
        <w:ind w:left="141" w:hanging="141"/>
        <w:spacing w:after="0"/>
        <w:tabs>
          <w:tab w:leader="none" w:pos="141"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It is currently contemplated that the Prince William II renewable power plant will continue operations through approximately December 2023.</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716978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064"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Comparison of the Three and Nine Months Ended September 30, 2023 and 2022</w:t>
      </w:r>
    </w:p>
    <w:p>
      <w:pPr>
        <w:spacing w:after="0" w:line="149" w:lineRule="exact"/>
        <w:rPr>
          <w:sz w:val="20"/>
          <w:szCs w:val="20"/>
          <w:color w:val="auto"/>
        </w:rPr>
      </w:pPr>
    </w:p>
    <w:p>
      <w:pPr>
        <w:ind w:firstLine="296"/>
        <w:spacing w:after="0" w:line="288" w:lineRule="auto"/>
        <w:rPr>
          <w:sz w:val="20"/>
          <w:szCs w:val="20"/>
          <w:color w:val="auto"/>
        </w:rPr>
      </w:pPr>
      <w:r>
        <w:rPr>
          <w:rFonts w:ascii="Arial" w:cs="Arial" w:eastAsia="Arial" w:hAnsi="Arial"/>
          <w:sz w:val="16"/>
          <w:szCs w:val="16"/>
          <w:color w:val="auto"/>
        </w:rPr>
        <w:t>The following table presents the period-over-period change for each line item in the Company's statement of operations for the three and nine months ended September 30, 2023 and 2022.</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ind w:left="12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12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466"/>
              <w:spacing w:after="0"/>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8"/>
                <w:szCs w:val="18"/>
                <w:color w:val="auto"/>
              </w:rPr>
            </w:pPr>
          </w:p>
        </w:tc>
        <w:tc>
          <w:tcPr>
            <w:tcW w:w="1000" w:type="dxa"/>
            <w:vAlign w:val="bottom"/>
          </w:tcPr>
          <w:p>
            <w:pPr>
              <w:jc w:val="right"/>
              <w:ind w:right="36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426"/>
              <w:spacing w:after="0"/>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36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8"/>
                <w:szCs w:val="18"/>
                <w:color w:val="auto"/>
              </w:rPr>
            </w:pPr>
          </w:p>
        </w:tc>
        <w:tc>
          <w:tcPr>
            <w:tcW w:w="960" w:type="dxa"/>
            <w:vAlign w:val="bottom"/>
          </w:tcPr>
          <w:p>
            <w:pPr>
              <w:jc w:val="right"/>
              <w:ind w:right="34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6"/>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i w:val="1"/>
                <w:iCs w:val="1"/>
                <w:color w:val="auto"/>
              </w:rPr>
              <w:t>(in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w w:val="94"/>
              </w:rPr>
              <w:t>Change</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02"/>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040" w:type="dxa"/>
            <w:vAlign w:val="bottom"/>
            <w:gridSpan w:val="2"/>
          </w:tcPr>
          <w:p>
            <w:pPr>
              <w:ind w:left="20"/>
              <w:spacing w:after="0"/>
              <w:rPr>
                <w:sz w:val="20"/>
                <w:szCs w:val="20"/>
                <w:color w:val="auto"/>
              </w:rPr>
            </w:pPr>
            <w:r>
              <w:rPr>
                <w:rFonts w:ascii="Arial" w:cs="Arial" w:eastAsia="Arial" w:hAnsi="Arial"/>
                <w:sz w:val="15"/>
                <w:szCs w:val="15"/>
                <w:color w:val="auto"/>
              </w:rPr>
              <w:t>RNG fuel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20,088</w:t>
            </w:r>
          </w:p>
        </w:tc>
        <w:tc>
          <w:tcPr>
            <w:tcW w:w="1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18,293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1,795</w:t>
            </w:r>
          </w:p>
        </w:tc>
        <w:tc>
          <w:tcPr>
            <w:tcW w:w="12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5"/>
                <w:szCs w:val="15"/>
                <w:color w:val="auto"/>
              </w:rPr>
              <w:t xml:space="preserve">10 %  </w:t>
            </w: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37,468</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48,815</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(11,347)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41"/>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Fuel station services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27"/>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Renewable Power</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12,486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10,920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33 %</w:t>
            </w:r>
          </w:p>
        </w:tc>
        <w:tc>
          <w:tcPr>
            <w:tcW w:w="0" w:type="dxa"/>
            <w:vAlign w:val="bottom"/>
          </w:tcPr>
          <w:p>
            <w:pPr>
              <w:spacing w:after="0"/>
              <w:rPr>
                <w:sz w:val="1"/>
                <w:szCs w:val="1"/>
                <w:color w:val="auto"/>
              </w:rPr>
            </w:pPr>
          </w:p>
        </w:tc>
      </w:tr>
      <w:tr>
        <w:trPr>
          <w:trHeight w:val="221"/>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71,101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66,550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4,551</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169,100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9"/>
              </w:rPr>
              <w:t>168,814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72"/>
        </w:trPr>
        <w:tc>
          <w:tcPr>
            <w:tcW w:w="304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expenses:</w:t>
            </w: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Cost of sales - RNG fuel</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8,896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10,872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1,976</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24,303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27,043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2,740</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0" w:type="dxa"/>
            <w:vAlign w:val="bottom"/>
          </w:tcPr>
          <w:p>
            <w:pPr>
              <w:spacing w:after="0"/>
              <w:rPr>
                <w:sz w:val="1"/>
                <w:szCs w:val="1"/>
                <w:color w:val="auto"/>
              </w:rPr>
            </w:pPr>
          </w:p>
        </w:tc>
      </w:tr>
      <w:tr>
        <w:trPr>
          <w:trHeight w:val="192"/>
        </w:trPr>
        <w:tc>
          <w:tcPr>
            <w:tcW w:w="3040" w:type="dxa"/>
            <w:vAlign w:val="bottom"/>
            <w:gridSpan w:val="2"/>
          </w:tcPr>
          <w:p>
            <w:pPr>
              <w:ind w:left="20"/>
              <w:spacing w:after="0"/>
              <w:rPr>
                <w:sz w:val="20"/>
                <w:szCs w:val="20"/>
                <w:color w:val="auto"/>
              </w:rPr>
            </w:pPr>
            <w:r>
              <w:rPr>
                <w:rFonts w:ascii="Arial" w:cs="Arial" w:eastAsia="Arial" w:hAnsi="Arial"/>
                <w:sz w:val="15"/>
                <w:szCs w:val="15"/>
                <w:color w:val="auto"/>
              </w:rPr>
              <w:t>Cost of sales - Fuel station services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31,887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30,837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(1,050)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79,655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74,130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(5,525)</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Cost of sales - Renewable power</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11,112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(3,467)</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28,251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23,593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(4,658)</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2"/>
        </w:trPr>
        <w:tc>
          <w:tcPr>
            <w:tcW w:w="304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13,594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15,751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2,157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41,729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34,561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(7,168)</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Depreciation, amortization, and accretion</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3,739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3,380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10,934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8 %</w:t>
            </w:r>
          </w:p>
        </w:tc>
        <w:tc>
          <w:tcPr>
            <w:tcW w:w="0" w:type="dxa"/>
            <w:vAlign w:val="bottom"/>
          </w:tcPr>
          <w:p>
            <w:pPr>
              <w:spacing w:after="0"/>
              <w:rPr>
                <w:sz w:val="1"/>
                <w:szCs w:val="1"/>
                <w:color w:val="auto"/>
              </w:rPr>
            </w:pPr>
          </w:p>
        </w:tc>
      </w:tr>
      <w:tr>
        <w:trPr>
          <w:trHeight w:val="184"/>
        </w:trPr>
        <w:tc>
          <w:tcPr>
            <w:tcW w:w="3040" w:type="dxa"/>
            <w:vAlign w:val="bottom"/>
            <w:gridSpan w:val="2"/>
          </w:tcPr>
          <w:p>
            <w:pPr>
              <w:ind w:left="140"/>
              <w:spacing w:after="0"/>
              <w:rPr>
                <w:sz w:val="20"/>
                <w:szCs w:val="20"/>
                <w:color w:val="auto"/>
              </w:rPr>
            </w:pPr>
            <w:r>
              <w:rPr>
                <w:rFonts w:ascii="Arial" w:cs="Arial" w:eastAsia="Arial" w:hAnsi="Arial"/>
                <w:sz w:val="15"/>
                <w:szCs w:val="15"/>
                <w:color w:val="auto"/>
              </w:rPr>
              <w:t>Total expenses</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69,228</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68,485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(743)</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1 %</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184,872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9"/>
              </w:rPr>
              <w:t>169,428</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(15,444)</w:t>
            </w:r>
          </w:p>
        </w:tc>
        <w:tc>
          <w:tcPr>
            <w:tcW w:w="12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9 %</w:t>
            </w:r>
          </w:p>
        </w:tc>
        <w:tc>
          <w:tcPr>
            <w:tcW w:w="0" w:type="dxa"/>
            <w:vAlign w:val="bottom"/>
          </w:tcPr>
          <w:p>
            <w:pPr>
              <w:spacing w:after="0"/>
              <w:rPr>
                <w:sz w:val="1"/>
                <w:szCs w:val="1"/>
                <w:color w:val="auto"/>
              </w:rPr>
            </w:pPr>
          </w:p>
        </w:tc>
      </w:tr>
      <w:tr>
        <w:trPr>
          <w:trHeight w:val="30"/>
        </w:trPr>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Operating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1,873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3,808</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197 %</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(15,158)</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(2469)%</w:t>
            </w:r>
          </w:p>
        </w:tc>
        <w:tc>
          <w:tcPr>
            <w:tcW w:w="0" w:type="dxa"/>
            <w:vAlign w:val="bottom"/>
          </w:tcPr>
          <w:p>
            <w:pPr>
              <w:spacing w:after="0"/>
              <w:rPr>
                <w:sz w:val="1"/>
                <w:szCs w:val="1"/>
                <w:color w:val="auto"/>
              </w:rPr>
            </w:pPr>
          </w:p>
        </w:tc>
      </w:tr>
      <w:tr>
        <w:trPr>
          <w:trHeight w:val="172"/>
        </w:trPr>
        <w:tc>
          <w:tcPr>
            <w:tcW w:w="304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Interest and financing expense, net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(2,095)</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(4,482)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(7,212)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2,730</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0" w:type="dxa"/>
            <w:vAlign w:val="bottom"/>
          </w:tcPr>
          <w:p>
            <w:pPr>
              <w:spacing w:after="0"/>
              <w:rPr>
                <w:sz w:val="1"/>
                <w:szCs w:val="1"/>
                <w:color w:val="auto"/>
              </w:rPr>
            </w:pPr>
          </w:p>
        </w:tc>
      </w:tr>
      <w:tr>
        <w:trPr>
          <w:trHeight w:val="192"/>
        </w:trPr>
        <w:tc>
          <w:tcPr>
            <w:tcW w:w="3040" w:type="dxa"/>
            <w:vAlign w:val="bottom"/>
            <w:gridSpan w:val="2"/>
          </w:tcPr>
          <w:p>
            <w:pPr>
              <w:ind w:left="20"/>
              <w:spacing w:after="0"/>
              <w:rPr>
                <w:sz w:val="20"/>
                <w:szCs w:val="20"/>
                <w:color w:val="auto"/>
              </w:rPr>
            </w:pPr>
            <w:r>
              <w:rPr>
                <w:rFonts w:ascii="Arial" w:cs="Arial" w:eastAsia="Arial" w:hAnsi="Arial"/>
                <w:sz w:val="15"/>
                <w:szCs w:val="15"/>
                <w:color w:val="auto"/>
              </w:rPr>
              <w:t>Loss on debt extinguishment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(2,848)</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8"/>
              </w:rPr>
              <w:t>Change in fair value of derivative instruments,</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1,770</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93 %</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4,955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6,535</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414 %</w:t>
            </w:r>
          </w:p>
        </w:tc>
        <w:tc>
          <w:tcPr>
            <w:tcW w:w="0" w:type="dxa"/>
            <w:vAlign w:val="bottom"/>
          </w:tcPr>
          <w:p>
            <w:pPr>
              <w:spacing w:after="0"/>
              <w:rPr>
                <w:sz w:val="1"/>
                <w:szCs w:val="1"/>
                <w:color w:val="auto"/>
              </w:rPr>
            </w:pPr>
          </w:p>
        </w:tc>
      </w:tr>
      <w:tr>
        <w:trPr>
          <w:trHeight w:val="205"/>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net</w:t>
            </w: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40" w:type="dxa"/>
            <w:vAlign w:val="bottom"/>
            <w:gridSpan w:val="2"/>
          </w:tcPr>
          <w:p>
            <w:pPr>
              <w:ind w:left="20"/>
              <w:spacing w:after="0"/>
              <w:rPr>
                <w:sz w:val="20"/>
                <w:szCs w:val="20"/>
                <w:color w:val="auto"/>
              </w:rPr>
            </w:pPr>
            <w:r>
              <w:rPr>
                <w:rFonts w:ascii="Arial" w:cs="Arial" w:eastAsia="Arial" w:hAnsi="Arial"/>
                <w:sz w:val="15"/>
                <w:szCs w:val="15"/>
                <w:color w:val="auto"/>
              </w:rPr>
              <w:t>Other income</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6,308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(5,704)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123,645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6,308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117,337</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1860 %</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(loss) income from equity method</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1,726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3,694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(1,968)</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1,433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(2,225)</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05"/>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investments</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040" w:type="dxa"/>
            <w:vAlign w:val="bottom"/>
            <w:gridSpan w:val="2"/>
          </w:tcPr>
          <w:p>
            <w:pPr>
              <w:ind w:left="20"/>
              <w:spacing w:after="0" w:line="156" w:lineRule="exact"/>
              <w:rPr>
                <w:sz w:val="20"/>
                <w:szCs w:val="20"/>
                <w:color w:val="auto"/>
              </w:rPr>
            </w:pPr>
            <w:r>
              <w:rPr>
                <w:rFonts w:ascii="Arial" w:cs="Arial" w:eastAsia="Arial" w:hAnsi="Arial"/>
                <w:sz w:val="15"/>
                <w:szCs w:val="15"/>
                <w:color w:val="auto"/>
                <w:w w:val="99"/>
              </w:rPr>
              <w:t>Net income (loss) before provision for income</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227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5,369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(5,142)</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106,931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560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106,371</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18995 %</w:t>
            </w:r>
          </w:p>
        </w:tc>
        <w:tc>
          <w:tcPr>
            <w:tcW w:w="0" w:type="dxa"/>
            <w:vAlign w:val="bottom"/>
          </w:tcPr>
          <w:p>
            <w:pPr>
              <w:spacing w:after="0"/>
              <w:rPr>
                <w:sz w:val="1"/>
                <w:szCs w:val="1"/>
                <w:color w:val="auto"/>
              </w:rPr>
            </w:pPr>
          </w:p>
        </w:tc>
      </w:tr>
      <w:tr>
        <w:trPr>
          <w:trHeight w:val="198"/>
        </w:trPr>
        <w:tc>
          <w:tcPr>
            <w:tcW w:w="30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taxes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 %</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rPr>
                <w:sz w:val="20"/>
                <w:szCs w:val="20"/>
                <w:color w:val="auto"/>
              </w:rPr>
            </w:pPr>
            <w:r>
              <w:rPr>
                <w:rFonts w:ascii="Arial" w:cs="Arial" w:eastAsia="Arial" w:hAnsi="Arial"/>
                <w:sz w:val="15"/>
                <w:szCs w:val="15"/>
                <w:color w:val="auto"/>
              </w:rPr>
              <w:t>Net income (loss)</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5,369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(5,142)</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106,931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106,371</w:t>
            </w:r>
          </w:p>
        </w:tc>
        <w:tc>
          <w:tcPr>
            <w:tcW w:w="12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18995 %</w:t>
            </w:r>
          </w:p>
        </w:tc>
        <w:tc>
          <w:tcPr>
            <w:tcW w:w="0" w:type="dxa"/>
            <w:vAlign w:val="bottom"/>
          </w:tcPr>
          <w:p>
            <w:pPr>
              <w:spacing w:after="0"/>
              <w:rPr>
                <w:sz w:val="1"/>
                <w:szCs w:val="1"/>
                <w:color w:val="auto"/>
              </w:rPr>
            </w:pPr>
          </w:p>
        </w:tc>
      </w:tr>
      <w:tr>
        <w:trPr>
          <w:trHeight w:val="30"/>
        </w:trPr>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0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Net (loss) income attributable to redeemable</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(2,104)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4,161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(6,265)</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83,123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(2,584)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85,707</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3317 %</w:t>
            </w:r>
          </w:p>
        </w:tc>
        <w:tc>
          <w:tcPr>
            <w:tcW w:w="0" w:type="dxa"/>
            <w:vAlign w:val="bottom"/>
          </w:tcPr>
          <w:p>
            <w:pPr>
              <w:spacing w:after="0"/>
              <w:rPr>
                <w:sz w:val="1"/>
                <w:szCs w:val="1"/>
                <w:color w:val="auto"/>
              </w:rPr>
            </w:pPr>
          </w:p>
        </w:tc>
      </w:tr>
      <w:tr>
        <w:trPr>
          <w:trHeight w:val="205"/>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non-controlling interests</w:t>
            </w: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40" w:type="dxa"/>
            <w:vAlign w:val="bottom"/>
            <w:gridSpan w:val="2"/>
          </w:tcPr>
          <w:p>
            <w:pPr>
              <w:ind w:left="20"/>
              <w:spacing w:after="0"/>
              <w:rPr>
                <w:sz w:val="20"/>
                <w:szCs w:val="20"/>
                <w:color w:val="auto"/>
              </w:rPr>
            </w:pPr>
            <w:r>
              <w:rPr>
                <w:rFonts w:ascii="Arial" w:cs="Arial" w:eastAsia="Arial" w:hAnsi="Arial"/>
                <w:sz w:val="15"/>
                <w:szCs w:val="15"/>
                <w:color w:val="auto"/>
              </w:rPr>
              <w:t>Net loss attributable to non-redeemable non-</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(325)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274</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84 %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(531)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(824)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293</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36 %</w:t>
            </w:r>
          </w:p>
        </w:tc>
        <w:tc>
          <w:tcPr>
            <w:tcW w:w="0" w:type="dxa"/>
            <w:vAlign w:val="bottom"/>
          </w:tcPr>
          <w:p>
            <w:pPr>
              <w:spacing w:after="0"/>
              <w:rPr>
                <w:sz w:val="1"/>
                <w:szCs w:val="1"/>
                <w:color w:val="auto"/>
              </w:rPr>
            </w:pPr>
          </w:p>
        </w:tc>
      </w:tr>
      <w:tr>
        <w:trPr>
          <w:trHeight w:val="197"/>
        </w:trPr>
        <w:tc>
          <w:tcPr>
            <w:tcW w:w="3040" w:type="dxa"/>
            <w:vAlign w:val="bottom"/>
            <w:gridSpan w:val="2"/>
          </w:tcPr>
          <w:p>
            <w:pPr>
              <w:ind w:left="180"/>
              <w:spacing w:after="0"/>
              <w:rPr>
                <w:sz w:val="20"/>
                <w:szCs w:val="20"/>
                <w:color w:val="auto"/>
              </w:rPr>
            </w:pPr>
            <w:r>
              <w:rPr>
                <w:rFonts w:ascii="Arial" w:cs="Arial" w:eastAsia="Arial" w:hAnsi="Arial"/>
                <w:sz w:val="15"/>
                <w:szCs w:val="15"/>
                <w:color w:val="auto"/>
              </w:rPr>
              <w:t>controlling interests</w:t>
            </w: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Paid-in-kind preferred dividends</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3,301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0" w:type="dxa"/>
            <w:vAlign w:val="bottom"/>
          </w:tcPr>
          <w:p>
            <w:pPr>
              <w:spacing w:after="0"/>
              <w:rPr>
                <w:sz w:val="1"/>
                <w:szCs w:val="1"/>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Arial" w:cs="Arial" w:eastAsia="Arial" w:hAnsi="Arial"/>
                <w:sz w:val="15"/>
                <w:szCs w:val="15"/>
                <w:b w:val="1"/>
                <w:bCs w:val="1"/>
                <w:color w:val="auto"/>
                <w:w w:val="95"/>
              </w:rPr>
              <w:t>Net income attributable to Class A Common</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(400)</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(1,125)</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725</w:t>
            </w:r>
          </w:p>
        </w:tc>
        <w:tc>
          <w:tcPr>
            <w:tcW w:w="120" w:type="dxa"/>
            <w:vAlign w:val="bottom"/>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64 %</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15,945</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(1,125)</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17,070</w:t>
            </w:r>
          </w:p>
        </w:tc>
        <w:tc>
          <w:tcPr>
            <w:tcW w:w="120" w:type="dxa"/>
            <w:vAlign w:val="bottom"/>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1,517 %</w:t>
            </w:r>
          </w:p>
        </w:tc>
        <w:tc>
          <w:tcPr>
            <w:tcW w:w="0" w:type="dxa"/>
            <w:vAlign w:val="bottom"/>
          </w:tcPr>
          <w:p>
            <w:pPr>
              <w:spacing w:after="0"/>
              <w:rPr>
                <w:sz w:val="1"/>
                <w:szCs w:val="1"/>
                <w:color w:val="auto"/>
              </w:rPr>
            </w:pPr>
          </w:p>
        </w:tc>
      </w:tr>
      <w:tr>
        <w:trPr>
          <w:trHeight w:val="185"/>
        </w:trPr>
        <w:tc>
          <w:tcPr>
            <w:tcW w:w="3040" w:type="dxa"/>
            <w:vAlign w:val="bottom"/>
            <w:gridSpan w:val="2"/>
          </w:tcPr>
          <w:p>
            <w:pPr>
              <w:ind w:left="18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186"/>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66" w:name="page67"/>
    <w:bookmarkEnd w:id="66"/>
    <w:p>
      <w:pPr>
        <w:ind w:left="1"/>
        <w:spacing w:after="0"/>
        <w:rPr>
          <w:sz w:val="20"/>
          <w:szCs w:val="20"/>
          <w:color w:val="auto"/>
        </w:rPr>
      </w:pPr>
      <w:r>
        <w:rPr>
          <w:rFonts w:ascii="Arial" w:cs="Arial" w:eastAsia="Arial" w:hAnsi="Arial"/>
          <w:sz w:val="16"/>
          <w:szCs w:val="16"/>
          <w:b w:val="1"/>
          <w:bCs w:val="1"/>
          <w:i w:val="1"/>
          <w:iCs w:val="1"/>
          <w:color w:val="auto"/>
        </w:rPr>
        <w:t>Revenues</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shows revenues earned by product for the three and nine months ended September 30, 2023 and 2022:</w:t>
      </w:r>
    </w:p>
    <w:p>
      <w:pPr>
        <w:spacing w:after="0" w:line="233" w:lineRule="exact"/>
        <w:rPr>
          <w:sz w:val="20"/>
          <w:szCs w:val="20"/>
          <w:color w:val="auto"/>
        </w:rPr>
      </w:pPr>
    </w:p>
    <w:tbl>
      <w:tblPr>
        <w:tblLayout w:type="fixed"/>
        <w:tblInd w:w="1" w:type="dxa"/>
        <w:tblCellMar>
          <w:top w:w="0" w:type="dxa"/>
          <w:left w:w="0" w:type="dxa"/>
          <w:bottom w:w="0" w:type="dxa"/>
          <w:right w:w="0" w:type="dxa"/>
        </w:tblCellMar>
      </w:tblPr>
      <w:tr>
        <w:trPr>
          <w:trHeight w:val="222"/>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(in thousands)</w:t>
            </w:r>
          </w:p>
        </w:tc>
        <w:tc>
          <w:tcPr>
            <w:tcW w:w="3780" w:type="dxa"/>
            <w:vAlign w:val="bottom"/>
            <w:gridSpan w:val="6"/>
            <w:shd w:val="clear" w:color="auto" w:fill="CCEEFF"/>
          </w:tcPr>
          <w:p>
            <w:pPr>
              <w:ind w:left="580"/>
              <w:spacing w:after="0"/>
              <w:rPr>
                <w:sz w:val="20"/>
                <w:szCs w:val="20"/>
                <w:color w:val="auto"/>
              </w:rPr>
            </w:pPr>
            <w:r>
              <w:rPr>
                <w:rFonts w:ascii="Arial" w:cs="Arial" w:eastAsia="Arial" w:hAnsi="Arial"/>
                <w:sz w:val="16"/>
                <w:szCs w:val="16"/>
                <w:b w:val="1"/>
                <w:bCs w:val="1"/>
                <w:color w:val="auto"/>
              </w:rPr>
              <w:t>Three Months Ended September 30,</w:t>
            </w:r>
          </w:p>
        </w:tc>
        <w:tc>
          <w:tcPr>
            <w:tcW w:w="3600" w:type="dxa"/>
            <w:vAlign w:val="bottom"/>
            <w:gridSpan w:val="5"/>
            <w:shd w:val="clear" w:color="auto" w:fill="CCEEFF"/>
          </w:tcPr>
          <w:p>
            <w:pPr>
              <w:jc w:val="right"/>
              <w:ind w:right="498"/>
              <w:spacing w:after="0"/>
              <w:rPr>
                <w:sz w:val="20"/>
                <w:szCs w:val="20"/>
                <w:color w:val="auto"/>
              </w:rPr>
            </w:pPr>
            <w:r>
              <w:rPr>
                <w:rFonts w:ascii="Arial" w:cs="Arial" w:eastAsia="Arial" w:hAnsi="Arial"/>
                <w:sz w:val="16"/>
                <w:szCs w:val="16"/>
                <w:b w:val="1"/>
                <w:bCs w:val="1"/>
                <w:color w:val="auto"/>
              </w:rPr>
              <w:t>Nine Months Ended September 30,</w:t>
            </w:r>
          </w:p>
        </w:tc>
      </w:tr>
      <w:tr>
        <w:trPr>
          <w:trHeight w:val="202"/>
        </w:trPr>
        <w:tc>
          <w:tcPr>
            <w:tcW w:w="27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 Change</w:t>
            </w: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RNG Fuel</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9"/>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Brown gas sales</w:t>
            </w:r>
          </w:p>
        </w:tc>
        <w:tc>
          <w:tcPr>
            <w:tcW w:w="1200" w:type="dxa"/>
            <w:vAlign w:val="bottom"/>
          </w:tcPr>
          <w:p>
            <w:pPr>
              <w:jc w:val="right"/>
              <w:spacing w:after="0"/>
              <w:rPr>
                <w:sz w:val="20"/>
                <w:szCs w:val="20"/>
                <w:color w:val="auto"/>
              </w:rPr>
            </w:pPr>
            <w:r>
              <w:rPr>
                <w:rFonts w:ascii="Arial" w:cs="Arial" w:eastAsia="Arial" w:hAnsi="Arial"/>
                <w:sz w:val="16"/>
                <w:szCs w:val="16"/>
                <w:color w:val="auto"/>
              </w:rPr>
              <w:t>972</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4,251</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3,403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9,390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(5,987)</w:t>
            </w:r>
          </w:p>
        </w:tc>
      </w:tr>
      <w:tr>
        <w:trPr>
          <w:trHeight w:val="210"/>
        </w:trPr>
        <w:tc>
          <w:tcPr>
            <w:tcW w:w="2820" w:type="dxa"/>
            <w:vAlign w:val="bottom"/>
            <w:gridSpan w:val="2"/>
            <w:shd w:val="clear" w:color="auto" w:fill="CCEEFF"/>
          </w:tcPr>
          <w:p>
            <w:pPr>
              <w:ind w:left="120"/>
              <w:spacing w:after="0" w:line="210" w:lineRule="exact"/>
              <w:rPr>
                <w:sz w:val="20"/>
                <w:szCs w:val="20"/>
                <w:color w:val="auto"/>
              </w:rPr>
            </w:pPr>
            <w:r>
              <w:rPr>
                <w:rFonts w:ascii="Arial" w:cs="Arial" w:eastAsia="Arial" w:hAnsi="Arial"/>
                <w:sz w:val="16"/>
                <w:szCs w:val="16"/>
                <w:color w:val="auto"/>
              </w:rPr>
              <w:t xml:space="preserve">Environmental Attributes </w:t>
            </w:r>
            <w:r>
              <w:rPr>
                <w:rFonts w:ascii="Arial" w:cs="Arial" w:eastAsia="Arial" w:hAnsi="Arial"/>
                <w:sz w:val="21"/>
                <w:szCs w:val="21"/>
                <w:color w:val="auto"/>
                <w:vertAlign w:val="superscript"/>
              </w:rPr>
              <w:t>(1)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19,116</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14,042</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5,074</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34,065</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39,425</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(5,360)</w:t>
            </w:r>
          </w:p>
        </w:tc>
      </w:tr>
      <w:tr>
        <w:trPr>
          <w:trHeight w:val="201"/>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RNG Fuel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20,088</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18,293</w:t>
            </w: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37,468</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48,815</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(11,347)</w:t>
            </w:r>
          </w:p>
        </w:tc>
      </w:tr>
      <w:tr>
        <w:trPr>
          <w:trHeight w:val="19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Fuel Station Services</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9"/>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OPAL owned stations</w:t>
            </w:r>
          </w:p>
        </w:tc>
        <w:tc>
          <w:tcPr>
            <w:tcW w:w="1200" w:type="dxa"/>
            <w:vAlign w:val="bottom"/>
          </w:tcPr>
          <w:p>
            <w:pPr>
              <w:jc w:val="right"/>
              <w:spacing w:after="0"/>
              <w:rPr>
                <w:sz w:val="20"/>
                <w:szCs w:val="20"/>
                <w:color w:val="auto"/>
              </w:rPr>
            </w:pPr>
            <w:r>
              <w:rPr>
                <w:rFonts w:ascii="Arial" w:cs="Arial" w:eastAsia="Arial" w:hAnsi="Arial"/>
                <w:sz w:val="16"/>
                <w:szCs w:val="16"/>
                <w:color w:val="auto"/>
              </w:rPr>
              <w:t>4,895</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7,014</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(2,119)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13,421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13,099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10"/>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RNG marketing</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11,956</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5,710</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w:t>
            </w:r>
          </w:p>
        </w:tc>
      </w:tr>
      <w:tr>
        <w:trPr>
          <w:trHeight w:val="160"/>
        </w:trPr>
        <w:tc>
          <w:tcPr>
            <w:tcW w:w="2820" w:type="dxa"/>
            <w:vAlign w:val="bottom"/>
            <w:gridSpan w:val="2"/>
          </w:tcPr>
          <w:p>
            <w:pPr>
              <w:ind w:left="120"/>
              <w:spacing w:after="0" w:line="160" w:lineRule="exact"/>
              <w:rPr>
                <w:sz w:val="20"/>
                <w:szCs w:val="20"/>
                <w:color w:val="auto"/>
              </w:rPr>
            </w:pPr>
            <w:r>
              <w:rPr>
                <w:rFonts w:ascii="Arial" w:cs="Arial" w:eastAsia="Arial" w:hAnsi="Arial"/>
                <w:sz w:val="16"/>
                <w:szCs w:val="16"/>
                <w:color w:val="auto"/>
              </w:rPr>
              <w:t>Third party station service and</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21"/>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maintenance</w:t>
            </w:r>
          </w:p>
        </w:tc>
        <w:tc>
          <w:tcPr>
            <w:tcW w:w="1200" w:type="dxa"/>
            <w:vAlign w:val="bottom"/>
          </w:tcPr>
          <w:p>
            <w:pPr>
              <w:jc w:val="right"/>
              <w:spacing w:after="0"/>
              <w:rPr>
                <w:sz w:val="20"/>
                <w:szCs w:val="20"/>
                <w:color w:val="auto"/>
              </w:rPr>
            </w:pPr>
            <w:r>
              <w:rPr>
                <w:rFonts w:ascii="Arial" w:cs="Arial" w:eastAsia="Arial" w:hAnsi="Arial"/>
                <w:sz w:val="16"/>
                <w:szCs w:val="16"/>
                <w:color w:val="auto"/>
              </w:rPr>
              <w:t>5,270</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4,835</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15,489</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14,196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1,293</w:t>
            </w:r>
          </w:p>
        </w:tc>
      </w:tr>
      <w:tr>
        <w:trPr>
          <w:trHeight w:val="210"/>
        </w:trPr>
        <w:tc>
          <w:tcPr>
            <w:tcW w:w="2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Construction</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15,184</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18,212</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37,451</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41,076</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(3,625)</w:t>
            </w:r>
          </w:p>
        </w:tc>
      </w:tr>
      <w:tr>
        <w:trPr>
          <w:trHeight w:val="201"/>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Fuel Station Services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37,305</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35,771</w:t>
            </w: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88,089</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87,376</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r>
      <w:tr>
        <w:trPr>
          <w:trHeight w:val="19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Renewable Power</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9"/>
        </w:trPr>
        <w:tc>
          <w:tcPr>
            <w:tcW w:w="2820" w:type="dxa"/>
            <w:vAlign w:val="bottom"/>
            <w:gridSpan w:val="2"/>
          </w:tcPr>
          <w:p>
            <w:pPr>
              <w:ind w:left="120"/>
              <w:spacing w:after="0"/>
              <w:rPr>
                <w:sz w:val="20"/>
                <w:szCs w:val="20"/>
                <w:color w:val="auto"/>
              </w:rPr>
            </w:pPr>
            <w:r>
              <w:rPr>
                <w:rFonts w:ascii="Arial" w:cs="Arial" w:eastAsia="Arial" w:hAnsi="Arial"/>
                <w:sz w:val="16"/>
                <w:szCs w:val="16"/>
                <w:color w:val="auto"/>
              </w:rPr>
              <w:t>Electricity sales</w:t>
            </w:r>
          </w:p>
        </w:tc>
        <w:tc>
          <w:tcPr>
            <w:tcW w:w="1200" w:type="dxa"/>
            <w:vAlign w:val="bottom"/>
          </w:tcPr>
          <w:p>
            <w:pPr>
              <w:jc w:val="right"/>
              <w:spacing w:after="0"/>
              <w:rPr>
                <w:sz w:val="20"/>
                <w:szCs w:val="20"/>
                <w:color w:val="auto"/>
              </w:rPr>
            </w:pPr>
            <w:r>
              <w:rPr>
                <w:rFonts w:ascii="Arial" w:cs="Arial" w:eastAsia="Arial" w:hAnsi="Arial"/>
                <w:sz w:val="16"/>
                <w:szCs w:val="16"/>
                <w:color w:val="auto"/>
              </w:rPr>
              <w:t>9,170</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10,943</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(1,773)</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27,760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30,095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(2,335)</w:t>
            </w:r>
          </w:p>
        </w:tc>
      </w:tr>
      <w:tr>
        <w:trPr>
          <w:trHeight w:val="210"/>
        </w:trPr>
        <w:tc>
          <w:tcPr>
            <w:tcW w:w="2820" w:type="dxa"/>
            <w:vAlign w:val="bottom"/>
            <w:gridSpan w:val="2"/>
            <w:shd w:val="clear" w:color="auto" w:fill="CCEEFF"/>
          </w:tcPr>
          <w:p>
            <w:pPr>
              <w:ind w:left="120"/>
              <w:spacing w:after="0" w:line="210" w:lineRule="exact"/>
              <w:rPr>
                <w:sz w:val="20"/>
                <w:szCs w:val="20"/>
                <w:color w:val="auto"/>
              </w:rPr>
            </w:pPr>
            <w:r>
              <w:rPr>
                <w:rFonts w:ascii="Arial" w:cs="Arial" w:eastAsia="Arial" w:hAnsi="Arial"/>
                <w:sz w:val="16"/>
                <w:szCs w:val="16"/>
                <w:color w:val="auto"/>
              </w:rPr>
              <w:t xml:space="preserve">Environmental Attributes </w:t>
            </w:r>
            <w:r>
              <w:rPr>
                <w:rFonts w:ascii="Arial" w:cs="Arial" w:eastAsia="Arial" w:hAnsi="Arial"/>
                <w:sz w:val="21"/>
                <w:szCs w:val="21"/>
                <w:color w:val="auto"/>
                <w:vertAlign w:val="superscript"/>
              </w:rPr>
              <w:t>(2)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4,538</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15,783</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13,255</w:t>
            </w:r>
          </w:p>
        </w:tc>
      </w:tr>
      <w:tr>
        <w:trPr>
          <w:trHeight w:val="201"/>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Renewable Power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13,708</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12,486</w:t>
            </w: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43,543</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32,623</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10,920</w:t>
            </w:r>
          </w:p>
        </w:tc>
      </w:tr>
      <w:tr>
        <w:trPr>
          <w:trHeight w:val="227"/>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202"/>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71,101</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66,550</w:t>
            </w: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169,100</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168,814</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141" w:hanging="141"/>
        <w:spacing w:after="0"/>
        <w:tabs>
          <w:tab w:leader="none" w:pos="141"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Revenues from Environmental Attributes in RNG Fuel segment relate to revenues earned from sales of RINs and LCFSs.</w:t>
      </w:r>
    </w:p>
    <w:p>
      <w:pPr>
        <w:spacing w:after="0" w:line="198" w:lineRule="exact"/>
        <w:rPr>
          <w:rFonts w:ascii="Arial" w:cs="Arial" w:eastAsia="Arial" w:hAnsi="Arial"/>
          <w:sz w:val="17"/>
          <w:szCs w:val="17"/>
          <w:color w:val="auto"/>
          <w:vertAlign w:val="superscript"/>
        </w:rPr>
      </w:pPr>
    </w:p>
    <w:p>
      <w:pPr>
        <w:ind w:left="141" w:hanging="141"/>
        <w:spacing w:after="0"/>
        <w:tabs>
          <w:tab w:leader="none" w:pos="141"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Revenues from Environmental Attributes in Renewable Power segment include revenues earned from sales of ISCC carbon sales and RECs.</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RNG Fuel</w:t>
      </w:r>
    </w:p>
    <w:p>
      <w:pPr>
        <w:spacing w:after="0" w:line="198" w:lineRule="exact"/>
        <w:rPr>
          <w:sz w:val="20"/>
          <w:szCs w:val="20"/>
          <w:color w:val="auto"/>
        </w:rPr>
      </w:pPr>
    </w:p>
    <w:p>
      <w:pPr>
        <w:jc w:val="both"/>
        <w:ind w:left="1" w:firstLine="296"/>
        <w:spacing w:after="0" w:line="245" w:lineRule="auto"/>
        <w:rPr>
          <w:sz w:val="20"/>
          <w:szCs w:val="20"/>
          <w:color w:val="auto"/>
        </w:rPr>
      </w:pPr>
      <w:r>
        <w:rPr>
          <w:rFonts w:ascii="Arial" w:cs="Arial" w:eastAsia="Arial" w:hAnsi="Arial"/>
          <w:sz w:val="16"/>
          <w:szCs w:val="16"/>
          <w:color w:val="auto"/>
        </w:rPr>
        <w:t>Revenue from RNG Fuel increased by $1.8 million, or 10% for the three months ended September 30, 2023 compared to the three months ended September 30, 2022. This is primarily due to an increase of $5.1 million from the sale of Environmental Attributes consisting of a $0.3 million increase from the sale of 5,192 LCFS credits in the current quarter. There were no LCFS credit sales in 2022. There was a net increase of $4.8 million from the sale of an additional 2.0 million RINs offset by lower pricing in the current quarter compared to the third quarter of 2022. This was offset by a decrease in revenues of $3.3 million from the sale of brown gas due to lower commodity pricing.</w:t>
      </w:r>
    </w:p>
    <w:p>
      <w:pPr>
        <w:spacing w:after="0" w:line="170" w:lineRule="exact"/>
        <w:rPr>
          <w:sz w:val="20"/>
          <w:szCs w:val="20"/>
          <w:color w:val="auto"/>
        </w:rPr>
      </w:pPr>
    </w:p>
    <w:p>
      <w:pPr>
        <w:jc w:val="both"/>
        <w:ind w:left="1" w:firstLine="296"/>
        <w:spacing w:after="0" w:line="251" w:lineRule="auto"/>
        <w:rPr>
          <w:sz w:val="20"/>
          <w:szCs w:val="20"/>
          <w:color w:val="auto"/>
        </w:rPr>
      </w:pPr>
      <w:r>
        <w:rPr>
          <w:rFonts w:ascii="Arial" w:cs="Arial" w:eastAsia="Arial" w:hAnsi="Arial"/>
          <w:sz w:val="16"/>
          <w:szCs w:val="16"/>
          <w:color w:val="auto"/>
        </w:rPr>
        <w:t>Revenue from RNG Fuel decreased by $11.3 million, or 23%, for the nine months ended September 30, 2023 compared to the nine months ended September 30, 2022. The decrease is primarily due to a decrease of $5.4 million from sale of environmental credits ($1.4 million volume variance from sale of 0.4 million less RINs sold in 2023 compared to 2022 and decrease of $4.0 million from price variance as a result of decrease of RIN pricing year over year). There was a decrease of $6.0 million from brown gas sales due to lower pricing year over year.</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Fuel Station Services</w:t>
      </w:r>
    </w:p>
    <w:p>
      <w:pPr>
        <w:spacing w:after="0" w:line="149" w:lineRule="exact"/>
        <w:rPr>
          <w:sz w:val="20"/>
          <w:szCs w:val="20"/>
          <w:color w:val="auto"/>
        </w:rPr>
      </w:pPr>
    </w:p>
    <w:p>
      <w:pPr>
        <w:jc w:val="both"/>
        <w:ind w:left="1" w:firstLine="296"/>
        <w:spacing w:after="0" w:line="265" w:lineRule="auto"/>
        <w:rPr>
          <w:sz w:val="20"/>
          <w:szCs w:val="20"/>
          <w:color w:val="auto"/>
        </w:rPr>
      </w:pPr>
      <w:r>
        <w:rPr>
          <w:rFonts w:ascii="Arial" w:cs="Arial" w:eastAsia="Arial" w:hAnsi="Arial"/>
          <w:sz w:val="16"/>
          <w:szCs w:val="16"/>
          <w:color w:val="auto"/>
        </w:rPr>
        <w:t>Revenue from Fuel Station Services increased by $1.5 million, or 4%, for the three months ended September 30, 2023 compared to the three months ended September 30, 2022. This is primarily due to increase of $6.2 million in RNG marketing revenues out of which $3.5 million is from volume variance from delivering 1.2 million additional RINs, $2.5 million increase in RIN minting services offset by negative pricing variance of $0.4 million representing a decrease of $0.32 per RIN and $0.5 million increase in service revenues. There was a decrease of $2.1 million from brown gas sales at OPAL owned station due to lower pricing year over year and a decrease of $2.8 million in construction revenues due to timing of recognition of revenues in construction projects.</w:t>
      </w:r>
    </w:p>
    <w:p>
      <w:pPr>
        <w:spacing w:after="0" w:line="93" w:lineRule="exact"/>
        <w:rPr>
          <w:sz w:val="20"/>
          <w:szCs w:val="20"/>
          <w:color w:val="auto"/>
        </w:rPr>
      </w:pPr>
    </w:p>
    <w:p>
      <w:pPr>
        <w:jc w:val="both"/>
        <w:ind w:left="1" w:firstLine="296"/>
        <w:spacing w:after="0" w:line="288" w:lineRule="auto"/>
        <w:rPr>
          <w:sz w:val="20"/>
          <w:szCs w:val="20"/>
          <w:color w:val="auto"/>
        </w:rPr>
      </w:pPr>
      <w:r>
        <w:rPr>
          <w:rFonts w:ascii="Arial" w:cs="Arial" w:eastAsia="Arial" w:hAnsi="Arial"/>
          <w:sz w:val="16"/>
          <w:szCs w:val="16"/>
          <w:color w:val="auto"/>
        </w:rPr>
        <w:t>Revenue from Fuel Station Services increased by $0.7 million, or 1%, for the nine months ended September 30, 2023 compared to the nine months ended September 30, 2022. This was primarily attributable to $1.3 million increase in service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716978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064" w:right="339" w:bottom="1440" w:gutter="0" w:footer="0" w:header="0"/>
        </w:sectPr>
      </w:pPr>
    </w:p>
    <w:bookmarkStart w:id="67" w:name="page68"/>
    <w:bookmarkEnd w:id="67"/>
    <w:p>
      <w:pPr>
        <w:jc w:val="both"/>
        <w:spacing w:after="0" w:line="273" w:lineRule="auto"/>
        <w:rPr>
          <w:sz w:val="20"/>
          <w:szCs w:val="20"/>
          <w:color w:val="auto"/>
        </w:rPr>
      </w:pPr>
      <w:r>
        <w:rPr>
          <w:rFonts w:ascii="Arial" w:cs="Arial" w:eastAsia="Arial" w:hAnsi="Arial"/>
          <w:sz w:val="16"/>
          <w:szCs w:val="16"/>
          <w:color w:val="auto"/>
        </w:rPr>
        <w:t>revenues due to nine new service and ownership sites, $2.7 million increase in RNG marketing revenues from RIN and LCFS generation revenues from new supply contracts and release of stored gas, $0.3 million increase in brown gas sales at OPAL owned stations due to higher volumes from six new ownership sites offset by decrease of $3.4 million construction revenues due to timing of construction projects.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Renewable Power</w:t>
      </w:r>
    </w:p>
    <w:p>
      <w:pPr>
        <w:spacing w:after="0" w:line="136"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5"/>
          <w:szCs w:val="15"/>
          <w:color w:val="auto"/>
        </w:rPr>
        <w:t>Revenue from Renewable Power increased by $1.2 million, or 10%, for the three months ended September 30, 2023 compared to the three months ended September 30, 2022. This is primarily due to increase of $3.0 million from the sale of ISCC Carbon Credits and REC sales offset by loss of revenues of $1.2 million from the planned shutdown of one Renewable Power facility in September 2022 and $0.6 million from another Renewable Power facility as it converted to an RNG facility.</w:t>
      </w:r>
    </w:p>
    <w:p>
      <w:pPr>
        <w:spacing w:after="0" w:line="82"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Revenue from Renewable Power increased by $10.9 million, or 33%, for the nine months ended September 30, 2023 compared to the nine months ended September 30, 2022. This change was attributable primarily to increase of $13.2 million from ISCC Carbon Credit sales and REC sales offset by decrease of $2.3 million from the planned shutdown of one of the Renewable Power facility.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sales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RNG Fuel</w:t>
      </w:r>
    </w:p>
    <w:p>
      <w:pPr>
        <w:spacing w:after="0" w:line="149"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Cost of sales from RNG Fuel decreased by $2.0 million, or 18%, for the three months ended September 30, 2023 compared to the three months ended September 30, 2022. This is primarily due to the decrease of $0.6 million in start-up costs in New River as the facility came online in second quarter of 2022 and decrease in royalty expenses from lower RIN pricing.</w:t>
      </w:r>
    </w:p>
    <w:p>
      <w:pPr>
        <w:spacing w:after="0" w:line="87"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Cost of sales from RNG Fuel decreased by $2.7 million, or 10%, for the nine months ended September 30, 2023 compared to the nine months ended September 30, 2022. This is primarily due to a decrease in royalty expenses from lower RIN pricing, lower development costs from deconsolidation of Emerald and Sapphire and lower dispensing fees.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Fuel Station Services</w:t>
      </w:r>
    </w:p>
    <w:p>
      <w:pPr>
        <w:spacing w:after="0" w:line="149"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Cost of sales from Fuel Station Services increased by $1.1 million, or 3%, for the three months ended September 30, 2023 compared to the three months ended September 30, 2022. This is primarily due to $2.5 million increase in cost of goods sold for third party inventory of environmental credits, $3.0 million increase in rebates and dispensing fees for environmental credits, offset by a $1.9 million decrease in brown gas pricing, $2.8 million decrease in construction costs in line with the decrease in construction revenues.</w:t>
      </w:r>
    </w:p>
    <w:p>
      <w:pPr>
        <w:spacing w:after="0" w:line="93"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Cost of sales from Fuel Station Services increased by $5.5 million, or 7%, for the nine months ended September 30, 2023 compared to the nine months ended September 30, 2022. This change was attributable primarily to a $6.7 million increase in dispensing and cost of goods sold on third party inventory of environmental credits, a $2.2 million increase in service costs for new sites offset by decrease of $2.7 million in construction costs and a $0.9 million decrease in brown gas costs from lower commodity pricing.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Renewable Power</w:t>
      </w:r>
    </w:p>
    <w:p>
      <w:pPr>
        <w:spacing w:after="0" w:line="149"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Cost of sales from Renewable Power increased by $3.5 million, or 45%, for the three months ended September 30, 2023 compared to the three months ended September 30, 2022. This is primarily due to a $1.3 million termination payment made on a power purchase agreement at one our Renewable Power facilities and $1.2 million of expenses related to a facility which was converted to an RNG project.</w:t>
      </w:r>
    </w:p>
    <w:p>
      <w:pPr>
        <w:spacing w:after="0" w:line="99"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Cost of sales from Renewable Power increased by $4.7 million, or 20%, for the nine months ended September 30, 2023 compared to the nine months ended September 30, 2022. This is primarily due to a $1.3 million termination payment made on a power purchase agreement at one our Renewable Power facilities, $1.7 million increase in major maintenance expense, $1.4 million increase in royalty expense related to ISCC Carbon Credits and $1.2 million of expenses related to a facility which was converted to an RNG project offset by savings from planned shut down of one of our Renewable Power facilities.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98" w:lineRule="exact"/>
        <w:rPr>
          <w:sz w:val="20"/>
          <w:szCs w:val="20"/>
          <w:color w:val="auto"/>
        </w:rPr>
      </w:pPr>
    </w:p>
    <w:p>
      <w:pPr>
        <w:jc w:val="both"/>
        <w:ind w:firstLine="296"/>
        <w:spacing w:after="0" w:line="251" w:lineRule="auto"/>
        <w:rPr>
          <w:sz w:val="20"/>
          <w:szCs w:val="20"/>
          <w:color w:val="auto"/>
        </w:rPr>
      </w:pPr>
      <w:r>
        <w:rPr>
          <w:rFonts w:ascii="Arial" w:cs="Arial" w:eastAsia="Arial" w:hAnsi="Arial"/>
          <w:sz w:val="16"/>
          <w:szCs w:val="16"/>
          <w:color w:val="auto"/>
        </w:rPr>
        <w:t>Selling, general, and administrative expenses decreased by a total of $2.2 million, or 14%, for the three months ended September 30, 2023 compared to the three months ended September 30, 2022. This is primarily due to higher insurance cost of $5.0 million in the third quarter of 2022 on directors and officers tail policy offset by increase in stock-based compensation expense of $1.5 million, $0.6 million increase in legal and third party fees related to debt extinguishment and $0.7 million increase in compensation costs year over year.</w:t>
      </w:r>
    </w:p>
    <w:p>
      <w:pPr>
        <w:spacing w:after="0" w:line="167" w:lineRule="exact"/>
        <w:rPr>
          <w:sz w:val="20"/>
          <w:szCs w:val="20"/>
          <w:color w:val="auto"/>
        </w:rPr>
      </w:pPr>
    </w:p>
    <w:p>
      <w:pPr>
        <w:jc w:val="both"/>
        <w:ind w:firstLine="296"/>
        <w:spacing w:after="0" w:line="246" w:lineRule="auto"/>
        <w:rPr>
          <w:sz w:val="20"/>
          <w:szCs w:val="20"/>
          <w:color w:val="auto"/>
        </w:rPr>
      </w:pPr>
      <w:r>
        <w:rPr>
          <w:rFonts w:ascii="Arial" w:cs="Arial" w:eastAsia="Arial" w:hAnsi="Arial"/>
          <w:sz w:val="16"/>
          <w:szCs w:val="16"/>
          <w:color w:val="auto"/>
        </w:rPr>
        <w:t>Selling, general, and administrative expenses increased by a total of $7.2 million, or 21%, for the nine months ended September 30, 2023 compared to the nine months ended September 30, 2022. This is primarily due to an increase in costs from compensation and benefits by $5.0 million, $0.6 million increase in legal and third party fees related to debt extinguishment, $1.1 million increase in legal fees and stock-based compensation expense of $4.1 million offset by savings in insurance expense on directors and officers tail policy of $3.1 million and $0.7 million savings in audit fees.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amortization, and accretion</w:t>
      </w:r>
    </w:p>
    <w:p>
      <w:pPr>
        <w:spacing w:after="0" w:line="149"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Depreciation, amortization, and accretion marginally increased by a total of $0.4 million, or 11%, for the three months ended September 30, 2023 compared to the three months ended September 30, 2022.</w:t>
      </w:r>
    </w:p>
    <w:p>
      <w:pPr>
        <w:spacing w:after="0" w:line="88"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Depreciation, amortization, and accretion increased by a total of $0.8 million, or 8%, for the nine months ended September 30, 2023 compared to the nine months ended September 30, 2022. This is primarily due to increase in depreciation expense in OPAL Fuel Station Services segment due to increase in owned stations and $0.3 million increase as New River came online in second quarter of 2022.</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and financing expense, net</w:t>
      </w:r>
    </w:p>
    <w:p>
      <w:pPr>
        <w:spacing w:after="0" w:line="136"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Interest and financing expenses, net increased by $2.1 million, or 265%, for the three months ended September 30, 2023 compared to the three months ended September 30, 2022. This is primarily due to $2.7 million of negative mark to market change recorded in the third quarter of 2022 on Convertible Note Payable when 50% of it was converted to equity upon closing of the Business Combination and the 10% premium on the remaining outstanding balance expired. This was offset by savings of $1.1 million on the Senior Secured Credit Facility as the debt was fully repaid in first quarter of 2023 and there was an increase in interest expense on the OPAL Term Loan of $0.5 million as interest rates as well as the outstanding debt increased year over year.</w:t>
      </w:r>
    </w:p>
    <w:p>
      <w:pPr>
        <w:spacing w:after="0" w:line="106"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Interest and financing expenses, net decreased by $2.7 million, or 38%, for the nine months ended September 30, 2023 compared to the nine months ended September 30, 2022. This is primarily due to savings of $2.3 million on the Senior Secured Credit Facility as the loan was fully repaid in the first quarter of 2023, $1.4 million savings on the OPAL Term Loan due to capitalized interest offset by increase in interest rates and debt outstanding year over year, an increase in interest income of $0.9 million offset by increase of $1.7 million in the interest expense of Convertible Note Payable as there was a negative mark to market change in the comparable quarter in the prior year.</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on debt extinguishment</w:t>
      </w:r>
    </w:p>
    <w:p>
      <w:pPr>
        <w:spacing w:after="0" w:line="136"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On May 30, 2023, OPAL Intermediate Holdco 2 assigned to Paragon its rights and obligations under OPAL Term Loan II. The joint venture partner of Paragon reimbursed the Company $0.8 million as its portion of the transaction costs incurred.</w:t>
      </w:r>
    </w:p>
    <w:p>
      <w:pPr>
        <w:spacing w:after="0" w:line="88"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The Company expensed the remaining deferred financing costs of $1.9 million as loss on debt extinguishment in its condensed consolidated statement of operations for the three and nine months ended September 30, 2023. Additionally, the Company completed a debt restructuring of the OPAL Term Loan in third quarter of 2023 which was accounted for as a debt modification and the Company recorded a loss on debt extinguishment of $0.9 million.</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was no loss on debt extinguishment for the three and nine months ended September 30, 2022.</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derivatives, net</w:t>
      </w:r>
    </w:p>
    <w:p>
      <w:pPr>
        <w:spacing w:after="0" w:line="136"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5"/>
          <w:szCs w:val="15"/>
          <w:color w:val="auto"/>
        </w:rPr>
        <w:t>Change in fair value of derivatives, net decreased by $1.8 million, or 93%, for the three months ended September 30, 2023 compared to the three months ended September 30, 2022. This is primarily because there were public and private warrants and put options outstanding as of September 30, 2022. However, the warrants were exchanged in the fourth quarter of 2022 and the put option expired in January 2023. The change in fair value for current quarter includes only earnout liabilities.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69" w:name="page70"/>
    <w:bookmarkEnd w:id="69"/>
    <w:p>
      <w:pPr>
        <w:jc w:val="both"/>
        <w:ind w:firstLine="296"/>
        <w:spacing w:after="0" w:line="299" w:lineRule="auto"/>
        <w:rPr>
          <w:sz w:val="20"/>
          <w:szCs w:val="20"/>
          <w:color w:val="auto"/>
        </w:rPr>
      </w:pPr>
      <w:r>
        <w:rPr>
          <w:rFonts w:ascii="Arial" w:cs="Arial" w:eastAsia="Arial" w:hAnsi="Arial"/>
          <w:sz w:val="15"/>
          <w:szCs w:val="15"/>
          <w:color w:val="auto"/>
        </w:rPr>
        <w:t>Change in fair value of derivatives, net increased by $6.5 million, or 414%, for the nine months ended September 30, 2023 compared to the nine months ended September 30, 2022. In 2023, the change in fair value of derivative instruments represents mark to market change on earnout liabilities which decreased in value. In 2022, the Company had additional derivative instruments including public and private warrants, put options and interest rate swaps on the Senior Secured Credit Facility.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w:t>
      </w:r>
    </w:p>
    <w:p>
      <w:pPr>
        <w:spacing w:after="0" w:line="14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Other income decreased by $5.7 million, or (90)%, for the three months ended September 30, 2023 compared to the three months ended September 30, 2022. This is primarily due to $4.3 million gain recorded on extinguishment of contingent liability and $1.9 million gain on repayment of a note receivable recorded in third quarter of 2022. The other income in the current quarter represents gain on transfer of RINs as consideration for services rendered in our OPAL Fuel Station Services segment.</w:t>
      </w:r>
    </w:p>
    <w:p>
      <w:pPr>
        <w:spacing w:after="0" w:line="82"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Other income increased by $117.3 million or 1860%, for the nine months ended September 30, 2023 compared to the nine months ended September 30, 2022. This is primarily attributable to $122.9 million gain recorded on deconsolidation of VIEs offset by $6.3 million gain on extinguishment of a contingent liability and repayment of note receivable recorded prior year.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(loss) from equity method investments</w:t>
      </w:r>
    </w:p>
    <w:p>
      <w:pPr>
        <w:spacing w:after="0" w:line="136"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6"/>
          <w:szCs w:val="16"/>
          <w:color w:val="auto"/>
        </w:rPr>
        <w:t>Net income attributable to equity method investments decreased by $2.0 million, or 53%, for the three months ended September 30, 2023 compared to the three months ended September 30, 2022. This change was attributable to a $3.2 million gain on settlement of commodity swap contracts as our portion from GREP in the prior year quarter.</w:t>
      </w:r>
    </w:p>
    <w:p>
      <w:pPr>
        <w:spacing w:after="0" w:line="99"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5"/>
          <w:szCs w:val="15"/>
          <w:color w:val="auto"/>
        </w:rPr>
        <w:t>Net loss attributable to equity method investments decreased by $2.2 million or 61% for the nine months ended September 30, 2023 compared to the nine months ended September 30, 2022. This is primarily because we recorded $3.2 million gain on settlement of commodity swap contracts as our portion from GREP in the third quarter of 2022 and increase in net income from Pine Bend and Noble Road offset by the amortization of basis differences of $1.6 million in 2023.</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 attributable to redeemable non-controlling interests</w:t>
      </w:r>
    </w:p>
    <w:p>
      <w:pPr>
        <w:spacing w:after="0" w:line="136" w:lineRule="exact"/>
        <w:rPr>
          <w:sz w:val="20"/>
          <w:szCs w:val="20"/>
          <w:color w:val="auto"/>
        </w:rPr>
      </w:pPr>
    </w:p>
    <w:p>
      <w:pPr>
        <w:jc w:val="both"/>
        <w:ind w:firstLine="591"/>
        <w:spacing w:after="0" w:line="288" w:lineRule="auto"/>
        <w:rPr>
          <w:sz w:val="20"/>
          <w:szCs w:val="20"/>
          <w:color w:val="auto"/>
        </w:rPr>
      </w:pPr>
      <w:r>
        <w:rPr>
          <w:rFonts w:ascii="Arial" w:cs="Arial" w:eastAsia="Arial" w:hAnsi="Arial"/>
          <w:sz w:val="16"/>
          <w:szCs w:val="16"/>
          <w:color w:val="auto"/>
        </w:rPr>
        <w:t>Net income attributable to redeemable non-controlling interests decreased by $6.3 million or 151%. The net income for the three months ended September 30, 2023 and 2022 reflects the portion of earnings belonging to OPAL Fuels equity holders.</w:t>
      </w:r>
    </w:p>
    <w:p>
      <w:pPr>
        <w:spacing w:after="0" w:line="88" w:lineRule="exact"/>
        <w:rPr>
          <w:sz w:val="20"/>
          <w:szCs w:val="20"/>
          <w:color w:val="auto"/>
        </w:rPr>
      </w:pPr>
    </w:p>
    <w:p>
      <w:pPr>
        <w:jc w:val="both"/>
        <w:ind w:firstLine="591"/>
        <w:spacing w:after="0" w:line="288" w:lineRule="auto"/>
        <w:rPr>
          <w:sz w:val="20"/>
          <w:szCs w:val="20"/>
          <w:color w:val="auto"/>
        </w:rPr>
      </w:pPr>
      <w:r>
        <w:rPr>
          <w:rFonts w:ascii="Arial" w:cs="Arial" w:eastAsia="Arial" w:hAnsi="Arial"/>
          <w:sz w:val="16"/>
          <w:szCs w:val="16"/>
          <w:color w:val="auto"/>
        </w:rPr>
        <w:t>Net income attributable to redeemable non-controlling interests increased by $85.7 million or 3317% and reflects the portion of earnings belonging to OPAL Fuels equity holders.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attributable to non-redeemable non-controlling interests</w:t>
      </w:r>
    </w:p>
    <w:p>
      <w:pPr>
        <w:spacing w:after="0" w:line="136" w:lineRule="exact"/>
        <w:rPr>
          <w:sz w:val="20"/>
          <w:szCs w:val="20"/>
          <w:color w:val="auto"/>
        </w:rPr>
      </w:pPr>
    </w:p>
    <w:p>
      <w:pPr>
        <w:jc w:val="both"/>
        <w:ind w:firstLine="591"/>
        <w:spacing w:after="0" w:line="267" w:lineRule="auto"/>
        <w:rPr>
          <w:sz w:val="20"/>
          <w:szCs w:val="20"/>
          <w:color w:val="auto"/>
        </w:rPr>
      </w:pPr>
      <w:r>
        <w:rPr>
          <w:rFonts w:ascii="Arial" w:cs="Arial" w:eastAsia="Arial" w:hAnsi="Arial"/>
          <w:sz w:val="16"/>
          <w:szCs w:val="16"/>
          <w:color w:val="auto"/>
        </w:rPr>
        <w:t>Net loss attributable to non-redeemable non-controlling interests for the three months ended September 30, 2023 decreased compared to three months ended September 30, 2022. This reflects the joint venture partners' loss in certain RNG facilities in which we sold a portion of our ownership interests but are consolidated in our financial statements. These entities for the three months ended September 30, 2023 were Sunoma and Central Valley and in 2022 we had Emerald, Sapphire, Sunoma and Central Valley.</w:t>
      </w:r>
    </w:p>
    <w:p>
      <w:pPr>
        <w:spacing w:after="0" w:line="105" w:lineRule="exact"/>
        <w:rPr>
          <w:sz w:val="20"/>
          <w:szCs w:val="20"/>
          <w:color w:val="auto"/>
        </w:rPr>
      </w:pPr>
    </w:p>
    <w:p>
      <w:pPr>
        <w:jc w:val="both"/>
        <w:ind w:firstLine="591"/>
        <w:spacing w:after="0" w:line="267" w:lineRule="auto"/>
        <w:rPr>
          <w:sz w:val="20"/>
          <w:szCs w:val="20"/>
          <w:color w:val="auto"/>
        </w:rPr>
      </w:pPr>
      <w:r>
        <w:rPr>
          <w:rFonts w:ascii="Arial" w:cs="Arial" w:eastAsia="Arial" w:hAnsi="Arial"/>
          <w:sz w:val="16"/>
          <w:szCs w:val="16"/>
          <w:color w:val="auto"/>
        </w:rPr>
        <w:t>Net loss attributable to non-redeemable non-controlling interests for the nine months ended September 30, 2023 decreased marginally compared to nine months ended September 30, 2022. This reflects the joint venture partners' loss in certain RNG facilities in which we sold a portion of our ownership interests but are consolidated in our financial statements. These entities for the nine months ended September 30, 2023 were Sunoma, Central Valley and five months of Emerald and Sapphire and in 2022, we had Emerald, Sapphire, Sunoma and Central Valley.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Paid-in-kind preferred dividends</w:t>
      </w:r>
    </w:p>
    <w:p>
      <w:pPr>
        <w:spacing w:after="0" w:line="136" w:lineRule="exact"/>
        <w:rPr>
          <w:sz w:val="20"/>
          <w:szCs w:val="20"/>
          <w:color w:val="auto"/>
        </w:rPr>
      </w:pPr>
    </w:p>
    <w:p>
      <w:pPr>
        <w:jc w:val="both"/>
        <w:ind w:firstLine="296"/>
        <w:spacing w:after="0" w:line="290" w:lineRule="auto"/>
        <w:rPr>
          <w:sz w:val="20"/>
          <w:szCs w:val="20"/>
          <w:color w:val="auto"/>
        </w:rPr>
      </w:pPr>
      <w:r>
        <w:rPr>
          <w:rFonts w:ascii="Arial" w:cs="Arial" w:eastAsia="Arial" w:hAnsi="Arial"/>
          <w:sz w:val="15"/>
          <w:szCs w:val="15"/>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70" w:name="page71"/>
    <w:bookmarkEnd w:id="70"/>
    <w:p>
      <w:pPr>
        <w:jc w:val="both"/>
        <w:ind w:firstLine="296"/>
        <w:spacing w:after="0" w:line="267" w:lineRule="auto"/>
        <w:rPr>
          <w:sz w:val="20"/>
          <w:szCs w:val="20"/>
          <w:color w:val="auto"/>
        </w:rPr>
      </w:pPr>
      <w:r>
        <w:rPr>
          <w:rFonts w:ascii="Arial" w:cs="Arial" w:eastAsia="Arial" w:hAnsi="Arial"/>
          <w:sz w:val="16"/>
          <w:szCs w:val="16"/>
          <w:color w:val="auto"/>
        </w:rPr>
        <w:t>Redeemable preferred non-controlling interests carry an interest of 8% dividend payable quarterly either in cash or paid-in-kind for the first eight quarters at the option of the Company. The Company recorded the dividends payable of $2.8 million and $8.4 million for the three and nine months ended September 30, 2023, respectively. The Company recorded the dividends payable of $2.7 million and $5.1 million for the three and nine months ended September 30, 2022, respectively as to be paid-in-kind.</w:t>
      </w:r>
    </w:p>
    <w:p>
      <w:pPr>
        <w:spacing w:after="0" w:line="93"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During the third quarter of 2023, the Company repaid $16.5 million of paid-in-kind preferred dividends and as of September 30, 2023, the principal amount of $130.0 million of Redeemable preferred non-controlling interests is outstanding.</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149" w:lineRule="exact"/>
        <w:rPr>
          <w:sz w:val="20"/>
          <w:szCs w:val="20"/>
          <w:color w:val="auto"/>
        </w:rPr>
      </w:pPr>
    </w:p>
    <w:p>
      <w:pPr>
        <w:jc w:val="both"/>
        <w:ind w:left="140" w:firstLine="296"/>
        <w:spacing w:after="0" w:line="273" w:lineRule="auto"/>
        <w:rPr>
          <w:sz w:val="20"/>
          <w:szCs w:val="20"/>
          <w:color w:val="auto"/>
        </w:rPr>
      </w:pPr>
      <w:r>
        <w:rPr>
          <w:rFonts w:ascii="Arial" w:cs="Arial" w:eastAsia="Arial" w:hAnsi="Arial"/>
          <w:sz w:val="16"/>
          <w:szCs w:val="16"/>
          <w:color w:val="auto"/>
        </w:rPr>
        <w:t>As of September 30, 2023, our liquidity consisted of cash and cash equivalents including restricted cash of $21.6 million and $18.0 million of short term investments. Additionally, we have availability of $285.9 million under the delayed draw term loan and $41.0 million under the revolver facility under the OPAL Term Loan.</w:t>
      </w:r>
    </w:p>
    <w:p>
      <w:pPr>
        <w:spacing w:after="0" w:line="87" w:lineRule="exact"/>
        <w:rPr>
          <w:sz w:val="20"/>
          <w:szCs w:val="20"/>
          <w:color w:val="auto"/>
        </w:rPr>
      </w:pPr>
    </w:p>
    <w:p>
      <w:pPr>
        <w:jc w:val="both"/>
        <w:ind w:left="140" w:firstLine="296"/>
        <w:spacing w:after="0" w:line="299" w:lineRule="auto"/>
        <w:rPr>
          <w:sz w:val="20"/>
          <w:szCs w:val="20"/>
          <w:color w:val="auto"/>
        </w:rPr>
      </w:pPr>
      <w:r>
        <w:rPr>
          <w:rFonts w:ascii="Arial" w:cs="Arial" w:eastAsia="Arial" w:hAnsi="Arial"/>
          <w:sz w:val="15"/>
          <w:szCs w:val="15"/>
          <w:color w:val="auto"/>
        </w:rPr>
        <w:t>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w:t>
      </w:r>
    </w:p>
    <w:p>
      <w:pPr>
        <w:spacing w:after="0" w:line="82" w:lineRule="exact"/>
        <w:rPr>
          <w:sz w:val="20"/>
          <w:szCs w:val="20"/>
          <w:color w:val="auto"/>
        </w:rPr>
      </w:pPr>
    </w:p>
    <w:p>
      <w:pPr>
        <w:jc w:val="both"/>
        <w:ind w:left="140" w:firstLine="296"/>
        <w:spacing w:after="0" w:line="265" w:lineRule="auto"/>
        <w:rPr>
          <w:sz w:val="20"/>
          <w:szCs w:val="20"/>
          <w:color w:val="auto"/>
        </w:rPr>
      </w:pPr>
      <w:r>
        <w:rPr>
          <w:rFonts w:ascii="Arial" w:cs="Arial" w:eastAsia="Arial" w:hAnsi="Arial"/>
          <w:sz w:val="16"/>
          <w:szCs w:val="16"/>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06" w:lineRule="exact"/>
        <w:rPr>
          <w:sz w:val="20"/>
          <w:szCs w:val="20"/>
          <w:color w:val="auto"/>
        </w:rPr>
      </w:pPr>
    </w:p>
    <w:p>
      <w:pPr>
        <w:ind w:firstLine="296"/>
        <w:spacing w:after="0" w:line="288" w:lineRule="auto"/>
        <w:rPr>
          <w:sz w:val="20"/>
          <w:szCs w:val="20"/>
          <w:color w:val="auto"/>
        </w:rPr>
      </w:pPr>
      <w:r>
        <w:rPr>
          <w:rFonts w:ascii="Arial" w:cs="Arial" w:eastAsia="Arial" w:hAnsi="Arial"/>
          <w:sz w:val="16"/>
          <w:szCs w:val="16"/>
          <w:color w:val="auto"/>
        </w:rPr>
        <w:t>As of September 30, 2023, we had total indebtedness excluding deferred financing costs of $187.1 million in principal amount which primarily consists of $164.1 million under the OPAL Term Loan and $23.0 million under Sunoma Loan.</w:t>
      </w:r>
    </w:p>
    <w:p>
      <w:pPr>
        <w:spacing w:after="0" w:line="76" w:lineRule="exact"/>
        <w:rPr>
          <w:sz w:val="20"/>
          <w:szCs w:val="20"/>
          <w:color w:val="auto"/>
        </w:rPr>
      </w:pPr>
    </w:p>
    <w:p>
      <w:pPr>
        <w:ind w:firstLine="296"/>
        <w:spacing w:after="0" w:line="288" w:lineRule="auto"/>
        <w:rPr>
          <w:sz w:val="20"/>
          <w:szCs w:val="20"/>
          <w:color w:val="auto"/>
        </w:rPr>
      </w:pPr>
      <w:r>
        <w:rPr>
          <w:rFonts w:ascii="Arial" w:cs="Arial" w:eastAsia="Arial" w:hAnsi="Arial"/>
          <w:sz w:val="16"/>
          <w:szCs w:val="16"/>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88" w:lineRule="exact"/>
        <w:rPr>
          <w:sz w:val="20"/>
          <w:szCs w:val="20"/>
          <w:color w:val="auto"/>
        </w:rPr>
      </w:pPr>
    </w:p>
    <w:p>
      <w:pPr>
        <w:ind w:firstLine="296"/>
        <w:spacing w:after="0" w:line="288" w:lineRule="auto"/>
        <w:rPr>
          <w:sz w:val="20"/>
          <w:szCs w:val="20"/>
          <w:color w:val="auto"/>
        </w:rPr>
      </w:pPr>
      <w:r>
        <w:rPr>
          <w:rFonts w:ascii="Arial" w:cs="Arial" w:eastAsia="Arial" w:hAnsi="Arial"/>
          <w:sz w:val="16"/>
          <w:szCs w:val="16"/>
          <w:color w:val="auto"/>
        </w:rPr>
        <w:t>We intend to make payments under our various debt instruments when due and pursue opportunities for earlier repayment and/or refinancing if and when these opportunities arise.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160" w:type="dxa"/>
            <w:vAlign w:val="bottom"/>
            <w:gridSpan w:val="2"/>
          </w:tcPr>
          <w:p>
            <w:pPr>
              <w:ind w:left="300"/>
              <w:spacing w:after="0"/>
              <w:rPr>
                <w:sz w:val="20"/>
                <w:szCs w:val="20"/>
                <w:color w:val="auto"/>
              </w:rPr>
            </w:pPr>
            <w:r>
              <w:rPr>
                <w:rFonts w:ascii="Arial" w:cs="Arial" w:eastAsia="Arial" w:hAnsi="Arial"/>
                <w:sz w:val="16"/>
                <w:szCs w:val="16"/>
                <w:color w:val="auto"/>
              </w:rPr>
              <w:t xml:space="preserve">See Note 7.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our condensed consolidated financial statements.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94"/>
        </w:trPr>
        <w:tc>
          <w:tcPr>
            <w:tcW w:w="81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Cash Flows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0"/>
        </w:trPr>
        <w:tc>
          <w:tcPr>
            <w:tcW w:w="8160" w:type="dxa"/>
            <w:vAlign w:val="bottom"/>
            <w:gridSpan w:val="2"/>
          </w:tcPr>
          <w:p>
            <w:pPr>
              <w:ind w:left="300"/>
              <w:spacing w:after="0"/>
              <w:rPr>
                <w:sz w:val="20"/>
                <w:szCs w:val="20"/>
                <w:color w:val="auto"/>
              </w:rPr>
            </w:pPr>
            <w:r>
              <w:rPr>
                <w:rFonts w:ascii="Arial" w:cs="Arial" w:eastAsia="Arial" w:hAnsi="Arial"/>
                <w:sz w:val="16"/>
                <w:szCs w:val="16"/>
                <w:color w:val="auto"/>
                <w:w w:val="97"/>
              </w:rPr>
              <w:t>The following table presents the Company's cash flows for the nine months ended September 30, 2023 and 2022:</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4"/>
          </w:tcPr>
          <w:p>
            <w:pPr>
              <w:jc w:val="right"/>
              <w:ind w:right="438"/>
              <w:spacing w:after="0"/>
              <w:rPr>
                <w:sz w:val="20"/>
                <w:szCs w:val="20"/>
                <w:color w:val="auto"/>
              </w:rPr>
            </w:pPr>
            <w:r>
              <w:rPr>
                <w:rFonts w:ascii="Arial" w:cs="Arial" w:eastAsia="Arial" w:hAnsi="Arial"/>
                <w:sz w:val="16"/>
                <w:szCs w:val="16"/>
                <w:b w:val="1"/>
                <w:bCs w:val="1"/>
                <w:color w:val="auto"/>
              </w:rPr>
              <w:t>Nine Months Ended June 30,</w:t>
            </w:r>
          </w:p>
        </w:tc>
      </w:tr>
      <w:tr>
        <w:trPr>
          <w:trHeight w:val="26"/>
        </w:trPr>
        <w:tc>
          <w:tcPr>
            <w:tcW w:w="81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2022</w:t>
            </w:r>
          </w:p>
        </w:tc>
      </w:tr>
      <w:tr>
        <w:trPr>
          <w:trHeight w:val="23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from operating activities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(22,004)</w:t>
            </w: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(219,215)</w:t>
            </w:r>
          </w:p>
        </w:tc>
      </w:tr>
      <w:tr>
        <w:trPr>
          <w:trHeight w:val="234"/>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provided by from financing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270,525</w:t>
            </w:r>
          </w:p>
        </w:tc>
      </w:tr>
      <w:tr>
        <w:trPr>
          <w:trHeight w:val="220"/>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Net (decrease) increase in cash, restricted cash, and cash equivalents</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(55,633)</w:t>
            </w:r>
          </w:p>
        </w:tc>
        <w:tc>
          <w:tcPr>
            <w:tcW w:w="1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29,306</w:t>
            </w: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149"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Net cash provided by operating activities for the nine months ended September 30, 2023 was $4.8 million, an increase of $26.8 million compared to net cash used in operations of $22.0 million for the nine months ended September 30, 2022.</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71" w:name="page72"/>
    <w:bookmarkEnd w:id="71"/>
    <w:p>
      <w:pPr>
        <w:jc w:val="both"/>
        <w:spacing w:after="0" w:line="288" w:lineRule="auto"/>
        <w:rPr>
          <w:sz w:val="20"/>
          <w:szCs w:val="20"/>
          <w:color w:val="auto"/>
        </w:rPr>
      </w:pPr>
      <w:r>
        <w:rPr>
          <w:rFonts w:ascii="Arial" w:cs="Arial" w:eastAsia="Arial" w:hAnsi="Arial"/>
          <w:sz w:val="16"/>
          <w:szCs w:val="16"/>
          <w:color w:val="auto"/>
        </w:rPr>
        <w:t>The increase in cash provided by operating activities was attributable to an increase in net income and positive working capital changes primarily from decrease in accounts receivable, related party.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136"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Net cash used in investing activities for the nine months ended September 30, 2023 was $44.9 million, a decrease of $174.3 million compared to the $219.2 million used in investing activities for the nine months ended September 30, 2022. This was primarily due to a decrease in cash invested in short term investments of $193.8 million, deconsolidation of VIEs net cash of $11.9 million and an increase in distribution from equity method investment of $11.2 million offset by an increase in payments made for the construction of various RNG generation and dispensing facilities of $7.0 million and the repayment of Note receivable of $10.8 million in the third quarter of 2022.</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149"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6"/>
          <w:szCs w:val="16"/>
          <w:color w:val="auto"/>
        </w:rPr>
        <w:t>Net cash used in financing activities for the nine months ended September 30, 2023 was $15.5 million, a decrease of $286.1 million compared to the $270.5 million provided from financing activities for the nine months ended September 30, 2022. This was primarily due to a decrease of $138.9 million from closing of Business Combination and $100.0 million decrease from proceeds from issuance of Redeemable Preferred Units to NextEra in the prior year, repayments of $19.1 million of Senior Secured Facility, the repurchase of $16.4 million of shares of our Class A common stock in connection with the exercise of the put option and decrease of $10.4 million proceeds from non-redeemable non-controlling interests.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 and other cash commitments</w:t>
      </w:r>
    </w:p>
    <w:p>
      <w:pPr>
        <w:spacing w:after="0" w:line="136" w:lineRule="exact"/>
        <w:rPr>
          <w:sz w:val="20"/>
          <w:szCs w:val="20"/>
          <w:color w:val="auto"/>
        </w:rPr>
      </w:pPr>
    </w:p>
    <w:p>
      <w:pPr>
        <w:jc w:val="both"/>
        <w:ind w:firstLine="296"/>
        <w:spacing w:after="0" w:line="263" w:lineRule="auto"/>
        <w:rPr>
          <w:sz w:val="20"/>
          <w:szCs w:val="20"/>
          <w:color w:val="auto"/>
        </w:rPr>
      </w:pPr>
      <w:r>
        <w:rPr>
          <w:rFonts w:ascii="Arial" w:cs="Arial" w:eastAsia="Arial" w:hAnsi="Arial"/>
          <w:sz w:val="16"/>
          <w:szCs w:val="16"/>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09" w:lineRule="exact"/>
        <w:rPr>
          <w:sz w:val="20"/>
          <w:szCs w:val="20"/>
          <w:color w:val="auto"/>
        </w:rPr>
      </w:pPr>
    </w:p>
    <w:p>
      <w:pPr>
        <w:jc w:val="both"/>
        <w:ind w:firstLine="296"/>
        <w:spacing w:after="0" w:line="267" w:lineRule="auto"/>
        <w:rPr>
          <w:sz w:val="20"/>
          <w:szCs w:val="20"/>
          <w:color w:val="auto"/>
        </w:rPr>
      </w:pPr>
      <w:r>
        <w:rPr>
          <w:rFonts w:ascii="Arial" w:cs="Arial" w:eastAsia="Arial" w:hAnsi="Arial"/>
          <w:sz w:val="16"/>
          <w:szCs w:val="16"/>
          <w:color w:val="auto"/>
        </w:rPr>
        <w:t>As of September 30, 2023, we anticipate spending approximately $179.3 million in capital expenditures for the next 12 months for projects and fuel stations currently under construction and our share of contributions in our equity method investment projects.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Arial" w:cs="Arial" w:eastAsia="Arial" w:hAnsi="Arial"/>
          <w:sz w:val="16"/>
          <w:szCs w:val="16"/>
          <w:b w:val="1"/>
          <w:bCs w:val="1"/>
          <w:color w:val="auto"/>
        </w:rPr>
        <w:t>.</w:t>
      </w:r>
    </w:p>
    <w:p>
      <w:pPr>
        <w:spacing w:after="0" w:line="105"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 xml:space="preserve">In addition to the above, we also have lease commitments on our vehicle fleets and office leases and quarterly amortization payment obligations under various debt facilities. Please see Note 7.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 our condensed consolidated financial statements for additional information.</w:t>
      </w:r>
    </w:p>
    <w:p>
      <w:pPr>
        <w:spacing w:after="0" w:line="76"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We believe that our cash and cash equivalents on hand, anticipated cash flows from operations and our access to expected sources of capital will be sufficient to meet our anticipated funding needs. We continue to pursue additional funding opportunities for growth and streamlining of our capital structure.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not required to provide the information required by this Item as it is a “smaller reporting company.”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23" w:lineRule="exact"/>
        <w:rPr>
          <w:sz w:val="20"/>
          <w:szCs w:val="20"/>
          <w:color w:val="auto"/>
        </w:rPr>
      </w:pPr>
    </w:p>
    <w:p>
      <w:pPr>
        <w:jc w:val="both"/>
        <w:ind w:firstLine="591"/>
        <w:spacing w:after="0" w:line="290" w:lineRule="auto"/>
        <w:rPr>
          <w:sz w:val="20"/>
          <w:szCs w:val="20"/>
          <w:color w:val="auto"/>
        </w:rPr>
      </w:pPr>
      <w:r>
        <w:rPr>
          <w:rFonts w:ascii="Arial" w:cs="Arial" w:eastAsia="Arial" w:hAnsi="Arial"/>
          <w:sz w:val="15"/>
          <w:szCs w:val="15"/>
          <w:color w:val="auto"/>
        </w:rPr>
        <w:t>Our management, with the participation of our Co-Chief Executive Officers and our Chief Financial Officer (our co-principal executive officers and principal financial officer, respectively), evaluated, as of the end of the period covered by this Quarterly Report on Form 10-Q, the effectiveness of our disclosure controls and procedures as defined in Rules 13a-15(e) and 15d-15(e) under the Exchange Act. The term “disclosure controls and procedures,” as defined in the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72" w:name="page73"/>
    <w:bookmarkEnd w:id="72"/>
    <w:p>
      <w:pPr>
        <w:jc w:val="both"/>
        <w:ind w:left="1"/>
        <w:spacing w:after="0" w:line="251" w:lineRule="auto"/>
        <w:rPr>
          <w:sz w:val="20"/>
          <w:szCs w:val="20"/>
          <w:color w:val="auto"/>
        </w:rPr>
      </w:pPr>
      <w:r>
        <w:rPr>
          <w:rFonts w:ascii="Arial" w:cs="Arial" w:eastAsia="Arial" w:hAnsi="Arial"/>
          <w:sz w:val="16"/>
          <w:szCs w:val="16"/>
          <w:color w:val="auto"/>
        </w:rPr>
        <w:t>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3" w:lineRule="exact"/>
        <w:rPr>
          <w:sz w:val="20"/>
          <w:szCs w:val="20"/>
          <w:color w:val="auto"/>
        </w:rPr>
      </w:pPr>
    </w:p>
    <w:p>
      <w:pPr>
        <w:jc w:val="both"/>
        <w:ind w:left="1" w:firstLine="591"/>
        <w:spacing w:after="0" w:line="265" w:lineRule="auto"/>
        <w:rPr>
          <w:sz w:val="20"/>
          <w:szCs w:val="20"/>
          <w:color w:val="auto"/>
        </w:rPr>
      </w:pPr>
      <w:r>
        <w:rPr>
          <w:rFonts w:ascii="Arial" w:cs="Arial" w:eastAsia="Arial" w:hAnsi="Arial"/>
          <w:sz w:val="16"/>
          <w:szCs w:val="16"/>
          <w:color w:val="auto"/>
        </w:rPr>
        <w:t>Based on that evaluation of our disclosure controls and procedures as of September 30, 2023, our Co-Chief Executive Officers and Chief Financial Officer concluded that, as of such date, our disclosure controls and procedures were ineffective for the period covered by this report based on the material weakness in our internal control over financial reporting described below.</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Previously Reported Material Weakness</w:t>
      </w:r>
    </w:p>
    <w:p>
      <w:pPr>
        <w:spacing w:after="0" w:line="235" w:lineRule="exact"/>
        <w:rPr>
          <w:sz w:val="20"/>
          <w:szCs w:val="20"/>
          <w:color w:val="auto"/>
        </w:rPr>
      </w:pPr>
    </w:p>
    <w:p>
      <w:pPr>
        <w:jc w:val="both"/>
        <w:ind w:left="1" w:firstLine="591"/>
        <w:spacing w:after="0" w:line="257" w:lineRule="auto"/>
        <w:rPr>
          <w:sz w:val="20"/>
          <w:szCs w:val="20"/>
          <w:color w:val="auto"/>
        </w:rPr>
      </w:pPr>
      <w:r>
        <w:rPr>
          <w:rFonts w:ascii="Arial" w:cs="Arial" w:eastAsia="Arial" w:hAnsi="Arial"/>
          <w:sz w:val="16"/>
          <w:szCs w:val="16"/>
          <w:color w:val="auto"/>
        </w:rPr>
        <w:t>In connection with the preparation and audit of our consolidated financial statements for each of the years ended December 31, 2022 and 2021,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85"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material weaknesses identified were as follows:</w:t>
      </w:r>
    </w:p>
    <w:p>
      <w:pPr>
        <w:spacing w:after="0" w:line="223" w:lineRule="exact"/>
        <w:rPr>
          <w:sz w:val="20"/>
          <w:szCs w:val="20"/>
          <w:color w:val="auto"/>
        </w:rPr>
      </w:pPr>
    </w:p>
    <w:p>
      <w:pPr>
        <w:ind w:left="1" w:hanging="1"/>
        <w:spacing w:after="0" w:line="288" w:lineRule="auto"/>
        <w:tabs>
          <w:tab w:leader="none" w:pos="35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is a lack of an adequate control environment, including internal communications, to allow for timeliness of reviews for the accounting and disclosures of significant and unusual transactions and contracts;</w:t>
      </w:r>
    </w:p>
    <w:p>
      <w:pPr>
        <w:spacing w:after="0" w:line="162" w:lineRule="exact"/>
        <w:rPr>
          <w:rFonts w:ascii="Arial" w:cs="Arial" w:eastAsia="Arial" w:hAnsi="Arial"/>
          <w:sz w:val="16"/>
          <w:szCs w:val="16"/>
          <w:color w:val="auto"/>
        </w:rPr>
      </w:pPr>
    </w:p>
    <w:p>
      <w:pPr>
        <w:ind w:left="1" w:hanging="1"/>
        <w:spacing w:after="0" w:line="256" w:lineRule="auto"/>
        <w:tabs>
          <w:tab w:leader="none" w:pos="267"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did not have timely and effective reviews over standard account reconciliations and related accounting analysis which resulted in various audit adjustments that we corrected; and</w:t>
      </w:r>
    </w:p>
    <w:p>
      <w:pPr>
        <w:ind w:left="261" w:hanging="261"/>
        <w:spacing w:after="0"/>
        <w:tabs>
          <w:tab w:leader="none" w:pos="261"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 controls over application of ASC-606 were not designed and implemented appropriately during the current year.</w:t>
      </w:r>
    </w:p>
    <w:p>
      <w:pPr>
        <w:spacing w:after="0" w:line="4" w:lineRule="exact"/>
        <w:rPr>
          <w:sz w:val="20"/>
          <w:szCs w:val="20"/>
          <w:color w:val="auto"/>
        </w:rPr>
      </w:pPr>
    </w:p>
    <w:p>
      <w:pPr>
        <w:jc w:val="both"/>
        <w:ind w:left="1" w:firstLine="591"/>
        <w:spacing w:after="0" w:line="325" w:lineRule="auto"/>
        <w:rPr>
          <w:sz w:val="20"/>
          <w:szCs w:val="20"/>
          <w:color w:val="auto"/>
        </w:rPr>
      </w:pPr>
      <w:r>
        <w:rPr>
          <w:rFonts w:ascii="Arial" w:cs="Arial" w:eastAsia="Arial" w:hAnsi="Arial"/>
          <w:sz w:val="14"/>
          <w:szCs w:val="14"/>
          <w:color w:val="auto"/>
        </w:rPr>
        <w:t>We performed additional analysis and procedures with respect to accounts impacted by the material weakness in order to conclude that our consolidated financial statements in this report, and for the three and nine months ended September 30, 2023 and 2022, are fairly presented, in all material respects, in accordance with GAAP.</w:t>
      </w:r>
    </w:p>
    <w:p>
      <w:pPr>
        <w:spacing w:after="0" w:line="154" w:lineRule="exact"/>
        <w:rPr>
          <w:sz w:val="20"/>
          <w:szCs w:val="20"/>
          <w:color w:val="auto"/>
        </w:rPr>
      </w:pPr>
    </w:p>
    <w:p>
      <w:pPr>
        <w:ind w:left="1" w:right="420"/>
        <w:spacing w:after="0" w:line="272" w:lineRule="auto"/>
        <w:rPr>
          <w:sz w:val="20"/>
          <w:szCs w:val="20"/>
          <w:color w:val="auto"/>
        </w:rPr>
      </w:pPr>
      <w:r>
        <w:rPr>
          <w:rFonts w:ascii="Arial" w:cs="Arial" w:eastAsia="Arial" w:hAnsi="Arial"/>
          <w:sz w:val="16"/>
          <w:szCs w:val="16"/>
          <w:color w:val="auto"/>
        </w:rPr>
        <w:t>Under “</w:t>
      </w:r>
      <w:r>
        <w:rPr>
          <w:rFonts w:ascii="Arial" w:cs="Arial" w:eastAsia="Arial" w:hAnsi="Arial"/>
          <w:sz w:val="16"/>
          <w:szCs w:val="16"/>
          <w:i w:val="1"/>
          <w:iCs w:val="1"/>
          <w:color w:val="auto"/>
        </w:rPr>
        <w:t>Changes in Internal Controls over Financial Reporting</w:t>
      </w:r>
      <w:r>
        <w:rPr>
          <w:rFonts w:ascii="Arial" w:cs="Arial" w:eastAsia="Arial" w:hAnsi="Arial"/>
          <w:sz w:val="16"/>
          <w:szCs w:val="16"/>
          <w:color w:val="auto"/>
        </w:rPr>
        <w:t>” and “Remediation Plans” below, we describe our remediation plan to address the identified material weakness.</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Management's Quarterly Report on Internal Control over Financial Reporting</w:t>
      </w:r>
    </w:p>
    <w:p>
      <w:pPr>
        <w:spacing w:after="0" w:line="235" w:lineRule="exact"/>
        <w:rPr>
          <w:sz w:val="20"/>
          <w:szCs w:val="20"/>
          <w:color w:val="auto"/>
        </w:rPr>
      </w:pPr>
    </w:p>
    <w:p>
      <w:pPr>
        <w:jc w:val="both"/>
        <w:ind w:left="1" w:firstLine="591"/>
        <w:spacing w:after="0" w:line="257" w:lineRule="auto"/>
        <w:rPr>
          <w:sz w:val="20"/>
          <w:szCs w:val="20"/>
          <w:color w:val="auto"/>
        </w:rPr>
      </w:pPr>
      <w:r>
        <w:rPr>
          <w:rFonts w:ascii="Arial" w:cs="Arial" w:eastAsia="Arial" w:hAnsi="Arial"/>
          <w:sz w:val="16"/>
          <w:szCs w:val="16"/>
          <w:color w:val="auto"/>
        </w:rPr>
        <w:t>This Quarterly Report on Form 10-Q does not include a report of management's assessment regarding internal control over financial reporting (as defined in Rules 13a-15(f) and 15d-15(f) under the Exchange Act) or an attestation report of our independent registered public accounting firm due to a transition period established by rules of the SEC for newly public companies.</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Changes in Internal Controls over Financial Reporting</w:t>
      </w:r>
    </w:p>
    <w:p>
      <w:pPr>
        <w:spacing w:after="0" w:line="223" w:lineRule="exact"/>
        <w:rPr>
          <w:sz w:val="20"/>
          <w:szCs w:val="20"/>
          <w:color w:val="auto"/>
        </w:rPr>
      </w:pPr>
    </w:p>
    <w:p>
      <w:pPr>
        <w:jc w:val="both"/>
        <w:ind w:left="1" w:firstLine="591"/>
        <w:spacing w:after="0" w:line="279" w:lineRule="auto"/>
        <w:rPr>
          <w:sz w:val="20"/>
          <w:szCs w:val="20"/>
          <w:color w:val="auto"/>
        </w:rPr>
      </w:pPr>
      <w:r>
        <w:rPr>
          <w:rFonts w:ascii="Arial" w:cs="Arial" w:eastAsia="Arial" w:hAnsi="Arial"/>
          <w:sz w:val="15"/>
          <w:szCs w:val="15"/>
          <w:color w:val="auto"/>
        </w:rPr>
        <w:t>The design and implementation of internal controls over financial reporting for the Company subsequent to the Business Combination has required and will continue to require significant time and resources from management and other personnel. The changes to our internal control over financial reporting commenced during the period covered by this report and after will materially affect, or are reasonably likely to materially affect, our internal control over financial reporting by establishing new controls and procedures appropriate to the operating business we have become as a result of the Business Combination.</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Remediation Plans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716978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866" w:right="339" w:bottom="1440" w:gutter="0" w:footer="0" w:header="0"/>
        </w:sectPr>
      </w:pPr>
    </w:p>
    <w:bookmarkStart w:id="73" w:name="page74"/>
    <w:bookmarkEnd w:id="73"/>
    <w:p>
      <w:pPr>
        <w:ind w:firstLine="591"/>
        <w:spacing w:after="0" w:line="272" w:lineRule="auto"/>
        <w:rPr>
          <w:sz w:val="20"/>
          <w:szCs w:val="20"/>
          <w:color w:val="auto"/>
        </w:rPr>
      </w:pPr>
      <w:r>
        <w:rPr>
          <w:rFonts w:ascii="Arial" w:cs="Arial" w:eastAsia="Arial" w:hAnsi="Arial"/>
          <w:sz w:val="16"/>
          <w:szCs w:val="16"/>
          <w:color w:val="auto"/>
        </w:rPr>
        <w:t>We continue to take steps to remediate the identified material weaknesses and will take such necessary steps until such remediation is complete. These steps included the following:</w:t>
      </w:r>
    </w:p>
    <w:p>
      <w:pPr>
        <w:spacing w:after="0" w:line="187" w:lineRule="exact"/>
        <w:rPr>
          <w:sz w:val="20"/>
          <w:szCs w:val="20"/>
          <w:color w:val="auto"/>
        </w:rPr>
      </w:pPr>
    </w:p>
    <w:p>
      <w:pPr>
        <w:ind w:firstLine="590"/>
        <w:spacing w:after="0" w:line="307" w:lineRule="auto"/>
        <w:tabs>
          <w:tab w:leader="none" w:pos="762" w:val="left"/>
        </w:tabs>
        <w:numPr>
          <w:ilvl w:val="0"/>
          <w:numId w:val="34"/>
        </w:numPr>
        <w:rPr>
          <w:rFonts w:ascii="Arial" w:cs="Arial" w:eastAsia="Arial" w:hAnsi="Arial"/>
          <w:sz w:val="15"/>
          <w:szCs w:val="15"/>
          <w:color w:val="auto"/>
        </w:rPr>
      </w:pPr>
      <w:r>
        <w:rPr>
          <w:rFonts w:ascii="Arial" w:cs="Arial" w:eastAsia="Arial" w:hAnsi="Arial"/>
          <w:sz w:val="15"/>
          <w:szCs w:val="15"/>
          <w:color w:val="auto"/>
        </w:rPr>
        <w:t>Hiring additional accounting and financial reporting personnel with appropriate technical accounting knowledge to identify and review accounting conclusions on all complex technical accounting matters that impact our financial statements. We obtain assistance from third party resources on as needed basis.</w:t>
      </w:r>
    </w:p>
    <w:p>
      <w:pPr>
        <w:spacing w:after="0" w:line="150" w:lineRule="exact"/>
        <w:rPr>
          <w:rFonts w:ascii="Arial" w:cs="Arial" w:eastAsia="Arial" w:hAnsi="Arial"/>
          <w:sz w:val="15"/>
          <w:szCs w:val="15"/>
          <w:color w:val="auto"/>
        </w:rPr>
      </w:pPr>
    </w:p>
    <w:p>
      <w:pPr>
        <w:ind w:left="760" w:hanging="170"/>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Designing and implementing new controls for capturing and identifying significant and unusual transactions in a timely manner.</w:t>
      </w:r>
    </w:p>
    <w:p>
      <w:pPr>
        <w:spacing w:after="0" w:line="234" w:lineRule="exact"/>
        <w:rPr>
          <w:rFonts w:ascii="Arial" w:cs="Arial" w:eastAsia="Arial" w:hAnsi="Arial"/>
          <w:sz w:val="16"/>
          <w:szCs w:val="16"/>
          <w:color w:val="auto"/>
        </w:rPr>
      </w:pPr>
    </w:p>
    <w:p>
      <w:pPr>
        <w:ind w:left="760" w:hanging="170"/>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Designing and implementing new controls to strengthen the internal review processes for accounting of significant and unusual transactions.</w:t>
      </w:r>
    </w:p>
    <w:p>
      <w:pPr>
        <w:spacing w:after="0" w:line="222" w:lineRule="exact"/>
        <w:rPr>
          <w:rFonts w:ascii="Arial" w:cs="Arial" w:eastAsia="Arial" w:hAnsi="Arial"/>
          <w:sz w:val="16"/>
          <w:szCs w:val="16"/>
          <w:color w:val="auto"/>
        </w:rPr>
      </w:pPr>
    </w:p>
    <w:p>
      <w:pPr>
        <w:ind w:firstLine="590"/>
        <w:spacing w:after="0" w:line="272" w:lineRule="auto"/>
        <w:tabs>
          <w:tab w:leader="none" w:pos="7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Designing and implementing new controls by creating new or enhancing existing reconciliation templates for balance sheet accounts including accrued construction in progress, accrued dispensing payables and inter company eliminations.</w:t>
      </w:r>
    </w:p>
    <w:p>
      <w:pPr>
        <w:spacing w:after="0" w:line="186" w:lineRule="exact"/>
        <w:rPr>
          <w:rFonts w:ascii="Arial" w:cs="Arial" w:eastAsia="Arial" w:hAnsi="Arial"/>
          <w:sz w:val="16"/>
          <w:szCs w:val="16"/>
          <w:color w:val="auto"/>
        </w:rPr>
      </w:pPr>
    </w:p>
    <w:p>
      <w:pPr>
        <w:ind w:left="760" w:hanging="170"/>
        <w:spacing w:after="0"/>
        <w:tabs>
          <w:tab w:leader="none" w:pos="7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Creating a robust account reconciliation review process by enhancing the review procedures performed to validate the accuracy of the account balances.</w:t>
      </w:r>
    </w:p>
    <w:p>
      <w:pPr>
        <w:spacing w:after="0" w:line="234" w:lineRule="exact"/>
        <w:rPr>
          <w:rFonts w:ascii="Arial" w:cs="Arial" w:eastAsia="Arial" w:hAnsi="Arial"/>
          <w:sz w:val="15"/>
          <w:szCs w:val="15"/>
          <w:color w:val="auto"/>
        </w:rPr>
      </w:pPr>
    </w:p>
    <w:p>
      <w:pPr>
        <w:ind w:firstLine="590"/>
        <w:spacing w:after="0" w:line="272" w:lineRule="auto"/>
        <w:tabs>
          <w:tab w:leader="none" w:pos="7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Implementing general information technology controls over our financial reporting system by disabling the functionality for the same employee to prepare and post journal entries.</w:t>
      </w:r>
    </w:p>
    <w:p>
      <w:pPr>
        <w:spacing w:after="0" w:line="186" w:lineRule="exact"/>
        <w:rPr>
          <w:rFonts w:ascii="Arial" w:cs="Arial" w:eastAsia="Arial" w:hAnsi="Arial"/>
          <w:sz w:val="16"/>
          <w:szCs w:val="16"/>
          <w:color w:val="auto"/>
        </w:rPr>
      </w:pPr>
    </w:p>
    <w:p>
      <w:pPr>
        <w:jc w:val="both"/>
        <w:ind w:firstLine="590"/>
        <w:spacing w:after="0" w:line="257" w:lineRule="auto"/>
        <w:tabs>
          <w:tab w:leader="none" w:pos="7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Designing and implementing new controls over revenue accounting and application of ASC 606. An inventory of all revenue contracts and corresponding accounting treatment as per ASC 606 has been prepared and periodic training to all accounting personnel is being performed. Implemented detailed account reconciliation template to validate accurate reporting of revenue accounts for environmental credit monetization services and gain on transfer of RINs and LCFSs between Fuel Station Services and equity method investments.</w:t>
      </w:r>
    </w:p>
    <w:p>
      <w:pPr>
        <w:spacing w:after="0" w:line="185" w:lineRule="exact"/>
        <w:rPr>
          <w:rFonts w:ascii="Arial" w:cs="Arial" w:eastAsia="Arial" w:hAnsi="Arial"/>
          <w:sz w:val="16"/>
          <w:szCs w:val="16"/>
          <w:color w:val="auto"/>
        </w:rPr>
      </w:pPr>
    </w:p>
    <w:p>
      <w:pPr>
        <w:ind w:firstLine="590"/>
        <w:spacing w:after="0" w:line="272" w:lineRule="auto"/>
        <w:tabs>
          <w:tab w:leader="none" w:pos="773"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Performing a quarterly review of all contracts entered into by the Company and assessing ASC 606 impact and confirming that the revenue has been recorded correctly in the reporting periods.</w:t>
      </w:r>
    </w:p>
    <w:p>
      <w:pPr>
        <w:spacing w:after="0" w:line="186" w:lineRule="exact"/>
        <w:rPr>
          <w:rFonts w:ascii="Arial" w:cs="Arial" w:eastAsia="Arial" w:hAnsi="Arial"/>
          <w:sz w:val="16"/>
          <w:szCs w:val="16"/>
          <w:color w:val="auto"/>
        </w:rPr>
      </w:pPr>
    </w:p>
    <w:p>
      <w:pPr>
        <w:ind w:firstLine="590"/>
        <w:spacing w:after="0" w:line="272" w:lineRule="auto"/>
        <w:tabs>
          <w:tab w:leader="none" w:pos="734"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Reporting regularly to the Company's Audit Committee on the progress and results of the remediation plan, including the identification, status and resolution of internal control deficiencies.</w:t>
      </w:r>
    </w:p>
    <w:p>
      <w:pPr>
        <w:spacing w:after="0" w:line="174" w:lineRule="exact"/>
        <w:rPr>
          <w:sz w:val="20"/>
          <w:szCs w:val="20"/>
          <w:color w:val="auto"/>
        </w:rPr>
      </w:pPr>
    </w:p>
    <w:p>
      <w:pPr>
        <w:jc w:val="both"/>
        <w:ind w:firstLine="591"/>
        <w:spacing w:after="0" w:line="320" w:lineRule="auto"/>
        <w:rPr>
          <w:sz w:val="20"/>
          <w:szCs w:val="20"/>
          <w:color w:val="auto"/>
        </w:rPr>
      </w:pPr>
      <w:r>
        <w:rPr>
          <w:rFonts w:ascii="Arial" w:cs="Arial" w:eastAsia="Arial" w:hAnsi="Arial"/>
          <w:sz w:val="14"/>
          <w:szCs w:val="14"/>
          <w:color w:val="auto"/>
        </w:rPr>
        <w:t>The above stated controls have been implemented during the first three quarters of 2023. As we work to improve our internal control environment over financial reporting, we may modify our remediation plan and implement additional controls as we continue to enhance our financial reporting controls. The material weaknesses will not be considered remediated until the remediated controls have been operating effectively for sufficient time and evaluated through testing of operating effectiveness.</w:t>
      </w:r>
    </w:p>
    <w:p>
      <w:pPr>
        <w:spacing w:after="0" w:line="145"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15"/>
          <w:szCs w:val="15"/>
          <w:color w:val="auto"/>
        </w:rPr>
        <w:t>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199390</wp:posOffset>
            </wp:positionV>
            <wp:extent cx="716978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 We do not believe that the outcome of any of our current legal proceedings will have a material adverse impact on our business, financial condition and results of operations.</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2022, filed with the SEC on March 29, 2023. The risks described in the Annual Report on Form 10-K for the year ended December 31, 2022 are not the only risks facing us. Additional risks and uncertainties not currently known to us or that we currently deem to be immaterial also may materially adversely affect our business, financial condition or future results.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716978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Rule 10b5-1 Trading Plans</w:t>
      </w:r>
    </w:p>
    <w:p>
      <w:pPr>
        <w:spacing w:after="0" w:line="235" w:lineRule="exact"/>
        <w:rPr>
          <w:sz w:val="20"/>
          <w:szCs w:val="20"/>
          <w:color w:val="auto"/>
        </w:rPr>
      </w:pPr>
    </w:p>
    <w:p>
      <w:pPr>
        <w:jc w:val="both"/>
        <w:ind w:firstLine="591"/>
        <w:spacing w:after="0" w:line="273" w:lineRule="auto"/>
        <w:rPr>
          <w:sz w:val="20"/>
          <w:szCs w:val="20"/>
          <w:color w:val="auto"/>
        </w:rPr>
      </w:pPr>
      <w:r>
        <w:rPr>
          <w:rFonts w:ascii="Arial" w:cs="Arial" w:eastAsia="Arial" w:hAnsi="Arial"/>
          <w:sz w:val="16"/>
          <w:szCs w:val="16"/>
          <w:color w:val="auto"/>
        </w:rPr>
        <w:t>During the fiscal quarter ended September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Exhibit Index</w:t>
      </w:r>
    </w:p>
    <w:p>
      <w:pPr>
        <w:sectPr>
          <w:pgSz w:w="11900" w:h="16838" w:orient="portrait"/>
          <w:cols w:equalWidth="0" w:num="1">
            <w:col w:w="11240"/>
          </w:cols>
          <w:pgMar w:left="320" w:top="862"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Exhibit</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90" cy="7620"/>
                    </a:xfrm>
                    <a:prstGeom prst="rect">
                      <a:avLst/>
                    </a:prstGeom>
                    <a:noFill/>
                  </pic:spPr>
                </pic:pic>
              </a:graphicData>
            </a:graphic>
          </wp:anchor>
        </w:drawing>
      </w:r>
    </w:p>
    <w:p>
      <w:pPr>
        <w:spacing w:after="0" w:line="102"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3.1*</w:t>
      </w:r>
    </w:p>
    <w:p>
      <w:pPr>
        <w:spacing w:after="0" w:line="112"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3.2*</w:t>
      </w:r>
    </w:p>
    <w:p>
      <w:pPr>
        <w:spacing w:after="0" w:line="112"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10.2†#*</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10.3†#*</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10.4†#*</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10.5†#</w:t>
      </w:r>
    </w:p>
    <w:p>
      <w:pPr>
        <w:spacing w:after="0" w:line="3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10.6*</w:t>
      </w:r>
    </w:p>
    <w:p>
      <w:pPr>
        <w:spacing w:after="0" w:line="3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10.7*</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10.8*</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10.9*</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10.11*</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10.12#</w:t>
      </w:r>
    </w:p>
    <w:p>
      <w:pPr>
        <w:spacing w:after="0" w:line="26"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10.13#</w:t>
      </w:r>
    </w:p>
    <w:p>
      <w:pPr>
        <w:spacing w:after="0" w:line="112"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-222885</wp:posOffset>
            </wp:positionV>
            <wp:extent cx="7120890" cy="250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0890" cy="250190"/>
                    </a:xfrm>
                    <a:prstGeom prst="rect">
                      <a:avLst/>
                    </a:prstGeom>
                    <a:noFill/>
                  </pic:spPr>
                </pic:pic>
              </a:graphicData>
            </a:graphic>
          </wp:anchor>
        </w:drawing>
      </w:r>
    </w:p>
    <w:p>
      <w:pPr>
        <w:spacing w:after="0" w:line="22" w:lineRule="exact"/>
        <w:rPr>
          <w:sz w:val="20"/>
          <w:szCs w:val="20"/>
          <w:color w:val="auto"/>
        </w:rPr>
      </w:pPr>
    </w:p>
    <w:p>
      <w:pPr>
        <w:ind w:right="260"/>
        <w:spacing w:after="0" w:line="249" w:lineRule="auto"/>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Restated Certificate of Incorporation of OPAL Fuels Inc. (incorporated by reference to Exhibit 3.1 to the Current Report on Form 8-K/A filed by the</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Company on August 10, 2022).</w:t>
        </w:r>
      </w:hyperlink>
    </w:p>
    <w:p>
      <w:pPr>
        <w:spacing w:after="0"/>
        <w:rPr>
          <w:rFonts w:ascii="Arial" w:cs="Arial" w:eastAsia="Arial" w:hAnsi="Arial"/>
          <w:sz w:val="15"/>
          <w:szCs w:val="15"/>
          <w:u w:val="single" w:color="auto"/>
          <w:color w:val="0000FF"/>
        </w:rPr>
      </w:pPr>
      <w:hyperlink r:id="rId91">
        <w:r>
          <w:rPr>
            <w:rFonts w:ascii="Arial" w:cs="Arial" w:eastAsia="Arial" w:hAnsi="Arial"/>
            <w:sz w:val="15"/>
            <w:szCs w:val="15"/>
            <w:u w:val="single" w:color="auto"/>
            <w:color w:val="0000FF"/>
          </w:rPr>
          <w:t>Bylaws of OPAL Fuels Inc. (incorporated by reference to Exhibit 3.2 to the Current Report on Form 8-K filed by the Company on 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-108585</wp:posOffset>
            </wp:positionV>
            <wp:extent cx="7120890" cy="132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20890" cy="132715"/>
                    </a:xfrm>
                    <a:prstGeom prst="rect">
                      <a:avLst/>
                    </a:prstGeom>
                    <a:noFill/>
                  </pic:spPr>
                </pic:pic>
              </a:graphicData>
            </a:graphic>
          </wp:anchor>
        </w:drawing>
      </w:r>
    </w:p>
    <w:p>
      <w:pPr>
        <w:spacing w:after="0" w:line="17" w:lineRule="exact"/>
        <w:rPr>
          <w:sz w:val="20"/>
          <w:szCs w:val="20"/>
          <w:color w:val="auto"/>
        </w:rPr>
      </w:pPr>
    </w:p>
    <w:p>
      <w:pPr>
        <w:ind w:right="220"/>
        <w:spacing w:after="0" w:line="249" w:lineRule="auto"/>
        <w:rPr>
          <w:rFonts w:ascii="Arial" w:cs="Arial" w:eastAsia="Arial" w:hAnsi="Arial"/>
          <w:sz w:val="16"/>
          <w:szCs w:val="16"/>
          <w:u w:val="single" w:color="auto"/>
          <w:color w:val="0000FF"/>
        </w:rPr>
      </w:pPr>
      <w:hyperlink r:id="rId93">
        <w:r>
          <w:rPr>
            <w:rFonts w:ascii="Arial" w:cs="Arial" w:eastAsia="Arial" w:hAnsi="Arial"/>
            <w:sz w:val="16"/>
            <w:szCs w:val="16"/>
            <w:u w:val="single" w:color="auto"/>
            <w:color w:val="0000FF"/>
          </w:rPr>
          <w:t>Third Amended and Restated Gas Sale and Purchase Agreement, dated August 11, 2023 (incorporated by reference to Exhibit 10.5 to the registrant’s</w:t>
        </w:r>
      </w:hyperlink>
      <w:r>
        <w:rPr>
          <w:rFonts w:ascii="Arial" w:cs="Arial" w:eastAsia="Arial" w:hAnsi="Arial"/>
          <w:sz w:val="16"/>
          <w:szCs w:val="16"/>
          <w:u w:val="single" w:color="auto"/>
          <w:color w:val="0000FF"/>
        </w:rPr>
        <w:t xml:space="preserve"> </w:t>
      </w:r>
      <w:hyperlink r:id="rId93">
        <w:r>
          <w:rPr>
            <w:rFonts w:ascii="Arial" w:cs="Arial" w:eastAsia="Arial" w:hAnsi="Arial"/>
            <w:sz w:val="16"/>
            <w:szCs w:val="16"/>
            <w:u w:val="single" w:color="auto"/>
            <w:color w:val="0000FF"/>
          </w:rPr>
          <w:t>Quarterly Report on Form 10-Q filed with the SEC on August 14, 2023)</w:t>
        </w:r>
      </w:hyperlink>
    </w:p>
    <w:p>
      <w:pPr>
        <w:ind w:right="240"/>
        <w:spacing w:after="0" w:line="249" w:lineRule="auto"/>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Landfill Gas Purchase and Sale Agreement, dated August 28, 2023 with Waste Management of California, Inc. (incorporated by reference to Exhibit</w:t>
        </w:r>
      </w:hyperlink>
      <w:r>
        <w:rPr>
          <w:rFonts w:ascii="Arial" w:cs="Arial" w:eastAsia="Arial" w:hAnsi="Arial"/>
          <w:sz w:val="16"/>
          <w:szCs w:val="16"/>
          <w:u w:val="single" w:color="auto"/>
          <w:color w:val="0000FF"/>
        </w:rPr>
        <w:t xml:space="preserve"> </w:t>
      </w:r>
      <w:hyperlink r:id="rId94">
        <w:r>
          <w:rPr>
            <w:rFonts w:ascii="Arial" w:cs="Arial" w:eastAsia="Arial" w:hAnsi="Arial"/>
            <w:sz w:val="16"/>
            <w:szCs w:val="16"/>
            <w:u w:val="single" w:color="auto"/>
            <w:color w:val="0000FF"/>
          </w:rPr>
          <w:t>10.1 to the registrant’s Current Report on Form 8-K filed with the SEC on August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-241935</wp:posOffset>
            </wp:positionV>
            <wp:extent cx="7120890" cy="2425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20890" cy="242570"/>
                    </a:xfrm>
                    <a:prstGeom prst="rect">
                      <a:avLst/>
                    </a:prstGeom>
                    <a:noFill/>
                  </pic:spPr>
                </pic:pic>
              </a:graphicData>
            </a:graphic>
          </wp:anchor>
        </w:drawing>
      </w:r>
    </w:p>
    <w:p>
      <w:pPr>
        <w:ind w:right="400"/>
        <w:spacing w:after="0" w:line="249" w:lineRule="auto"/>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Lease Agreement, dated August 28, 2023 with Waste Management of California, Inc. (incorporated by reference to Exhibit 10.2 to the registrant’s</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Current Report on Form 8-K filed with the SEC on August 31, 2023)</w:t>
        </w:r>
      </w:hyperlink>
    </w:p>
    <w:p>
      <w:pPr>
        <w:ind w:right="240"/>
        <w:spacing w:after="0" w:line="249" w:lineRule="auto"/>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Landfill Gas Purchase and Sale Agreement, dated August 28, 2023 with Guadalupe Rubbish Disposal Co., Inc. (incorporated by reference to Exhibit</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10.3 to the registrant’s Current Report on Form 8-K filed with the SEC on August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-241935</wp:posOffset>
            </wp:positionV>
            <wp:extent cx="7120890" cy="2425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20890" cy="242570"/>
                    </a:xfrm>
                    <a:prstGeom prst="rect">
                      <a:avLst/>
                    </a:prstGeom>
                    <a:noFill/>
                  </pic:spPr>
                </pic:pic>
              </a:graphicData>
            </a:graphic>
          </wp:anchor>
        </w:drawing>
      </w:r>
    </w:p>
    <w:p>
      <w:pPr>
        <w:ind w:right="400"/>
        <w:spacing w:after="0" w:line="249" w:lineRule="auto"/>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Lease Agreement, dated August 28, 2023 with Guadalupe Rubbish Disposal Co., Inc. (incorporated by reference to Exhibit 10.4 to the registrant’s</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Current Report on Form 8-K filed with the SEC on August 31, 2023)</w:t>
        </w:r>
      </w:hyperlink>
    </w:p>
    <w:p>
      <w:pPr>
        <w:spacing w:after="0"/>
        <w:rPr>
          <w:rFonts w:ascii="Arial" w:cs="Arial" w:eastAsia="Arial" w:hAnsi="Arial"/>
          <w:sz w:val="15"/>
          <w:szCs w:val="15"/>
          <w:u w:val="single" w:color="auto"/>
          <w:color w:val="0000FF"/>
        </w:rPr>
      </w:pPr>
      <w:hyperlink r:id="rId100">
        <w:r>
          <w:rPr>
            <w:rFonts w:ascii="Arial" w:cs="Arial" w:eastAsia="Arial" w:hAnsi="Arial"/>
            <w:sz w:val="15"/>
            <w:szCs w:val="15"/>
            <w:u w:val="single" w:color="auto"/>
            <w:color w:val="0000FF"/>
          </w:rPr>
          <w:t>Credit Agreement, dated September 1, 2023, by and among Intermediate HoldCo as Borrower, the guarantors, the lenders party thereto, Bank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-108585</wp:posOffset>
            </wp:positionV>
            <wp:extent cx="7120890" cy="445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20890" cy="445770"/>
                    </a:xfrm>
                    <a:prstGeom prst="rect">
                      <a:avLst/>
                    </a:prstGeom>
                    <a:noFill/>
                  </pic:spPr>
                </pic:pic>
              </a:graphicData>
            </a:graphic>
          </wp:anchor>
        </w:drawing>
      </w:r>
    </w:p>
    <w:p>
      <w:pPr>
        <w:ind w:right="520"/>
        <w:spacing w:after="0" w:line="223" w:lineRule="auto"/>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America, N.A. as the administration agent, and Apterra Infrastructure Capital LLC, Barclays Bank PLC, BofA Securities, Inc., Celtic Bank</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Corporation, JP Morgan Chase Bank, N.A. and Investec Inc., as joint lead arrangers (incorporated by reference to Exhibit 10.1 to the registrant’s</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Current Report on Form 8-K filed with the SEC on September 5, 2023)</w:t>
        </w:r>
      </w:hyperlink>
    </w:p>
    <w:p>
      <w:pPr>
        <w:spacing w:after="0" w:line="3" w:lineRule="exact"/>
        <w:rPr>
          <w:rFonts w:ascii="Arial" w:cs="Arial" w:eastAsia="Arial" w:hAnsi="Arial"/>
          <w:sz w:val="16"/>
          <w:szCs w:val="16"/>
          <w:u w:val="single" w:color="auto"/>
          <w:color w:val="0000FF"/>
        </w:rPr>
      </w:pPr>
    </w:p>
    <w:p>
      <w:pPr>
        <w:ind w:right="260"/>
        <w:spacing w:after="0" w:line="249" w:lineRule="auto"/>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Pledge Agreement, dated September 1, 2023, by OPAL Fuels Parent Holdco 3 LLC in favor of Bank of America, N.A. (incorporated by reference to</w:t>
        </w:r>
      </w:hyperlink>
      <w:r>
        <w:rPr>
          <w:rFonts w:ascii="Arial" w:cs="Arial" w:eastAsia="Arial" w:hAnsi="Arial"/>
          <w:sz w:val="16"/>
          <w:szCs w:val="16"/>
          <w:u w:val="single" w:color="auto"/>
          <w:color w:val="0000FF"/>
        </w:rPr>
        <w:t xml:space="preserve"> </w:t>
      </w:r>
      <w:hyperlink r:id="rId102">
        <w:r>
          <w:rPr>
            <w:rFonts w:ascii="Arial" w:cs="Arial" w:eastAsia="Arial" w:hAnsi="Arial"/>
            <w:sz w:val="16"/>
            <w:szCs w:val="16"/>
            <w:u w:val="single" w:color="auto"/>
            <w:color w:val="0000FF"/>
          </w:rPr>
          <w:t>Exhibit 10.2 to the registrant’s Current Report on Form 8-K filed with the SEC on September 5, 2023)</w:t>
        </w:r>
      </w:hyperlink>
    </w:p>
    <w:p>
      <w:pPr>
        <w:spacing w:after="0"/>
        <w:rPr>
          <w:rFonts w:ascii="Arial" w:cs="Arial" w:eastAsia="Arial" w:hAnsi="Arial"/>
          <w:sz w:val="14"/>
          <w:szCs w:val="14"/>
          <w:u w:val="single" w:color="auto"/>
          <w:color w:val="0000FF"/>
        </w:rPr>
      </w:pPr>
      <w:hyperlink r:id="rId103">
        <w:r>
          <w:rPr>
            <w:rFonts w:ascii="Arial" w:cs="Arial" w:eastAsia="Arial" w:hAnsi="Arial"/>
            <w:sz w:val="14"/>
            <w:szCs w:val="14"/>
            <w:u w:val="single" w:color="auto"/>
            <w:color w:val="0000FF"/>
          </w:rPr>
          <w:t>Security Agreement, dated September 1, 2023, by OPAL Fuels Intermediate HoldCo LLC and the other grantors listed on the signature pages thereto 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-101600</wp:posOffset>
            </wp:positionV>
            <wp:extent cx="7120890" cy="3441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20890" cy="344170"/>
                    </a:xfrm>
                    <a:prstGeom prst="rect">
                      <a:avLst/>
                    </a:prstGeom>
                    <a:noFill/>
                  </pic:spPr>
                </pic:pic>
              </a:graphicData>
            </a:graphic>
          </wp:anchor>
        </w:drawing>
      </w:r>
    </w:p>
    <w:p>
      <w:pPr>
        <w:spacing w:after="0" w:line="6" w:lineRule="exact"/>
        <w:rPr>
          <w:sz w:val="20"/>
          <w:szCs w:val="20"/>
          <w:color w:val="auto"/>
        </w:rPr>
      </w:pPr>
    </w:p>
    <w:p>
      <w:pPr>
        <w:ind w:right="520"/>
        <w:spacing w:after="0" w:line="231" w:lineRule="auto"/>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favor of Bank of America, N.A. (incorporated by reference to Exhibit 10.3 to the registrant’s Current Report on Form 8-K filed with the SEC on</w:t>
        </w:r>
      </w:hyperlink>
      <w:r>
        <w:rPr>
          <w:rFonts w:ascii="Arial" w:cs="Arial" w:eastAsia="Arial" w:hAnsi="Arial"/>
          <w:sz w:val="16"/>
          <w:szCs w:val="16"/>
          <w:u w:val="single" w:color="auto"/>
          <w:color w:val="0000FF"/>
        </w:rPr>
        <w:t xml:space="preserve"> </w:t>
      </w:r>
      <w:hyperlink r:id="rId103">
        <w:r>
          <w:rPr>
            <w:rFonts w:ascii="Arial" w:cs="Arial" w:eastAsia="Arial" w:hAnsi="Arial"/>
            <w:sz w:val="16"/>
            <w:szCs w:val="16"/>
            <w:u w:val="single" w:color="auto"/>
            <w:color w:val="0000FF"/>
          </w:rPr>
          <w:t>September 5, 2023)</w:t>
        </w:r>
      </w:hyperlink>
    </w:p>
    <w:p>
      <w:pPr>
        <w:spacing w:after="0" w:line="2" w:lineRule="exact"/>
        <w:rPr>
          <w:sz w:val="20"/>
          <w:szCs w:val="20"/>
          <w:color w:val="auto"/>
        </w:rPr>
      </w:pPr>
    </w:p>
    <w:p>
      <w:pPr>
        <w:ind w:right="220"/>
        <w:spacing w:after="0" w:line="249" w:lineRule="auto"/>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Note (Term), dated September 1, 2023, between OPAL Fuels Intermediate HoldCo LLC and BankUnited, N.A. (incorporated by reference to Exhibit</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10.4 to the registrant’s Current Report on Form 8-K filed with the SEC on September 5, 2023)</w:t>
        </w:r>
      </w:hyperlink>
    </w:p>
    <w:p>
      <w:pPr>
        <w:ind w:right="400"/>
        <w:spacing w:after="0" w:line="249" w:lineRule="auto"/>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Note (Revolving), dated September 1, 2023, between OPAL Fuels Intermediate HoldCo LLC and BankUnited, N.A. (incorporated by reference to</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Exhibit 10.5 to the registrant’s Current Report on Form 8-K filed with the SEC on September 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-241935</wp:posOffset>
            </wp:positionV>
            <wp:extent cx="7120890" cy="2425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20890" cy="242570"/>
                    </a:xfrm>
                    <a:prstGeom prst="rect">
                      <a:avLst/>
                    </a:prstGeom>
                    <a:noFill/>
                  </pic:spPr>
                </pic:pic>
              </a:graphicData>
            </a:graphic>
          </wp:anchor>
        </w:drawing>
      </w:r>
    </w:p>
    <w:p>
      <w:pPr>
        <w:ind w:right="120"/>
        <w:spacing w:after="0" w:line="249" w:lineRule="auto"/>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Agreement, dated September 14, 2023, by and among OPAL L2G and SJI (incorporated by reference to Exhibit 10.1 to the registrant’s Current Report</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on Form 8-K filed with the SEC on September 20, 2023)</w:t>
        </w:r>
      </w:hyperlink>
    </w:p>
    <w:p>
      <w:pPr>
        <w:spacing w:after="0"/>
        <w:rPr>
          <w:sz w:val="20"/>
          <w:szCs w:val="20"/>
          <w:color w:val="auto"/>
        </w:rPr>
      </w:pPr>
      <w:r>
        <w:rPr>
          <w:rFonts w:ascii="Arial" w:cs="Arial" w:eastAsia="Arial" w:hAnsi="Arial"/>
          <w:sz w:val="16"/>
          <w:szCs w:val="16"/>
          <w:u w:val="single" w:color="auto"/>
          <w:color w:val="0000FF"/>
        </w:rPr>
        <w:t>Base Contract for Sale and Purchase of Natural Gas (San Diego), dated September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-116205</wp:posOffset>
            </wp:positionV>
            <wp:extent cx="7120890" cy="132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20890" cy="132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Base Contract for Sale and Purchase of Natural Gas (Richmond), dated September 15, 2023</w:t>
      </w:r>
    </w:p>
    <w:p>
      <w:pPr>
        <w:spacing w:after="0" w:line="26"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u w:val="single" w:color="auto"/>
          <w:color w:val="0000FF"/>
        </w:rPr>
        <w:t>Certification of Co-Principal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-248285</wp:posOffset>
            </wp:positionV>
            <wp:extent cx="7120890" cy="2425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20890" cy="2425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380"/>
            <w:col w:w="10000"/>
          </w:cols>
          <w:pgMar w:left="320" w:top="862" w:right="339" w:bottom="1440" w:gutter="0" w:footer="0" w:header="0"/>
          <w:type w:val="continuous"/>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213995</wp:posOffset>
            </wp:positionV>
            <wp:extent cx="716978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76" w:name="page77"/>
    <w:bookmarkEnd w:id="76"/>
    <w:p>
      <w:pPr>
        <w:spacing w:after="0" w:line="86" w:lineRule="exact"/>
        <w:rPr>
          <w:sz w:val="20"/>
          <w:szCs w:val="20"/>
          <w:color w:val="auto"/>
        </w:rPr>
      </w:pPr>
    </w:p>
    <w:p>
      <w:pPr>
        <w:ind w:left="405"/>
        <w:spacing w:after="0"/>
        <w:rPr>
          <w:sz w:val="20"/>
          <w:szCs w:val="20"/>
          <w:color w:val="auto"/>
        </w:rPr>
      </w:pPr>
      <w:r>
        <w:rPr>
          <w:rFonts w:ascii="Arial" w:cs="Arial" w:eastAsia="Arial" w:hAnsi="Arial"/>
          <w:sz w:val="16"/>
          <w:szCs w:val="16"/>
          <w:color w:val="auto"/>
        </w:rPr>
        <w:t>31.2</w:t>
      </w:r>
    </w:p>
    <w:p>
      <w:pPr>
        <w:spacing w:after="0" w:line="198" w:lineRule="exact"/>
        <w:rPr>
          <w:sz w:val="20"/>
          <w:szCs w:val="20"/>
          <w:color w:val="auto"/>
        </w:rPr>
      </w:pPr>
    </w:p>
    <w:p>
      <w:pPr>
        <w:jc w:val="center"/>
        <w:ind w:left="245"/>
        <w:spacing w:after="0"/>
        <w:rPr>
          <w:sz w:val="20"/>
          <w:szCs w:val="20"/>
          <w:color w:val="auto"/>
        </w:rPr>
      </w:pPr>
      <w:r>
        <w:rPr>
          <w:rFonts w:ascii="Arial" w:cs="Arial" w:eastAsia="Arial" w:hAnsi="Arial"/>
          <w:sz w:val="16"/>
          <w:szCs w:val="16"/>
          <w:color w:val="auto"/>
        </w:rPr>
        <w:t>31.3</w:t>
      </w:r>
    </w:p>
    <w:p>
      <w:pPr>
        <w:spacing w:after="0" w:line="198" w:lineRule="exact"/>
        <w:rPr>
          <w:sz w:val="20"/>
          <w:szCs w:val="20"/>
          <w:color w:val="auto"/>
        </w:rPr>
      </w:pPr>
    </w:p>
    <w:p>
      <w:pPr>
        <w:ind w:left="325"/>
        <w:spacing w:after="0"/>
        <w:rPr>
          <w:sz w:val="20"/>
          <w:szCs w:val="20"/>
          <w:color w:val="auto"/>
        </w:rPr>
      </w:pPr>
      <w:r>
        <w:rPr>
          <w:rFonts w:ascii="Arial" w:cs="Arial" w:eastAsia="Arial" w:hAnsi="Arial"/>
          <w:sz w:val="16"/>
          <w:szCs w:val="16"/>
          <w:color w:val="auto"/>
        </w:rPr>
        <w:t>32.1**</w:t>
      </w:r>
    </w:p>
    <w:p>
      <w:pPr>
        <w:spacing w:after="0" w:line="198" w:lineRule="exact"/>
        <w:rPr>
          <w:sz w:val="20"/>
          <w:szCs w:val="20"/>
          <w:color w:val="auto"/>
        </w:rPr>
      </w:pPr>
    </w:p>
    <w:p>
      <w:pPr>
        <w:ind w:left="325"/>
        <w:spacing w:after="0"/>
        <w:rPr>
          <w:sz w:val="20"/>
          <w:szCs w:val="20"/>
          <w:color w:val="auto"/>
        </w:rPr>
      </w:pPr>
      <w:r>
        <w:rPr>
          <w:rFonts w:ascii="Arial" w:cs="Arial" w:eastAsia="Arial" w:hAnsi="Arial"/>
          <w:sz w:val="16"/>
          <w:szCs w:val="16"/>
          <w:color w:val="auto"/>
        </w:rPr>
        <w:t>32.2**</w:t>
      </w:r>
    </w:p>
    <w:p>
      <w:pPr>
        <w:spacing w:after="0" w:line="198" w:lineRule="exact"/>
        <w:rPr>
          <w:sz w:val="20"/>
          <w:szCs w:val="20"/>
          <w:color w:val="auto"/>
        </w:rPr>
      </w:pPr>
    </w:p>
    <w:p>
      <w:pPr>
        <w:ind w:left="325"/>
        <w:spacing w:after="0"/>
        <w:rPr>
          <w:sz w:val="20"/>
          <w:szCs w:val="20"/>
          <w:color w:val="auto"/>
        </w:rPr>
      </w:pPr>
      <w:r>
        <w:rPr>
          <w:rFonts w:ascii="Arial" w:cs="Arial" w:eastAsia="Arial" w:hAnsi="Arial"/>
          <w:sz w:val="16"/>
          <w:szCs w:val="16"/>
          <w:color w:val="auto"/>
        </w:rPr>
        <w:t>32.3**</w:t>
      </w:r>
    </w:p>
    <w:p>
      <w:pPr>
        <w:spacing w:after="0" w:line="112" w:lineRule="exact"/>
        <w:rPr>
          <w:sz w:val="20"/>
          <w:szCs w:val="20"/>
          <w:color w:val="auto"/>
        </w:rPr>
      </w:pPr>
    </w:p>
    <w:p>
      <w:pPr>
        <w:ind w:left="265"/>
        <w:spacing w:after="0"/>
        <w:rPr>
          <w:sz w:val="20"/>
          <w:szCs w:val="20"/>
          <w:color w:val="auto"/>
        </w:rPr>
      </w:pPr>
      <w:r>
        <w:rPr>
          <w:rFonts w:ascii="Arial" w:cs="Arial" w:eastAsia="Arial" w:hAnsi="Arial"/>
          <w:sz w:val="16"/>
          <w:szCs w:val="16"/>
          <w:color w:val="auto"/>
        </w:rPr>
        <w:t>101.INS</w:t>
      </w:r>
    </w:p>
    <w:p>
      <w:pPr>
        <w:spacing w:after="0" w:line="26" w:lineRule="exact"/>
        <w:rPr>
          <w:sz w:val="20"/>
          <w:szCs w:val="20"/>
          <w:color w:val="auto"/>
        </w:rPr>
      </w:pPr>
    </w:p>
    <w:p>
      <w:pPr>
        <w:jc w:val="center"/>
        <w:ind w:left="245"/>
        <w:spacing w:after="0"/>
        <w:rPr>
          <w:sz w:val="20"/>
          <w:szCs w:val="20"/>
          <w:color w:val="auto"/>
        </w:rPr>
      </w:pPr>
      <w:r>
        <w:rPr>
          <w:rFonts w:ascii="Arial" w:cs="Arial" w:eastAsia="Arial" w:hAnsi="Arial"/>
          <w:sz w:val="15"/>
          <w:szCs w:val="15"/>
          <w:color w:val="auto"/>
        </w:rPr>
        <w:t>101.SCH</w:t>
      </w:r>
    </w:p>
    <w:p>
      <w:pPr>
        <w:spacing w:after="0" w:line="37" w:lineRule="exact"/>
        <w:rPr>
          <w:sz w:val="20"/>
          <w:szCs w:val="20"/>
          <w:color w:val="auto"/>
        </w:rPr>
      </w:pPr>
    </w:p>
    <w:p>
      <w:pPr>
        <w:jc w:val="center"/>
        <w:ind w:left="245"/>
        <w:spacing w:after="0"/>
        <w:rPr>
          <w:sz w:val="20"/>
          <w:szCs w:val="20"/>
          <w:color w:val="auto"/>
        </w:rPr>
      </w:pPr>
      <w:r>
        <w:rPr>
          <w:rFonts w:ascii="Arial" w:cs="Arial" w:eastAsia="Arial" w:hAnsi="Arial"/>
          <w:sz w:val="15"/>
          <w:szCs w:val="15"/>
          <w:color w:val="auto"/>
        </w:rPr>
        <w:t>101.CAL</w:t>
      </w:r>
    </w:p>
    <w:p>
      <w:pPr>
        <w:spacing w:after="0" w:line="37" w:lineRule="exact"/>
        <w:rPr>
          <w:sz w:val="20"/>
          <w:szCs w:val="20"/>
          <w:color w:val="auto"/>
        </w:rPr>
      </w:pPr>
    </w:p>
    <w:p>
      <w:pPr>
        <w:jc w:val="center"/>
        <w:ind w:left="245"/>
        <w:spacing w:after="0"/>
        <w:rPr>
          <w:sz w:val="20"/>
          <w:szCs w:val="20"/>
          <w:color w:val="auto"/>
        </w:rPr>
      </w:pPr>
      <w:r>
        <w:rPr>
          <w:rFonts w:ascii="Arial" w:cs="Arial" w:eastAsia="Arial" w:hAnsi="Arial"/>
          <w:sz w:val="15"/>
          <w:szCs w:val="15"/>
          <w:color w:val="auto"/>
        </w:rPr>
        <w:t>101.DEF</w:t>
      </w:r>
    </w:p>
    <w:p>
      <w:pPr>
        <w:spacing w:after="0" w:line="37" w:lineRule="exact"/>
        <w:rPr>
          <w:sz w:val="20"/>
          <w:szCs w:val="20"/>
          <w:color w:val="auto"/>
        </w:rPr>
      </w:pPr>
    </w:p>
    <w:p>
      <w:pPr>
        <w:jc w:val="center"/>
        <w:ind w:left="245"/>
        <w:spacing w:after="0"/>
        <w:rPr>
          <w:sz w:val="20"/>
          <w:szCs w:val="20"/>
          <w:color w:val="auto"/>
        </w:rPr>
      </w:pPr>
      <w:r>
        <w:rPr>
          <w:rFonts w:ascii="Arial" w:cs="Arial" w:eastAsia="Arial" w:hAnsi="Arial"/>
          <w:sz w:val="16"/>
          <w:szCs w:val="16"/>
          <w:color w:val="auto"/>
        </w:rPr>
        <w:t>101.LAB</w:t>
      </w:r>
    </w:p>
    <w:p>
      <w:pPr>
        <w:spacing w:after="0" w:line="26" w:lineRule="exact"/>
        <w:rPr>
          <w:sz w:val="20"/>
          <w:szCs w:val="20"/>
          <w:color w:val="auto"/>
        </w:rPr>
      </w:pPr>
    </w:p>
    <w:p>
      <w:pPr>
        <w:jc w:val="center"/>
        <w:ind w:left="245"/>
        <w:spacing w:after="0"/>
        <w:rPr>
          <w:sz w:val="20"/>
          <w:szCs w:val="20"/>
          <w:color w:val="auto"/>
        </w:rPr>
      </w:pPr>
      <w:r>
        <w:rPr>
          <w:rFonts w:ascii="Arial" w:cs="Arial" w:eastAsia="Arial" w:hAnsi="Arial"/>
          <w:sz w:val="15"/>
          <w:szCs w:val="15"/>
          <w:color w:val="auto"/>
        </w:rPr>
        <w:t>101.PRE</w:t>
      </w:r>
    </w:p>
    <w:p>
      <w:pPr>
        <w:spacing w:after="0" w:line="37" w:lineRule="exact"/>
        <w:rPr>
          <w:sz w:val="20"/>
          <w:szCs w:val="20"/>
          <w:color w:val="auto"/>
        </w:rPr>
      </w:pPr>
    </w:p>
    <w:p>
      <w:pPr>
        <w:jc w:val="center"/>
        <w:ind w:left="245"/>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ind w:right="320"/>
        <w:spacing w:after="0"/>
        <w:rPr>
          <w:sz w:val="20"/>
          <w:szCs w:val="20"/>
          <w:color w:val="auto"/>
        </w:rPr>
      </w:pPr>
      <w:r>
        <w:rPr>
          <w:rFonts w:ascii="Arial" w:cs="Arial" w:eastAsia="Arial" w:hAnsi="Arial"/>
          <w:sz w:val="16"/>
          <w:szCs w:val="16"/>
          <w:u w:val="single" w:color="auto"/>
          <w:color w:val="0000FF"/>
        </w:rPr>
        <w:t>Certification of Co-Principal Executive Officer Pursuant to Rules 13a-14(a) and 15d-14(a) under the Securities Exchange Act of 1934, as Adopted Pursuant to Section 302 of the Sarbanes-Oxley Act of 2002.</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-233045</wp:posOffset>
            </wp:positionV>
            <wp:extent cx="7120890" cy="2425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20890" cy="242570"/>
                    </a:xfrm>
                    <a:prstGeom prst="rect">
                      <a:avLst/>
                    </a:prstGeom>
                    <a:noFill/>
                  </pic:spPr>
                </pic:pic>
              </a:graphicData>
            </a:graphic>
          </wp:anchor>
        </w:drawing>
      </w:r>
    </w:p>
    <w:p>
      <w:pPr>
        <w:ind w:right="80"/>
        <w:spacing w:after="0"/>
        <w:rPr>
          <w:sz w:val="20"/>
          <w:szCs w:val="20"/>
          <w:color w:val="auto"/>
        </w:rPr>
      </w:pPr>
      <w:r>
        <w:rPr>
          <w:rFonts w:ascii="Arial" w:cs="Arial" w:eastAsia="Arial" w:hAnsi="Arial"/>
          <w:sz w:val="16"/>
          <w:szCs w:val="16"/>
          <w:u w:val="single" w:color="auto"/>
          <w:color w:val="0000FF"/>
        </w:rPr>
        <w:t>Certification of Co-Principal Executive Officer Pursuant to 18 U.S.C. Section 1350, as Adopted Pursuant to Section 906 of the Sarbanes-Oxley Act of 2002.</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6"/>
          <w:szCs w:val="16"/>
          <w:u w:val="single" w:color="auto"/>
          <w:color w:val="0000FF"/>
        </w:rPr>
        <w:t>Certification of Co-Principal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-233045</wp:posOffset>
            </wp:positionV>
            <wp:extent cx="7120890" cy="2425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20890" cy="242570"/>
                    </a:xfrm>
                    <a:prstGeom prst="rect">
                      <a:avLst/>
                    </a:prstGeom>
                    <a:noFill/>
                  </pic:spPr>
                </pic:pic>
              </a:graphicData>
            </a:graphic>
          </wp:anchor>
        </w:drawing>
      </w:r>
    </w:p>
    <w:p>
      <w:pPr>
        <w:ind w:right="360"/>
        <w:spacing w:after="0"/>
        <w:rPr>
          <w:sz w:val="20"/>
          <w:szCs w:val="20"/>
          <w:color w:val="auto"/>
        </w:rPr>
      </w:pPr>
      <w:r>
        <w:rPr>
          <w:rFonts w:ascii="Arial" w:cs="Arial" w:eastAsia="Arial" w:hAnsi="Arial"/>
          <w:sz w:val="16"/>
          <w:szCs w:val="16"/>
          <w:u w:val="single" w:color="auto"/>
          <w:color w:val="0000FF"/>
        </w:rPr>
        <w:t>Certification of Principal Financial Officer Pursuant to 18 U.S.C. Section 1350, as Adopted Pursuant to Section 906 of the Sarbanes-Oxley Act of 2002.</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-116205</wp:posOffset>
            </wp:positionV>
            <wp:extent cx="7120890" cy="132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20890" cy="132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-116205</wp:posOffset>
            </wp:positionV>
            <wp:extent cx="7120890" cy="132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20890" cy="132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-116205</wp:posOffset>
            </wp:positionV>
            <wp:extent cx="7120890" cy="132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20890" cy="132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-116205</wp:posOffset>
            </wp:positionV>
            <wp:extent cx="7120890" cy="132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20890" cy="132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5" w:space="360"/>
            <w:col w:w="9940"/>
          </w:cols>
          <w:pgMar w:left="335" w:top="903" w:right="399" w:bottom="1440" w:gutter="0" w:footer="0" w:header="0"/>
        </w:sectPr>
      </w:pPr>
    </w:p>
    <w:p>
      <w:pPr>
        <w:spacing w:after="0" w:line="158" w:lineRule="exact"/>
        <w:rPr>
          <w:sz w:val="20"/>
          <w:szCs w:val="20"/>
          <w:color w:val="auto"/>
        </w:rPr>
      </w:pPr>
    </w:p>
    <w:p>
      <w:pPr>
        <w:ind w:left="625" w:hanging="625"/>
        <w:spacing w:after="0"/>
        <w:tabs>
          <w:tab w:leader="none" w:pos="625"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26" w:lineRule="exact"/>
        <w:rPr>
          <w:sz w:val="20"/>
          <w:szCs w:val="20"/>
          <w:color w:val="auto"/>
        </w:rPr>
      </w:pPr>
    </w:p>
    <w:p>
      <w:pPr>
        <w:ind w:left="625" w:right="680" w:hanging="625"/>
        <w:spacing w:after="0"/>
        <w:tabs>
          <w:tab w:leader="none" w:pos="62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4" w:lineRule="exact"/>
        <w:rPr>
          <w:sz w:val="20"/>
          <w:szCs w:val="20"/>
          <w:color w:val="auto"/>
        </w:rPr>
      </w:pPr>
    </w:p>
    <w:p>
      <w:pPr>
        <w:ind w:left="625" w:right="920" w:hanging="625"/>
        <w:spacing w:after="0"/>
        <w:tabs>
          <w:tab w:leader="none" w:pos="625"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of the schedules and exhibits to this exhibit have been omitted pursuant to Regulation S-K Item 601(a)(5). The Company agrees to furnish supplementally a copy of any omitted schedule or exhibit to the SEC upon its request.</w:t>
      </w:r>
    </w:p>
    <w:p>
      <w:pPr>
        <w:spacing w:after="0" w:line="14" w:lineRule="exact"/>
        <w:rPr>
          <w:sz w:val="20"/>
          <w:szCs w:val="20"/>
          <w:color w:val="auto"/>
        </w:rPr>
      </w:pPr>
    </w:p>
    <w:p>
      <w:pPr>
        <w:ind w:left="5525" w:right="1480" w:hanging="5525"/>
        <w:spacing w:after="0" w:line="819" w:lineRule="auto"/>
        <w:tabs>
          <w:tab w:leader="none" w:pos="627"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Certain confidential information contained in this document has been redacted in accordance with Item 601(b)(10)(iv) of Regulation S-K.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-97155</wp:posOffset>
            </wp:positionV>
            <wp:extent cx="716978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65"/>
          </w:cols>
          <w:pgMar w:left="335" w:top="903" w:right="39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SIGNATURES</w:t>
      </w:r>
    </w:p>
    <w:p>
      <w:pPr>
        <w:spacing w:after="0" w:line="153" w:lineRule="exact"/>
        <w:rPr>
          <w:sz w:val="20"/>
          <w:szCs w:val="20"/>
          <w:color w:val="auto"/>
        </w:rPr>
      </w:pPr>
    </w:p>
    <w:p>
      <w:pPr>
        <w:ind w:right="60" w:firstLine="296"/>
        <w:spacing w:after="0" w:line="28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Date: November 14, 2023</w:t>
      </w:r>
    </w:p>
    <w:p>
      <w:pPr>
        <w:spacing w:after="0" w:line="231"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OPAL Fuels Inc.</w:t>
      </w:r>
    </w:p>
    <w:p>
      <w:pPr>
        <w:spacing w:after="0" w:line="153" w:lineRule="exact"/>
        <w:rPr>
          <w:sz w:val="20"/>
          <w:szCs w:val="20"/>
          <w:color w:val="auto"/>
        </w:rPr>
      </w:pPr>
    </w:p>
    <w:tbl>
      <w:tblPr>
        <w:tblLayout w:type="fixed"/>
        <w:tblInd w:w="5920" w:type="dxa"/>
        <w:tblCellMar>
          <w:top w:w="0" w:type="dxa"/>
          <w:left w:w="0" w:type="dxa"/>
          <w:bottom w:w="0" w:type="dxa"/>
          <w:right w:w="0" w:type="dxa"/>
        </w:tblCellMar>
      </w:tblPr>
      <w:tr>
        <w:trPr>
          <w:trHeight w:val="214"/>
        </w:trPr>
        <w:tc>
          <w:tcPr>
            <w:tcW w:w="800" w:type="dxa"/>
            <w:vAlign w:val="bottom"/>
          </w:tcPr>
          <w:p>
            <w:pPr>
              <w:spacing w:after="0"/>
              <w:rPr>
                <w:sz w:val="20"/>
                <w:szCs w:val="20"/>
                <w:color w:val="auto"/>
              </w:rPr>
            </w:pPr>
            <w:r>
              <w:rPr>
                <w:rFonts w:ascii="Arial" w:cs="Arial" w:eastAsia="Arial" w:hAnsi="Arial"/>
                <w:sz w:val="16"/>
                <w:szCs w:val="16"/>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Jonathan Maurer</w:t>
            </w:r>
          </w:p>
        </w:tc>
      </w:tr>
      <w:tr>
        <w:trPr>
          <w:trHeight w:val="221"/>
        </w:trPr>
        <w:tc>
          <w:tcPr>
            <w:tcW w:w="800" w:type="dxa"/>
            <w:vAlign w:val="bottom"/>
          </w:tcPr>
          <w:p>
            <w:pPr>
              <w:spacing w:after="0"/>
              <w:rPr>
                <w:sz w:val="20"/>
                <w:szCs w:val="20"/>
                <w:color w:val="auto"/>
              </w:rPr>
            </w:pPr>
            <w:r>
              <w:rPr>
                <w:rFonts w:ascii="Arial" w:cs="Arial" w:eastAsia="Arial" w:hAnsi="Arial"/>
                <w:sz w:val="16"/>
                <w:szCs w:val="16"/>
                <w:color w:val="auto"/>
              </w:rPr>
              <w:t>Name:</w:t>
            </w:r>
          </w:p>
        </w:tc>
        <w:tc>
          <w:tcPr>
            <w:tcW w:w="4520" w:type="dxa"/>
            <w:vAlign w:val="bottom"/>
          </w:tcPr>
          <w:p>
            <w:pPr>
              <w:ind w:left="20"/>
              <w:spacing w:after="0"/>
              <w:rPr>
                <w:sz w:val="20"/>
                <w:szCs w:val="20"/>
                <w:color w:val="auto"/>
              </w:rPr>
            </w:pPr>
            <w:r>
              <w:rPr>
                <w:rFonts w:ascii="Arial" w:cs="Arial" w:eastAsia="Arial" w:hAnsi="Arial"/>
                <w:sz w:val="16"/>
                <w:szCs w:val="16"/>
                <w:color w:val="auto"/>
              </w:rPr>
              <w:t>Jonathan Maurer</w:t>
            </w:r>
          </w:p>
        </w:tc>
      </w:tr>
      <w:tr>
        <w:trPr>
          <w:trHeight w:val="234"/>
        </w:trPr>
        <w:tc>
          <w:tcPr>
            <w:tcW w:w="800" w:type="dxa"/>
            <w:vAlign w:val="bottom"/>
          </w:tcPr>
          <w:p>
            <w:pPr>
              <w:spacing w:after="0"/>
              <w:rPr>
                <w:sz w:val="20"/>
                <w:szCs w:val="20"/>
                <w:color w:val="auto"/>
              </w:rPr>
            </w:pPr>
            <w:r>
              <w:rPr>
                <w:rFonts w:ascii="Arial" w:cs="Arial" w:eastAsia="Arial" w:hAnsi="Arial"/>
                <w:sz w:val="16"/>
                <w:szCs w:val="16"/>
                <w:color w:val="auto"/>
              </w:rPr>
              <w:t>Title:</w:t>
            </w:r>
          </w:p>
        </w:tc>
        <w:tc>
          <w:tcPr>
            <w:tcW w:w="4520" w:type="dxa"/>
            <w:vAlign w:val="bottom"/>
          </w:tcPr>
          <w:p>
            <w:pPr>
              <w:ind w:left="20"/>
              <w:spacing w:after="0"/>
              <w:rPr>
                <w:sz w:val="20"/>
                <w:szCs w:val="20"/>
                <w:color w:val="auto"/>
              </w:rPr>
            </w:pPr>
            <w:r>
              <w:rPr>
                <w:rFonts w:ascii="Arial" w:cs="Arial" w:eastAsia="Arial" w:hAnsi="Arial"/>
                <w:sz w:val="16"/>
                <w:szCs w:val="16"/>
                <w:color w:val="auto"/>
              </w:rPr>
              <w:t>Co- Chief Executive Officer</w:t>
            </w:r>
          </w:p>
        </w:tc>
      </w:tr>
    </w:tbl>
    <w:p>
      <w:pPr>
        <w:spacing w:after="0" w:line="318"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OPAL Fuels Inc.</w:t>
      </w:r>
    </w:p>
    <w:p>
      <w:pPr>
        <w:spacing w:after="0" w:line="153" w:lineRule="exact"/>
        <w:rPr>
          <w:sz w:val="20"/>
          <w:szCs w:val="20"/>
          <w:color w:val="auto"/>
        </w:rPr>
      </w:pPr>
    </w:p>
    <w:p>
      <w:pPr>
        <w:ind w:left="9040"/>
        <w:spacing w:after="0"/>
        <w:tabs>
          <w:tab w:leader="none" w:pos="9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6047740</wp:posOffset>
            </wp:positionH>
            <wp:positionV relativeFrom="paragraph">
              <wp:posOffset>24130</wp:posOffset>
            </wp:positionV>
            <wp:extent cx="109537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1095375" cy="7620"/>
                    </a:xfrm>
                    <a:prstGeom prst="rect">
                      <a:avLst/>
                    </a:prstGeom>
                    <a:noFill/>
                  </pic:spPr>
                </pic:pic>
              </a:graphicData>
            </a:graphic>
          </wp:anchor>
        </w:drawing>
      </w:r>
    </w:p>
    <w:p>
      <w:pPr>
        <w:spacing w:after="0" w:line="30" w:lineRule="exact"/>
        <w:rPr>
          <w:sz w:val="20"/>
          <w:szCs w:val="20"/>
          <w:color w:val="auto"/>
        </w:rPr>
      </w:pPr>
    </w:p>
    <w:p>
      <w:pPr>
        <w:ind w:left="9040"/>
        <w:spacing w:after="0"/>
        <w:rPr>
          <w:sz w:val="20"/>
          <w:szCs w:val="20"/>
          <w:color w:val="auto"/>
        </w:rPr>
      </w:pPr>
      <w:r>
        <w:rPr>
          <w:rFonts w:ascii="Arial" w:cs="Arial" w:eastAsia="Arial" w:hAnsi="Arial"/>
          <w:sz w:val="16"/>
          <w:szCs w:val="16"/>
          <w:color w:val="auto"/>
        </w:rPr>
        <w:t>Name: Adam Comora</w:t>
      </w:r>
    </w:p>
    <w:p>
      <w:pPr>
        <w:spacing w:after="0" w:line="62" w:lineRule="exact"/>
        <w:rPr>
          <w:sz w:val="20"/>
          <w:szCs w:val="20"/>
          <w:color w:val="auto"/>
        </w:rPr>
      </w:pPr>
    </w:p>
    <w:p>
      <w:pPr>
        <w:ind w:left="9040"/>
        <w:spacing w:after="0"/>
        <w:tabs>
          <w:tab w:leader="none" w:pos="95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Co- Chief Executive</w:t>
      </w:r>
    </w:p>
    <w:p>
      <w:pPr>
        <w:spacing w:after="0" w:line="15"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Officer</w:t>
      </w:r>
    </w:p>
    <w:p>
      <w:pPr>
        <w:spacing w:after="0" w:line="340"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OPAL Fuels Inc.</w:t>
      </w:r>
    </w:p>
    <w:p>
      <w:pPr>
        <w:spacing w:after="0" w:line="153" w:lineRule="exact"/>
        <w:rPr>
          <w:sz w:val="20"/>
          <w:szCs w:val="20"/>
          <w:color w:val="auto"/>
        </w:rPr>
      </w:pPr>
    </w:p>
    <w:p>
      <w:pPr>
        <w:ind w:left="7920"/>
        <w:spacing w:after="0"/>
        <w:tabs>
          <w:tab w:leader="none" w:pos="84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5351145</wp:posOffset>
            </wp:positionH>
            <wp:positionV relativeFrom="paragraph">
              <wp:posOffset>24130</wp:posOffset>
            </wp:positionV>
            <wp:extent cx="179197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1791970" cy="7620"/>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 Ann Anthony</w:t>
      </w:r>
    </w:p>
    <w:p>
      <w:pPr>
        <w:spacing w:after="0" w:line="62" w:lineRule="exact"/>
        <w:rPr>
          <w:sz w:val="20"/>
          <w:szCs w:val="20"/>
          <w:color w:val="auto"/>
        </w:rPr>
      </w:pPr>
    </w:p>
    <w:p>
      <w:pPr>
        <w:ind w:left="7920"/>
        <w:spacing w:after="0"/>
        <w:tabs>
          <w:tab w:leader="none" w:pos="84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1059"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10.12</w:t>
      </w:r>
    </w:p>
    <w:p>
      <w:pPr>
        <w:spacing w:after="0" w:line="200" w:lineRule="exact"/>
        <w:rPr>
          <w:sz w:val="20"/>
          <w:szCs w:val="20"/>
          <w:color w:val="auto"/>
        </w:rPr>
      </w:pPr>
    </w:p>
    <w:p>
      <w:pPr>
        <w:spacing w:after="0" w:line="220"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PORTIONS OF INFORMATION CONTAINED IN THIS AGREEMENT HAVE BEEN</w:t>
      </w:r>
    </w:p>
    <w:p>
      <w:pPr>
        <w:ind w:left="2040"/>
        <w:spacing w:after="0" w:line="217" w:lineRule="auto"/>
        <w:rPr>
          <w:sz w:val="20"/>
          <w:szCs w:val="20"/>
          <w:color w:val="auto"/>
        </w:rPr>
      </w:pPr>
      <w:r>
        <w:rPr>
          <w:rFonts w:ascii="Arial" w:cs="Arial" w:eastAsia="Arial" w:hAnsi="Arial"/>
          <w:sz w:val="16"/>
          <w:szCs w:val="16"/>
          <w:b w:val="1"/>
          <w:bCs w:val="1"/>
          <w:color w:val="auto"/>
        </w:rPr>
        <w:t>EXCLUDED FROM THIS AGREEMENT BECAUSE THEY ARE BOTH NOT MATERIAL AND</w:t>
      </w:r>
    </w:p>
    <w:p>
      <w:pPr>
        <w:jc w:val="center"/>
        <w:ind w:right="100"/>
        <w:spacing w:after="0" w:line="209" w:lineRule="auto"/>
        <w:rPr>
          <w:sz w:val="20"/>
          <w:szCs w:val="20"/>
          <w:color w:val="auto"/>
        </w:rPr>
      </w:pPr>
      <w:r>
        <w:rPr>
          <w:rFonts w:ascii="Arial" w:cs="Arial" w:eastAsia="Arial" w:hAnsi="Arial"/>
          <w:sz w:val="16"/>
          <w:szCs w:val="16"/>
          <w:b w:val="1"/>
          <w:bCs w:val="1"/>
          <w:color w:val="auto"/>
        </w:rPr>
        <w:t>THE TYPE THAT THE REGISTRANT TREATS AS PRIVATE OR CONFIDENTIAL.</w:t>
      </w:r>
    </w:p>
    <w:p>
      <w:pPr>
        <w:jc w:val="center"/>
        <w:ind w:right="100"/>
        <w:spacing w:after="0"/>
        <w:rPr>
          <w:sz w:val="20"/>
          <w:szCs w:val="20"/>
          <w:color w:val="auto"/>
        </w:rPr>
      </w:pPr>
      <w:r>
        <w:rPr>
          <w:rFonts w:ascii="Arial" w:cs="Arial" w:eastAsia="Arial" w:hAnsi="Arial"/>
          <w:sz w:val="16"/>
          <w:szCs w:val="16"/>
          <w:b w:val="1"/>
          <w:bCs w:val="1"/>
          <w:color w:val="auto"/>
        </w:rPr>
        <w:t>EXCLUDED INFORMATION IS MARKED AS [***] BELOW</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920" w:type="dxa"/>
            <w:vAlign w:val="bottom"/>
            <w:gridSpan w:val="11"/>
          </w:tcPr>
          <w:p>
            <w:pPr>
              <w:jc w:val="center"/>
              <w:ind w:right="2794"/>
              <w:spacing w:after="0"/>
              <w:rPr>
                <w:sz w:val="20"/>
                <w:szCs w:val="20"/>
                <w:color w:val="auto"/>
              </w:rPr>
            </w:pPr>
            <w:r>
              <w:rPr>
                <w:rFonts w:ascii="Arial" w:cs="Arial" w:eastAsia="Arial" w:hAnsi="Arial"/>
                <w:sz w:val="20"/>
                <w:szCs w:val="20"/>
                <w:b w:val="1"/>
                <w:bCs w:val="1"/>
                <w:color w:val="auto"/>
                <w:w w:val="98"/>
              </w:rPr>
              <w:t>Base Contract for Sale and Purchase of Natural Gas</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60" w:type="dxa"/>
            <w:vAlign w:val="bottom"/>
            <w:gridSpan w:val="12"/>
          </w:tcPr>
          <w:p>
            <w:pPr>
              <w:jc w:val="center"/>
              <w:ind w:right="1074"/>
              <w:spacing w:after="0"/>
              <w:rPr>
                <w:sz w:val="20"/>
                <w:szCs w:val="20"/>
                <w:color w:val="auto"/>
              </w:rPr>
            </w:pPr>
            <w:r>
              <w:rPr>
                <w:rFonts w:ascii="Arial" w:cs="Arial" w:eastAsia="Arial" w:hAnsi="Arial"/>
                <w:sz w:val="15"/>
                <w:szCs w:val="15"/>
                <w:color w:val="auto"/>
                <w:w w:val="98"/>
              </w:rPr>
              <w:t>This Base Contract is entered into as of the following date: September 15, 2023.</w:t>
            </w:r>
          </w:p>
        </w:tc>
        <w:tc>
          <w:tcPr>
            <w:tcW w:w="0" w:type="dxa"/>
            <w:vAlign w:val="bottom"/>
          </w:tcPr>
          <w:p>
            <w:pPr>
              <w:spacing w:after="0"/>
              <w:rPr>
                <w:sz w:val="1"/>
                <w:szCs w:val="1"/>
                <w:color w:val="auto"/>
              </w:rPr>
            </w:pPr>
          </w:p>
        </w:tc>
      </w:tr>
      <w:tr>
        <w:trPr>
          <w:trHeight w:val="246"/>
        </w:trPr>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300" w:type="dxa"/>
            <w:vAlign w:val="bottom"/>
            <w:gridSpan w:val="9"/>
          </w:tcPr>
          <w:p>
            <w:pPr>
              <w:jc w:val="center"/>
              <w:ind w:left="654"/>
              <w:spacing w:after="0"/>
              <w:rPr>
                <w:sz w:val="20"/>
                <w:szCs w:val="20"/>
                <w:color w:val="auto"/>
              </w:rPr>
            </w:pPr>
            <w:r>
              <w:rPr>
                <w:rFonts w:ascii="Arial" w:cs="Arial" w:eastAsia="Arial" w:hAnsi="Arial"/>
                <w:sz w:val="15"/>
                <w:szCs w:val="15"/>
                <w:color w:val="auto"/>
                <w:w w:val="98"/>
              </w:rPr>
              <w:t>The parties to this Base Contract are the following:</w:t>
            </w:r>
          </w:p>
        </w:tc>
        <w:tc>
          <w:tcPr>
            <w:tcW w:w="2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rPr>
              <w:t>PARTY A</w:t>
            </w:r>
          </w:p>
        </w:tc>
        <w:tc>
          <w:tcPr>
            <w:tcW w:w="130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vMerge w:val="restart"/>
          </w:tcPr>
          <w:p>
            <w:pPr>
              <w:jc w:val="center"/>
              <w:ind w:right="174"/>
              <w:spacing w:after="0"/>
              <w:rPr>
                <w:sz w:val="20"/>
                <w:szCs w:val="20"/>
                <w:color w:val="auto"/>
              </w:rPr>
            </w:pPr>
            <w:r>
              <w:rPr>
                <w:rFonts w:ascii="Arial" w:cs="Arial" w:eastAsia="Arial" w:hAnsi="Arial"/>
                <w:sz w:val="13"/>
                <w:szCs w:val="13"/>
                <w:b w:val="1"/>
                <w:bCs w:val="1"/>
                <w:i w:val="1"/>
                <w:iCs w:val="1"/>
                <w:color w:val="auto"/>
              </w:rPr>
              <w:t>PARTY NAME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60" w:type="dxa"/>
            <w:vAlign w:val="bottom"/>
          </w:tcPr>
          <w:p>
            <w:pPr>
              <w:jc w:val="center"/>
              <w:ind w:right="1494"/>
              <w:spacing w:after="0"/>
              <w:rPr>
                <w:sz w:val="20"/>
                <w:szCs w:val="20"/>
                <w:color w:val="auto"/>
              </w:rPr>
            </w:pPr>
            <w:r>
              <w:rPr>
                <w:rFonts w:ascii="Arial" w:cs="Arial" w:eastAsia="Arial" w:hAnsi="Arial"/>
                <w:sz w:val="13"/>
                <w:szCs w:val="13"/>
                <w:b w:val="1"/>
                <w:bCs w:val="1"/>
                <w:color w:val="auto"/>
                <w:w w:val="98"/>
              </w:rPr>
              <w:t>PARTY B</w:t>
            </w:r>
          </w:p>
        </w:tc>
        <w:tc>
          <w:tcPr>
            <w:tcW w:w="0" w:type="dxa"/>
            <w:vAlign w:val="bottom"/>
          </w:tcPr>
          <w:p>
            <w:pPr>
              <w:spacing w:after="0"/>
              <w:rPr>
                <w:sz w:val="1"/>
                <w:szCs w:val="1"/>
                <w:color w:val="auto"/>
              </w:rPr>
            </w:pPr>
          </w:p>
        </w:tc>
      </w:tr>
      <w:tr>
        <w:trPr>
          <w:trHeight w:val="86"/>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MM San Diego LLC</w:t>
            </w:r>
          </w:p>
        </w:tc>
        <w:tc>
          <w:tcPr>
            <w:tcW w:w="130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360" w:type="dxa"/>
            <w:vAlign w:val="bottom"/>
            <w:vMerge w:val="restart"/>
          </w:tcPr>
          <w:p>
            <w:pPr>
              <w:jc w:val="right"/>
              <w:ind w:right="227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88"/>
        </w:trPr>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000" w:type="dxa"/>
            <w:vAlign w:val="bottom"/>
            <w:gridSpan w:val="7"/>
          </w:tcPr>
          <w:p>
            <w:pPr>
              <w:ind w:left="260"/>
              <w:spacing w:after="0"/>
              <w:rPr>
                <w:sz w:val="20"/>
                <w:szCs w:val="20"/>
                <w:color w:val="auto"/>
              </w:rPr>
            </w:pPr>
            <w:r>
              <w:rPr>
                <w:rFonts w:ascii="Arial" w:cs="Arial" w:eastAsia="Arial" w:hAnsi="Arial"/>
                <w:sz w:val="13"/>
                <w:szCs w:val="13"/>
                <w:color w:val="auto"/>
              </w:rPr>
              <w:t>c/o OPAL Fuels Inc.</w:t>
            </w:r>
          </w:p>
        </w:tc>
        <w:tc>
          <w:tcPr>
            <w:tcW w:w="130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00" w:type="dxa"/>
            <w:vAlign w:val="bottom"/>
            <w:gridSpan w:val="7"/>
          </w:tcPr>
          <w:p>
            <w:pPr>
              <w:ind w:left="200"/>
              <w:spacing w:after="0" w:line="127" w:lineRule="exact"/>
              <w:rPr>
                <w:sz w:val="20"/>
                <w:szCs w:val="20"/>
                <w:color w:val="auto"/>
              </w:rPr>
            </w:pPr>
            <w:r>
              <w:rPr>
                <w:rFonts w:ascii="Arial" w:cs="Arial" w:eastAsia="Arial" w:hAnsi="Arial"/>
                <w:sz w:val="13"/>
                <w:szCs w:val="13"/>
                <w:color w:val="auto"/>
              </w:rPr>
              <w:t>One North Lexington Avenue White Plains,</w:t>
            </w:r>
          </w:p>
        </w:tc>
        <w:tc>
          <w:tcPr>
            <w:tcW w:w="13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3"/>
                <w:szCs w:val="13"/>
                <w:b w:val="1"/>
                <w:bCs w:val="1"/>
                <w:i w:val="1"/>
                <w:iCs w:val="1"/>
                <w:color w:val="auto"/>
              </w:rPr>
              <w:t>ADDRESS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00" w:type="dxa"/>
            <w:vAlign w:val="bottom"/>
            <w:tcBorders>
              <w:bottom w:val="single" w:sz="8" w:color="auto"/>
            </w:tcBorders>
            <w:gridSpan w:val="7"/>
          </w:tcPr>
          <w:p>
            <w:pPr>
              <w:ind w:left="200"/>
              <w:spacing w:after="0"/>
              <w:rPr>
                <w:sz w:val="20"/>
                <w:szCs w:val="20"/>
                <w:color w:val="auto"/>
              </w:rPr>
            </w:pPr>
            <w:r>
              <w:rPr>
                <w:rFonts w:ascii="Arial" w:cs="Arial" w:eastAsia="Arial" w:hAnsi="Arial"/>
                <w:sz w:val="13"/>
                <w:szCs w:val="13"/>
                <w:color w:val="auto"/>
              </w:rPr>
              <w:t>NY 10601</w:t>
            </w:r>
          </w:p>
        </w:tc>
        <w:tc>
          <w:tcPr>
            <w:tcW w:w="130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00" w:type="dxa"/>
            <w:vAlign w:val="bottom"/>
            <w:gridSpan w:val="7"/>
          </w:tcPr>
          <w:p>
            <w:pPr>
              <w:ind w:left="120"/>
              <w:spacing w:after="0"/>
              <w:rPr>
                <w:sz w:val="20"/>
                <w:szCs w:val="20"/>
                <w:color w:val="auto"/>
              </w:rPr>
            </w:pPr>
            <w:r>
              <w:rPr>
                <w:rFonts w:ascii="Arial" w:cs="Arial" w:eastAsia="Arial" w:hAnsi="Arial"/>
                <w:sz w:val="13"/>
                <w:szCs w:val="13"/>
                <w:color w:val="auto"/>
              </w:rPr>
              <w:t>www.opalfuels.com</w:t>
            </w:r>
          </w:p>
        </w:tc>
        <w:tc>
          <w:tcPr>
            <w:tcW w:w="13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right="174"/>
              <w:spacing w:after="0"/>
              <w:rPr>
                <w:sz w:val="20"/>
                <w:szCs w:val="20"/>
                <w:color w:val="auto"/>
              </w:rPr>
            </w:pPr>
            <w:r>
              <w:rPr>
                <w:rFonts w:ascii="Arial" w:cs="Arial" w:eastAsia="Arial" w:hAnsi="Arial"/>
                <w:sz w:val="13"/>
                <w:szCs w:val="13"/>
                <w:b w:val="1"/>
                <w:bCs w:val="1"/>
                <w:i w:val="1"/>
                <w:iCs w:val="1"/>
                <w:color w:val="auto"/>
                <w:w w:val="99"/>
              </w:rPr>
              <w:t>BUSINESS</w:t>
            </w:r>
          </w:p>
        </w:tc>
        <w:tc>
          <w:tcPr>
            <w:tcW w:w="500" w:type="dxa"/>
            <w:vAlign w:val="bottom"/>
          </w:tcPr>
          <w:p>
            <w:pPr>
              <w:ind w:lef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jc w:val="center"/>
              <w:ind w:right="74"/>
              <w:spacing w:after="0"/>
              <w:rPr>
                <w:sz w:val="20"/>
                <w:szCs w:val="20"/>
                <w:color w:val="auto"/>
              </w:rPr>
            </w:pPr>
            <w:r>
              <w:rPr>
                <w:rFonts w:ascii="Arial" w:cs="Arial" w:eastAsia="Arial" w:hAnsi="Arial"/>
                <w:sz w:val="13"/>
                <w:szCs w:val="13"/>
                <w:b w:val="1"/>
                <w:bCs w:val="1"/>
                <w:i w:val="1"/>
                <w:iCs w:val="1"/>
                <w:color w:val="auto"/>
              </w:rPr>
              <w:t>WEBSITE</w:t>
            </w: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ind w:right="174"/>
              <w:spacing w:after="0"/>
              <w:rPr>
                <w:sz w:val="20"/>
                <w:szCs w:val="20"/>
                <w:color w:val="auto"/>
              </w:rPr>
            </w:pPr>
            <w:r>
              <w:rPr>
                <w:rFonts w:ascii="Arial" w:cs="Arial" w:eastAsia="Arial" w:hAnsi="Arial"/>
                <w:sz w:val="13"/>
                <w:szCs w:val="13"/>
                <w:b w:val="1"/>
                <w:bCs w:val="1"/>
                <w:i w:val="1"/>
                <w:iCs w:val="1"/>
                <w:color w:val="auto"/>
              </w:rPr>
              <w:t>CONTRACT</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54"/>
              <w:spacing w:after="0"/>
              <w:rPr>
                <w:sz w:val="20"/>
                <w:szCs w:val="20"/>
                <w:color w:val="auto"/>
              </w:rPr>
            </w:pPr>
            <w:r>
              <w:rPr>
                <w:rFonts w:ascii="Arial" w:cs="Arial" w:eastAsia="Arial" w:hAnsi="Arial"/>
                <w:sz w:val="13"/>
                <w:szCs w:val="13"/>
                <w:b w:val="1"/>
                <w:bCs w:val="1"/>
                <w:i w:val="1"/>
                <w:iCs w:val="1"/>
                <w:color w:val="auto"/>
              </w:rPr>
              <w:t>NUMBER</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i w:val="1"/>
                <w:iCs w:val="1"/>
                <w:color w:val="auto"/>
              </w:rPr>
              <w:t>D-U-N-S® NUMBER</w:t>
            </w: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000" w:type="dxa"/>
            <w:vAlign w:val="bottom"/>
            <w:gridSpan w:val="7"/>
          </w:tcPr>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US FEDERAL</w:t>
            </w:r>
          </w:p>
        </w:tc>
        <w:tc>
          <w:tcPr>
            <w:tcW w:w="130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260" w:type="dxa"/>
            <w:vAlign w:val="bottom"/>
            <w:gridSpan w:val="7"/>
          </w:tcPr>
          <w:p>
            <w:pPr>
              <w:ind w:left="340"/>
              <w:spacing w:after="0"/>
              <w:rPr>
                <w:sz w:val="20"/>
                <w:szCs w:val="20"/>
                <w:color w:val="auto"/>
              </w:rPr>
            </w:pPr>
            <w:r>
              <w:rPr>
                <w:rFonts w:ascii="Arial" w:cs="Arial" w:eastAsia="Arial" w:hAnsi="Arial"/>
                <w:sz w:val="13"/>
                <w:szCs w:val="13"/>
                <w:color w:val="auto"/>
              </w:rPr>
              <w:t>US FEDERAL:</w:t>
            </w:r>
          </w:p>
        </w:tc>
        <w:tc>
          <w:tcPr>
            <w:tcW w:w="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000" w:type="dxa"/>
            <w:vAlign w:val="bottom"/>
            <w:gridSpan w:val="7"/>
          </w:tcPr>
          <w:p>
            <w:pPr>
              <w:ind w:left="300"/>
              <w:spacing w:after="0"/>
              <w:rPr>
                <w:sz w:val="20"/>
                <w:szCs w:val="20"/>
                <w:color w:val="auto"/>
              </w:rPr>
            </w:pPr>
            <w:r>
              <w:rPr>
                <w:rFonts w:ascii="Arial" w:cs="Arial" w:eastAsia="Arial" w:hAnsi="Arial"/>
                <w:sz w:val="13"/>
                <w:szCs w:val="13"/>
                <w:color w:val="auto"/>
              </w:rPr>
              <w:t>OTHER:</w:t>
            </w:r>
          </w:p>
        </w:tc>
        <w:tc>
          <w:tcPr>
            <w:tcW w:w="13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ind w:left="420"/>
              <w:spacing w:after="0"/>
              <w:rPr>
                <w:sz w:val="20"/>
                <w:szCs w:val="20"/>
                <w:color w:val="auto"/>
              </w:rPr>
            </w:pPr>
            <w:r>
              <w:rPr>
                <w:rFonts w:ascii="Arial" w:cs="Arial" w:eastAsia="Arial" w:hAnsi="Arial"/>
                <w:sz w:val="13"/>
                <w:szCs w:val="13"/>
                <w:b w:val="1"/>
                <w:bCs w:val="1"/>
                <w:i w:val="1"/>
                <w:iCs w:val="1"/>
                <w:color w:val="auto"/>
              </w:rPr>
              <w:t>TAX ID NUMBERS</w:t>
            </w:r>
          </w:p>
        </w:tc>
        <w:tc>
          <w:tcPr>
            <w:tcW w:w="1260" w:type="dxa"/>
            <w:vAlign w:val="bottom"/>
            <w:gridSpan w:val="7"/>
          </w:tcPr>
          <w:p>
            <w:pPr>
              <w:ind w:left="10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3"/>
                <w:szCs w:val="13"/>
                <w:color w:val="auto"/>
              </w:rPr>
              <w:t>OTHER: [***]</w:t>
            </w:r>
          </w:p>
        </w:tc>
        <w:tc>
          <w:tcPr>
            <w:tcW w:w="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00" w:type="dxa"/>
            <w:vAlign w:val="bottom"/>
            <w:gridSpan w:val="7"/>
          </w:tcPr>
          <w:p>
            <w:pPr>
              <w:ind w:left="120"/>
              <w:spacing w:after="0"/>
              <w:rPr>
                <w:sz w:val="20"/>
                <w:szCs w:val="20"/>
                <w:color w:val="auto"/>
              </w:rPr>
            </w:pPr>
            <w:r>
              <w:rPr>
                <w:rFonts w:ascii="Arial" w:cs="Arial" w:eastAsia="Arial" w:hAnsi="Arial"/>
                <w:sz w:val="13"/>
                <w:szCs w:val="13"/>
                <w:color w:val="auto"/>
              </w:rPr>
              <w:t>Delaware</w:t>
            </w:r>
          </w:p>
        </w:tc>
        <w:tc>
          <w:tcPr>
            <w:tcW w:w="13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right="174"/>
              <w:spacing w:after="0"/>
              <w:rPr>
                <w:sz w:val="20"/>
                <w:szCs w:val="20"/>
                <w:color w:val="auto"/>
              </w:rPr>
            </w:pPr>
            <w:r>
              <w:rPr>
                <w:rFonts w:ascii="Arial" w:cs="Arial" w:eastAsia="Arial" w:hAnsi="Arial"/>
                <w:sz w:val="13"/>
                <w:szCs w:val="13"/>
                <w:b w:val="1"/>
                <w:bCs w:val="1"/>
                <w:i w:val="1"/>
                <w:iCs w:val="1"/>
                <w:color w:val="auto"/>
              </w:rPr>
              <w:t>JURISDICTION OF</w:t>
            </w:r>
          </w:p>
        </w:tc>
        <w:tc>
          <w:tcPr>
            <w:tcW w:w="4880" w:type="dxa"/>
            <w:vAlign w:val="bottom"/>
            <w:gridSpan w:val="9"/>
          </w:tcPr>
          <w:p>
            <w:pPr>
              <w:ind w:left="100"/>
              <w:spacing w:after="0"/>
              <w:rPr>
                <w:sz w:val="20"/>
                <w:szCs w:val="20"/>
                <w:color w:val="auto"/>
              </w:rPr>
            </w:pPr>
            <w:r>
              <w:rPr>
                <w:rFonts w:ascii="Arial" w:cs="Arial" w:eastAsia="Arial" w:hAnsi="Arial"/>
                <w:sz w:val="13"/>
                <w:szCs w:val="13"/>
                <w:color w:val="auto"/>
              </w:rPr>
              <w:t>Amsterdam, The Netherlands</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b w:val="1"/>
                <w:bCs w:val="1"/>
                <w:i w:val="1"/>
                <w:iCs w:val="1"/>
                <w:color w:val="auto"/>
                <w:w w:val="99"/>
              </w:rPr>
              <w:t>ORGANIZATION</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9"/>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3"/>
                <w:szCs w:val="13"/>
                <w:b w:val="1"/>
                <w:bCs w:val="1"/>
                <w:i w:val="1"/>
                <w:iCs w:val="1"/>
                <w:color w:val="auto"/>
                <w:w w:val="99"/>
              </w:rPr>
              <w:t>COMPANY TYPE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ind w:left="60"/>
              <w:spacing w:after="0"/>
              <w:rPr>
                <w:sz w:val="20"/>
                <w:szCs w:val="20"/>
                <w:color w:val="auto"/>
              </w:rPr>
            </w:pPr>
            <w:r>
              <w:rPr>
                <w:rFonts w:ascii="Arial" w:cs="Arial" w:eastAsia="Arial" w:hAnsi="Arial"/>
                <w:sz w:val="13"/>
                <w:szCs w:val="13"/>
                <w:color w:val="auto"/>
              </w:rPr>
              <w:t>Corporation</w:t>
            </w:r>
          </w:p>
        </w:tc>
        <w:tc>
          <w:tcPr>
            <w:tcW w:w="3360" w:type="dxa"/>
            <w:vAlign w:val="bottom"/>
          </w:tcPr>
          <w:p>
            <w:pPr>
              <w:ind w:left="40"/>
              <w:spacing w:after="0"/>
              <w:rPr>
                <w:sz w:val="20"/>
                <w:szCs w:val="20"/>
                <w:color w:val="auto"/>
              </w:rPr>
            </w:pPr>
            <w:r>
              <w:rPr>
                <w:rFonts w:ascii="Arial" w:cs="Arial" w:eastAsia="Arial" w:hAnsi="Arial"/>
                <w:sz w:val="13"/>
                <w:szCs w:val="13"/>
                <w:color w:val="auto"/>
              </w:rPr>
              <w:t>LLC</w:t>
            </w:r>
          </w:p>
        </w:tc>
        <w:tc>
          <w:tcPr>
            <w:tcW w:w="0" w:type="dxa"/>
            <w:vAlign w:val="bottom"/>
          </w:tcPr>
          <w:p>
            <w:pPr>
              <w:spacing w:after="0"/>
              <w:rPr>
                <w:sz w:val="1"/>
                <w:szCs w:val="1"/>
                <w:color w:val="auto"/>
              </w:rPr>
            </w:pPr>
          </w:p>
        </w:tc>
      </w:tr>
      <w:tr>
        <w:trPr>
          <w:trHeight w:val="121"/>
        </w:trPr>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3"/>
                <w:szCs w:val="13"/>
                <w:color w:val="auto"/>
              </w:rPr>
              <w:t xml:space="preserve">Corporation  </w:t>
            </w:r>
            <w:r>
              <w:rPr>
                <w:rFonts w:ascii="Arial" w:cs="Arial" w:eastAsia="Arial" w:hAnsi="Arial"/>
                <w:sz w:val="14"/>
                <w:szCs w:val="14"/>
                <w:color w:val="auto"/>
              </w:rPr>
              <w:t>■</w:t>
            </w:r>
            <w:r>
              <w:rPr>
                <w:rFonts w:ascii="Arial" w:cs="Arial" w:eastAsia="Arial" w:hAnsi="Arial"/>
                <w:sz w:val="13"/>
                <w:szCs w:val="13"/>
                <w:color w:val="auto"/>
              </w:rPr>
              <w:t xml:space="preserve"> LLC Limited Partnership</w:t>
            </w:r>
          </w:p>
        </w:tc>
        <w:tc>
          <w:tcPr>
            <w:tcW w:w="130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520" w:type="dxa"/>
            <w:vAlign w:val="bottom"/>
            <w:gridSpan w:val="8"/>
            <w:vMerge w:val="restart"/>
          </w:tcPr>
          <w:p>
            <w:pPr>
              <w:ind w:left="340"/>
              <w:spacing w:after="0"/>
              <w:rPr>
                <w:sz w:val="20"/>
                <w:szCs w:val="20"/>
                <w:color w:val="auto"/>
              </w:rPr>
            </w:pPr>
            <w:r>
              <w:rPr>
                <w:rFonts w:ascii="Arial" w:cs="Arial" w:eastAsia="Arial" w:hAnsi="Arial"/>
                <w:sz w:val="13"/>
                <w:szCs w:val="13"/>
                <w:color w:val="auto"/>
              </w:rPr>
              <w:t>Limited Partnership</w:t>
            </w:r>
          </w:p>
        </w:tc>
        <w:tc>
          <w:tcPr>
            <w:tcW w:w="3360" w:type="dxa"/>
            <w:vAlign w:val="bottom"/>
            <w:vMerge w:val="restart"/>
          </w:tcPr>
          <w:p>
            <w:pPr>
              <w:ind w:left="80"/>
              <w:spacing w:after="0"/>
              <w:rPr>
                <w:sz w:val="20"/>
                <w:szCs w:val="20"/>
                <w:color w:val="auto"/>
              </w:rPr>
            </w:pPr>
            <w:r>
              <w:rPr>
                <w:rFonts w:ascii="Arial" w:cs="Arial" w:eastAsia="Arial" w:hAnsi="Arial"/>
                <w:sz w:val="13"/>
                <w:szCs w:val="13"/>
                <w:color w:val="auto"/>
              </w:rPr>
              <w:t>Partnership</w:t>
            </w:r>
          </w:p>
        </w:tc>
        <w:tc>
          <w:tcPr>
            <w:tcW w:w="0" w:type="dxa"/>
            <w:vAlign w:val="bottom"/>
          </w:tcPr>
          <w:p>
            <w:pPr>
              <w:spacing w:after="0"/>
              <w:rPr>
                <w:sz w:val="1"/>
                <w:szCs w:val="1"/>
                <w:color w:val="auto"/>
              </w:rPr>
            </w:pPr>
          </w:p>
        </w:tc>
      </w:tr>
      <w:tr>
        <w:trPr>
          <w:trHeight w:val="82"/>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1520" w:type="dxa"/>
            <w:vAlign w:val="bottom"/>
            <w:gridSpan w:val="8"/>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000" w:type="dxa"/>
            <w:vAlign w:val="bottom"/>
            <w:gridSpan w:val="7"/>
          </w:tcPr>
          <w:p>
            <w:pPr>
              <w:ind w:left="360"/>
              <w:spacing w:after="0"/>
              <w:rPr>
                <w:sz w:val="20"/>
                <w:szCs w:val="20"/>
                <w:color w:val="auto"/>
              </w:rPr>
            </w:pPr>
            <w:r>
              <w:rPr>
                <w:rFonts w:ascii="Arial" w:cs="Arial" w:eastAsia="Arial" w:hAnsi="Arial"/>
                <w:sz w:val="13"/>
                <w:szCs w:val="13"/>
                <w:color w:val="auto"/>
              </w:rPr>
              <w:t>Partnership LLP</w:t>
            </w:r>
          </w:p>
        </w:tc>
        <w:tc>
          <w:tcPr>
            <w:tcW w:w="13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4880" w:type="dxa"/>
            <w:vAlign w:val="bottom"/>
            <w:gridSpan w:val="9"/>
          </w:tcPr>
          <w:p>
            <w:pPr>
              <w:ind w:left="340"/>
              <w:spacing w:after="0"/>
              <w:rPr>
                <w:sz w:val="20"/>
                <w:szCs w:val="20"/>
                <w:color w:val="auto"/>
              </w:rPr>
            </w:pPr>
            <w:r>
              <w:rPr>
                <w:rFonts w:ascii="Arial" w:cs="Arial" w:eastAsia="Arial" w:hAnsi="Arial"/>
                <w:sz w:val="13"/>
                <w:szCs w:val="13"/>
                <w:color w:val="auto"/>
              </w:rPr>
              <w:t xml:space="preserve">LLP  </w:t>
            </w:r>
            <w:r>
              <w:rPr>
                <w:rFonts w:ascii="Arial" w:cs="Arial" w:eastAsia="Arial" w:hAnsi="Arial"/>
                <w:sz w:val="14"/>
                <w:szCs w:val="14"/>
                <w:color w:val="auto"/>
              </w:rPr>
              <w:t>■</w:t>
            </w:r>
            <w:r>
              <w:rPr>
                <w:rFonts w:ascii="Arial" w:cs="Arial" w:eastAsia="Arial" w:hAnsi="Arial"/>
                <w:sz w:val="13"/>
                <w:szCs w:val="13"/>
                <w:color w:val="auto"/>
              </w:rPr>
              <w:t xml:space="preserve"> Other: private limited company</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color w:val="auto"/>
              </w:rPr>
              <w:t>Other:</w:t>
            </w:r>
          </w:p>
        </w:tc>
        <w:tc>
          <w:tcPr>
            <w:tcW w:w="130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ind w:left="440"/>
              <w:spacing w:after="0"/>
              <w:rPr>
                <w:sz w:val="20"/>
                <w:szCs w:val="20"/>
                <w:color w:val="auto"/>
              </w:rPr>
            </w:pPr>
            <w:r>
              <w:rPr>
                <w:rFonts w:ascii="Arial" w:cs="Arial" w:eastAsia="Arial" w:hAnsi="Arial"/>
                <w:sz w:val="13"/>
                <w:szCs w:val="13"/>
                <w:b w:val="1"/>
                <w:bCs w:val="1"/>
                <w:i w:val="1"/>
                <w:iCs w:val="1"/>
                <w:color w:val="auto"/>
              </w:rPr>
              <w:t>GUARANTOR</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(IF APPLICABLE)</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rPr>
              <w:t>CONTACT INFORMATION</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130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260" w:type="dxa"/>
            <w:vAlign w:val="bottom"/>
            <w:gridSpan w:val="7"/>
          </w:tcPr>
          <w:p>
            <w:pPr>
              <w:ind w:left="10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2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w:t>
            </w:r>
          </w:p>
        </w:tc>
        <w:tc>
          <w:tcPr>
            <w:tcW w:w="13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COMMERCIAL</w:t>
            </w: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TEL#:</w:t>
            </w:r>
          </w:p>
        </w:tc>
        <w:tc>
          <w:tcPr>
            <w:tcW w:w="740" w:type="dxa"/>
            <w:vAlign w:val="bottom"/>
            <w:gridSpan w:val="5"/>
          </w:tcPr>
          <w:p>
            <w:pPr>
              <w:ind w:left="80"/>
              <w:spacing w:after="0"/>
              <w:rPr>
                <w:sz w:val="20"/>
                <w:szCs w:val="20"/>
                <w:color w:val="auto"/>
              </w:rPr>
            </w:pPr>
            <w:r>
              <w:rPr>
                <w:rFonts w:ascii="Arial" w:cs="Arial" w:eastAsia="Arial" w:hAnsi="Arial"/>
                <w:sz w:val="13"/>
                <w:szCs w:val="13"/>
                <w:b w:val="1"/>
                <w:bCs w:val="1"/>
                <w:i w:val="1"/>
                <w:iCs w:val="1"/>
                <w:color w:val="auto"/>
              </w:rPr>
              <w:t xml:space="preserve">FAX#: </w:t>
            </w:r>
            <w:r>
              <w:rPr>
                <w:rFonts w:ascii="Arial" w:cs="Arial" w:eastAsia="Arial" w:hAnsi="Arial"/>
                <w:sz w:val="13"/>
                <w:szCs w:val="13"/>
                <w:color w:val="auto"/>
              </w:rPr>
              <w:t>N/A</w:t>
            </w:r>
          </w:p>
        </w:tc>
        <w:tc>
          <w:tcPr>
            <w:tcW w:w="2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130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tcBorders>
            <w:gridSpan w:val="7"/>
          </w:tcPr>
          <w:p>
            <w:pPr>
              <w:ind w:left="10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2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13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ATTN:</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0" w:type="dxa"/>
            <w:vAlign w:val="bottom"/>
            <w:gridSpan w:val="7"/>
          </w:tcPr>
          <w:p>
            <w:pPr>
              <w:ind w:left="120"/>
              <w:spacing w:after="0" w:line="133" w:lineRule="exact"/>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w:t>
            </w:r>
          </w:p>
        </w:tc>
        <w:tc>
          <w:tcPr>
            <w:tcW w:w="130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ind w:left="140"/>
              <w:spacing w:after="0" w:line="133" w:lineRule="exact"/>
              <w:rPr>
                <w:sz w:val="20"/>
                <w:szCs w:val="20"/>
                <w:color w:val="auto"/>
              </w:rPr>
            </w:pPr>
            <w:r>
              <w:rPr>
                <w:rFonts w:ascii="Arial" w:cs="Arial" w:eastAsia="Arial" w:hAnsi="Arial"/>
                <w:sz w:val="13"/>
                <w:szCs w:val="13"/>
                <w:b w:val="1"/>
                <w:bCs w:val="1"/>
                <w:i w:val="1"/>
                <w:iCs w:val="1"/>
                <w:color w:val="auto"/>
              </w:rPr>
              <w:t>SCHEDULING</w:t>
            </w:r>
          </w:p>
        </w:tc>
        <w:tc>
          <w:tcPr>
            <w:tcW w:w="520" w:type="dxa"/>
            <w:vAlign w:val="bottom"/>
            <w:gridSpan w:val="2"/>
          </w:tcPr>
          <w:p>
            <w:pPr>
              <w:ind w:left="100"/>
              <w:spacing w:after="0" w:line="133" w:lineRule="exact"/>
              <w:rPr>
                <w:sz w:val="20"/>
                <w:szCs w:val="20"/>
                <w:color w:val="auto"/>
              </w:rPr>
            </w:pPr>
            <w:r>
              <w:rPr>
                <w:rFonts w:ascii="Arial" w:cs="Arial" w:eastAsia="Arial" w:hAnsi="Arial"/>
                <w:sz w:val="13"/>
                <w:szCs w:val="13"/>
                <w:b w:val="1"/>
                <w:bCs w:val="1"/>
                <w:i w:val="1"/>
                <w:iCs w:val="1"/>
                <w:color w:val="auto"/>
              </w:rPr>
              <w:t>TEL#: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3"/>
                <w:szCs w:val="13"/>
                <w:b w:val="1"/>
                <w:bCs w:val="1"/>
                <w:i w:val="1"/>
                <w:iCs w:val="1"/>
                <w:color w:val="auto"/>
              </w:rPr>
              <w:t>FAX#:</w:t>
            </w:r>
          </w:p>
        </w:tc>
        <w:tc>
          <w:tcPr>
            <w:tcW w:w="3620" w:type="dxa"/>
            <w:vAlign w:val="bottom"/>
            <w:gridSpan w:val="2"/>
          </w:tcPr>
          <w:p>
            <w:pPr>
              <w:spacing w:after="0" w:line="133" w:lineRule="exact"/>
              <w:rPr>
                <w:sz w:val="20"/>
                <w:szCs w:val="20"/>
                <w:color w:val="auto"/>
              </w:rPr>
            </w:pPr>
            <w:r>
              <w:rPr>
                <w:rFonts w:ascii="Arial" w:cs="Arial" w:eastAsia="Arial" w:hAnsi="Arial"/>
                <w:sz w:val="13"/>
                <w:szCs w:val="13"/>
                <w:b w:val="1"/>
                <w:bCs w:val="1"/>
                <w:i w:val="1"/>
                <w:iCs w:val="1"/>
                <w:color w:val="auto"/>
              </w:rPr>
              <w:t>EMAIL:</w:t>
            </w:r>
          </w:p>
        </w:tc>
        <w:tc>
          <w:tcPr>
            <w:tcW w:w="0" w:type="dxa"/>
            <w:vAlign w:val="bottom"/>
          </w:tcPr>
          <w:p>
            <w:pPr>
              <w:spacing w:after="0"/>
              <w:rPr>
                <w:sz w:val="1"/>
                <w:szCs w:val="1"/>
                <w:color w:val="auto"/>
              </w:rPr>
            </w:pPr>
          </w:p>
        </w:tc>
      </w:tr>
      <w:tr>
        <w:trPr>
          <w:trHeight w:val="182"/>
        </w:trPr>
        <w:tc>
          <w:tcPr>
            <w:tcW w:w="300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130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General Counsel</w:t>
            </w:r>
          </w:p>
        </w:tc>
        <w:tc>
          <w:tcPr>
            <w:tcW w:w="130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CONTRACT AND</w:t>
            </w: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ATTN:</w:t>
            </w:r>
          </w:p>
        </w:tc>
        <w:tc>
          <w:tcPr>
            <w:tcW w:w="4360" w:type="dxa"/>
            <w:vAlign w:val="bottom"/>
            <w:gridSpan w:val="7"/>
          </w:tcPr>
          <w:p>
            <w:pPr>
              <w:ind w:left="100"/>
              <w:spacing w:after="0"/>
              <w:rPr>
                <w:sz w:val="20"/>
                <w:szCs w:val="20"/>
                <w:color w:val="auto"/>
              </w:rPr>
            </w:pPr>
            <w:r>
              <w:rPr>
                <w:rFonts w:ascii="Arial" w:cs="Arial" w:eastAsia="Arial" w:hAnsi="Arial"/>
                <w:sz w:val="13"/>
                <w:szCs w:val="13"/>
                <w:color w:val="auto"/>
              </w:rPr>
              <w:t>Legal Department</w:t>
            </w:r>
          </w:p>
        </w:tc>
        <w:tc>
          <w:tcPr>
            <w:tcW w:w="0" w:type="dxa"/>
            <w:vAlign w:val="bottom"/>
          </w:tcPr>
          <w:p>
            <w:pPr>
              <w:spacing w:after="0"/>
              <w:rPr>
                <w:sz w:val="1"/>
                <w:szCs w:val="1"/>
                <w:color w:val="auto"/>
              </w:rPr>
            </w:pPr>
          </w:p>
        </w:tc>
      </w:tr>
      <w:tr>
        <w:trPr>
          <w:trHeight w:val="184"/>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N/A</w:t>
            </w:r>
            <w:r>
              <w:rPr>
                <w:rFonts w:ascii="Arial" w:cs="Arial" w:eastAsia="Arial" w:hAnsi="Arial"/>
                <w:sz w:val="13"/>
                <w:szCs w:val="13"/>
                <w:b w:val="1"/>
                <w:bCs w:val="1"/>
                <w:i w:val="1"/>
                <w:iCs w:val="1"/>
                <w:color w:val="auto"/>
              </w:rPr>
              <w:t xml:space="preserve"> FAX#: </w:t>
            </w:r>
            <w:r>
              <w:rPr>
                <w:rFonts w:ascii="Arial" w:cs="Arial" w:eastAsia="Arial" w:hAnsi="Arial"/>
                <w:sz w:val="13"/>
                <w:szCs w:val="13"/>
                <w:color w:val="auto"/>
              </w:rPr>
              <w:t>N/A</w:t>
            </w:r>
          </w:p>
        </w:tc>
        <w:tc>
          <w:tcPr>
            <w:tcW w:w="13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right="174"/>
              <w:spacing w:after="0"/>
              <w:rPr>
                <w:sz w:val="20"/>
                <w:szCs w:val="20"/>
                <w:color w:val="auto"/>
              </w:rPr>
            </w:pPr>
            <w:r>
              <w:rPr>
                <w:rFonts w:ascii="Arial" w:cs="Arial" w:eastAsia="Arial" w:hAnsi="Arial"/>
                <w:sz w:val="13"/>
                <w:szCs w:val="13"/>
                <w:b w:val="1"/>
                <w:bCs w:val="1"/>
                <w:i w:val="1"/>
                <w:iCs w:val="1"/>
                <w:color w:val="auto"/>
              </w:rPr>
              <w:t>LEGAL NOTICES</w:t>
            </w:r>
          </w:p>
        </w:tc>
        <w:tc>
          <w:tcPr>
            <w:tcW w:w="1520" w:type="dxa"/>
            <w:vAlign w:val="bottom"/>
            <w:gridSpan w:val="8"/>
          </w:tcPr>
          <w:p>
            <w:pPr>
              <w:ind w:left="100"/>
              <w:spacing w:after="0"/>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N/A</w:t>
            </w:r>
            <w:r>
              <w:rPr>
                <w:rFonts w:ascii="Arial" w:cs="Arial" w:eastAsia="Arial" w:hAnsi="Arial"/>
                <w:sz w:val="13"/>
                <w:szCs w:val="13"/>
                <w:b w:val="1"/>
                <w:bCs w:val="1"/>
                <w:i w:val="1"/>
                <w:iCs w:val="1"/>
                <w:color w:val="auto"/>
              </w:rPr>
              <w:t xml:space="preserve">  FAX#: </w:t>
            </w:r>
            <w:r>
              <w:rPr>
                <w:rFonts w:ascii="Arial" w:cs="Arial" w:eastAsia="Arial" w:hAnsi="Arial"/>
                <w:sz w:val="13"/>
                <w:szCs w:val="13"/>
                <w:color w:val="auto"/>
              </w:rPr>
              <w:t>N/A</w:t>
            </w: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0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noticeofficer@opalfuels.com</w:t>
            </w:r>
          </w:p>
        </w:tc>
        <w:tc>
          <w:tcPr>
            <w:tcW w:w="13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tcBorders>
            <w:gridSpan w:val="7"/>
          </w:tcPr>
          <w:p>
            <w:pPr>
              <w:ind w:left="10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ind w:left="120"/>
              <w:spacing w:after="0"/>
              <w:rPr>
                <w:sz w:val="20"/>
                <w:szCs w:val="20"/>
                <w:color w:val="auto"/>
              </w:rPr>
            </w:pPr>
            <w:r>
              <w:rPr>
                <w:rFonts w:ascii="Arial" w:cs="Arial" w:eastAsia="Arial" w:hAnsi="Arial"/>
                <w:sz w:val="13"/>
                <w:szCs w:val="13"/>
                <w:b w:val="1"/>
                <w:bCs w:val="1"/>
                <w:i w:val="1"/>
                <w:iCs w:val="1"/>
                <w:color w:val="auto"/>
              </w:rPr>
              <w:t>ATTN:</w:t>
            </w:r>
          </w:p>
        </w:tc>
        <w:tc>
          <w:tcPr>
            <w:tcW w:w="140" w:type="dxa"/>
            <w:vAlign w:val="bottom"/>
            <w:tcBorders>
              <w:bottom w:val="single" w:sz="8" w:color="auto"/>
            </w:tcBorders>
            <w:gridSpan w:val="2"/>
          </w:tcPr>
          <w:p>
            <w:pPr>
              <w:spacing w:after="0"/>
              <w:rPr>
                <w:sz w:val="16"/>
                <w:szCs w:val="16"/>
                <w:color w:val="auto"/>
              </w:rPr>
            </w:pPr>
          </w:p>
        </w:tc>
        <w:tc>
          <w:tcPr>
            <w:tcW w:w="2320" w:type="dxa"/>
            <w:vAlign w:val="bottom"/>
            <w:gridSpan w:val="3"/>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ATTN:</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TEL#:   FAX#:   EMAIL:</w:t>
            </w:r>
          </w:p>
        </w:tc>
        <w:tc>
          <w:tcPr>
            <w:tcW w:w="130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CREDIT</w:t>
            </w: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TEL#: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FAX#:</w:t>
            </w:r>
          </w:p>
        </w:tc>
        <w:tc>
          <w:tcPr>
            <w:tcW w:w="36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EMAIL:</w:t>
            </w:r>
          </w:p>
        </w:tc>
        <w:tc>
          <w:tcPr>
            <w:tcW w:w="0" w:type="dxa"/>
            <w:vAlign w:val="bottom"/>
          </w:tcPr>
          <w:p>
            <w:pPr>
              <w:spacing w:after="0"/>
              <w:rPr>
                <w:sz w:val="1"/>
                <w:szCs w:val="1"/>
                <w:color w:val="auto"/>
              </w:rPr>
            </w:pPr>
          </w:p>
        </w:tc>
      </w:tr>
      <w:tr>
        <w:trPr>
          <w:trHeight w:val="59"/>
        </w:trPr>
        <w:tc>
          <w:tcPr>
            <w:tcW w:w="520" w:type="dxa"/>
            <w:vAlign w:val="bottom"/>
            <w:tcBorders>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13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3"/>
                <w:szCs w:val="13"/>
                <w:b w:val="1"/>
                <w:bCs w:val="1"/>
                <w:i w:val="1"/>
                <w:iCs w:val="1"/>
                <w:color w:val="auto"/>
              </w:rPr>
              <w:t>TRANSACTION</w:t>
            </w:r>
          </w:p>
        </w:tc>
        <w:tc>
          <w:tcPr>
            <w:tcW w:w="1260" w:type="dxa"/>
            <w:vAlign w:val="bottom"/>
            <w:gridSpan w:val="7"/>
          </w:tcPr>
          <w:p>
            <w:pPr>
              <w:ind w:left="10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3000" w:type="dxa"/>
            <w:vAlign w:val="bottom"/>
            <w:gridSpan w:val="7"/>
            <w:vMerge w:val="restart"/>
          </w:tcPr>
          <w:p>
            <w:pPr>
              <w:ind w:left="120"/>
              <w:spacing w:after="0"/>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w:t>
            </w:r>
          </w:p>
        </w:tc>
        <w:tc>
          <w:tcPr>
            <w:tcW w:w="130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3"/>
                <w:szCs w:val="13"/>
                <w:b w:val="1"/>
                <w:bCs w:val="1"/>
                <w:i w:val="1"/>
                <w:iCs w:val="1"/>
                <w:color w:val="auto"/>
              </w:rPr>
              <w:t>TEL#:</w:t>
            </w:r>
          </w:p>
        </w:tc>
        <w:tc>
          <w:tcPr>
            <w:tcW w:w="740" w:type="dxa"/>
            <w:vAlign w:val="bottom"/>
            <w:gridSpan w:val="5"/>
            <w:vMerge w:val="restart"/>
          </w:tcPr>
          <w:p>
            <w:pPr>
              <w:ind w:left="80"/>
              <w:spacing w:after="0"/>
              <w:rPr>
                <w:sz w:val="20"/>
                <w:szCs w:val="20"/>
                <w:color w:val="auto"/>
              </w:rPr>
            </w:pPr>
            <w:r>
              <w:rPr>
                <w:rFonts w:ascii="Arial" w:cs="Arial" w:eastAsia="Arial" w:hAnsi="Arial"/>
                <w:sz w:val="13"/>
                <w:szCs w:val="13"/>
                <w:b w:val="1"/>
                <w:bCs w:val="1"/>
                <w:i w:val="1"/>
                <w:iCs w:val="1"/>
                <w:color w:val="auto"/>
              </w:rPr>
              <w:t xml:space="preserve">FAX#: </w:t>
            </w:r>
            <w:r>
              <w:rPr>
                <w:rFonts w:ascii="Arial" w:cs="Arial" w:eastAsia="Arial" w:hAnsi="Arial"/>
                <w:sz w:val="13"/>
                <w:szCs w:val="13"/>
                <w:color w:val="auto"/>
              </w:rPr>
              <w:t>N/A</w:t>
            </w:r>
          </w:p>
        </w:tc>
        <w:tc>
          <w:tcPr>
            <w:tcW w:w="2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000" w:type="dxa"/>
            <w:vAlign w:val="bottom"/>
            <w:gridSpan w:val="7"/>
            <w:vMerge w:val="continue"/>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vMerge w:val="restart"/>
          </w:tcPr>
          <w:p>
            <w:pPr>
              <w:ind w:left="220"/>
              <w:spacing w:after="0"/>
              <w:rPr>
                <w:sz w:val="20"/>
                <w:szCs w:val="20"/>
                <w:color w:val="auto"/>
              </w:rPr>
            </w:pPr>
            <w:r>
              <w:rPr>
                <w:rFonts w:ascii="Arial" w:cs="Arial" w:eastAsia="Arial" w:hAnsi="Arial"/>
                <w:sz w:val="13"/>
                <w:szCs w:val="13"/>
                <w:b w:val="1"/>
                <w:bCs w:val="1"/>
                <w:i w:val="1"/>
                <w:iCs w:val="1"/>
                <w:color w:val="auto"/>
              </w:rPr>
              <w:t>CONFIRMATION</w:t>
            </w:r>
          </w:p>
        </w:tc>
        <w:tc>
          <w:tcPr>
            <w:tcW w:w="520" w:type="dxa"/>
            <w:vAlign w:val="bottom"/>
            <w:gridSpan w:val="2"/>
            <w:vMerge w:val="continue"/>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000" w:type="dxa"/>
            <w:vAlign w:val="bottom"/>
            <w:gridSpan w:val="7"/>
            <w:vMerge w:val="restart"/>
          </w:tcPr>
          <w:p>
            <w:pPr>
              <w:ind w:left="12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130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1260" w:type="dxa"/>
            <w:vAlign w:val="bottom"/>
            <w:gridSpan w:val="7"/>
            <w:vMerge w:val="restart"/>
          </w:tcPr>
          <w:p>
            <w:pPr>
              <w:ind w:left="10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2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3000" w:type="dxa"/>
            <w:vAlign w:val="bottom"/>
            <w:tcBorders>
              <w:bottom w:val="single" w:sz="8" w:color="auto"/>
            </w:tcBorders>
            <w:gridSpan w:val="7"/>
            <w:vMerge w:val="continue"/>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gridSpan w:val="7"/>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-4694555</wp:posOffset>
            </wp:positionV>
            <wp:extent cx="6925310" cy="4867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6925310" cy="4867275"/>
                    </a:xfrm>
                    <a:prstGeom prst="rect">
                      <a:avLst/>
                    </a:prstGeom>
                    <a:noFill/>
                  </pic:spPr>
                </pic:pic>
              </a:graphicData>
            </a:graphic>
          </wp:anchor>
        </w:drawing>
      </w:r>
    </w:p>
    <w:p>
      <w:pPr>
        <w:spacing w:after="0" w:line="67"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ACCOUNTING INFORMATION</w:t>
      </w:r>
    </w:p>
    <w:p>
      <w:pPr>
        <w:sectPr>
          <w:pgSz w:w="11900" w:h="16838" w:orient="portrait"/>
          <w:cols w:equalWidth="0" w:num="1">
            <w:col w:w="11140"/>
          </w:cols>
          <w:pgMar w:left="420" w:top="333"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70" w:type="dxa"/>
        <w:tblCellMar>
          <w:top w:w="0" w:type="dxa"/>
          <w:left w:w="0" w:type="dxa"/>
          <w:bottom w:w="0" w:type="dxa"/>
          <w:right w:w="0" w:type="dxa"/>
        </w:tblCellMar>
      </w:tblPr>
      <w:tr>
        <w:trPr>
          <w:trHeight w:val="235"/>
        </w:trPr>
        <w:tc>
          <w:tcPr>
            <w:tcW w:w="120" w:type="dxa"/>
            <w:vAlign w:val="bottom"/>
            <w:tcBorders>
              <w:top w:val="single" w:sz="8" w:color="auto"/>
              <w:left w:val="single" w:sz="8" w:color="auto"/>
            </w:tcBorders>
          </w:tcPr>
          <w:p>
            <w:pPr>
              <w:spacing w:after="0"/>
              <w:rPr>
                <w:sz w:val="20"/>
                <w:szCs w:val="20"/>
                <w:color w:val="auto"/>
              </w:rPr>
            </w:pPr>
          </w:p>
        </w:tc>
        <w:tc>
          <w:tcPr>
            <w:tcW w:w="780" w:type="dxa"/>
            <w:vAlign w:val="bottom"/>
            <w:tcBorders>
              <w:top w:val="single" w:sz="8" w:color="auto"/>
            </w:tcBorders>
            <w:gridSpan w:val="4"/>
          </w:tcPr>
          <w:p>
            <w:pPr>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680" w:type="dxa"/>
            <w:vAlign w:val="bottom"/>
            <w:tcBorders>
              <w:top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INVOICES</w:t>
            </w:r>
          </w:p>
        </w:tc>
        <w:tc>
          <w:tcPr>
            <w:tcW w:w="4880" w:type="dxa"/>
            <w:vAlign w:val="bottom"/>
            <w:tcBorders>
              <w:top w:val="single" w:sz="8" w:color="auto"/>
              <w:right w:val="single" w:sz="8" w:color="auto"/>
            </w:tcBorders>
            <w:gridSpan w:val="11"/>
          </w:tcPr>
          <w:p>
            <w:pPr>
              <w:ind w:left="10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20" w:type="dxa"/>
            <w:vAlign w:val="bottom"/>
            <w:tcBorders>
              <w:left w:val="single" w:sz="8" w:color="auto"/>
            </w:tcBorders>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PAYMENTS</w:t>
            </w:r>
          </w:p>
        </w:tc>
        <w:tc>
          <w:tcPr>
            <w:tcW w:w="56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TEL#:</w:t>
            </w:r>
          </w:p>
        </w:tc>
        <w:tc>
          <w:tcPr>
            <w:tcW w:w="40" w:type="dxa"/>
            <w:vAlign w:val="bottom"/>
          </w:tcPr>
          <w:p>
            <w:pPr>
              <w:spacing w:after="0"/>
              <w:rPr>
                <w:sz w:val="15"/>
                <w:szCs w:val="15"/>
                <w:color w:val="auto"/>
              </w:rPr>
            </w:pPr>
          </w:p>
        </w:tc>
        <w:tc>
          <w:tcPr>
            <w:tcW w:w="4280" w:type="dxa"/>
            <w:vAlign w:val="bottom"/>
            <w:tcBorders>
              <w:right w:val="single" w:sz="8" w:color="auto"/>
            </w:tcBorders>
            <w:gridSpan w:val="8"/>
          </w:tcPr>
          <w:p>
            <w:pPr>
              <w:spacing w:after="0"/>
              <w:rPr>
                <w:sz w:val="20"/>
                <w:szCs w:val="20"/>
                <w:color w:val="auto"/>
              </w:rPr>
            </w:pPr>
            <w:r>
              <w:rPr>
                <w:rFonts w:ascii="Arial" w:cs="Arial" w:eastAsia="Arial" w:hAnsi="Arial"/>
                <w:sz w:val="13"/>
                <w:szCs w:val="13"/>
                <w:b w:val="1"/>
                <w:bCs w:val="1"/>
                <w:i w:val="1"/>
                <w:iCs w:val="1"/>
                <w:color w:val="auto"/>
              </w:rPr>
              <w:t xml:space="preserve">FAX#: </w:t>
            </w: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96"/>
        </w:trPr>
        <w:tc>
          <w:tcPr>
            <w:tcW w:w="120" w:type="dxa"/>
            <w:vAlign w:val="bottom"/>
            <w:tcBorders>
              <w:left w:val="single" w:sz="8" w:color="auto"/>
              <w:bottom w:val="single" w:sz="8" w:color="auto"/>
            </w:tcBorders>
          </w:tcPr>
          <w:p>
            <w:pPr>
              <w:spacing w:after="0"/>
              <w:rPr>
                <w:sz w:val="17"/>
                <w:szCs w:val="17"/>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SETTLEMENTS</w:t>
            </w:r>
          </w:p>
        </w:tc>
        <w:tc>
          <w:tcPr>
            <w:tcW w:w="4880" w:type="dxa"/>
            <w:vAlign w:val="bottom"/>
            <w:tcBorders>
              <w:bottom w:val="single" w:sz="8" w:color="auto"/>
              <w:right w:val="single" w:sz="8" w:color="auto"/>
            </w:tcBorders>
            <w:gridSpan w:val="11"/>
          </w:tcPr>
          <w:p>
            <w:pPr>
              <w:ind w:left="10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20" w:type="dxa"/>
            <w:vAlign w:val="bottom"/>
            <w:tcBorders>
              <w:left w:val="single" w:sz="8" w:color="auto"/>
            </w:tcBorders>
          </w:tcPr>
          <w:p>
            <w:pPr>
              <w:spacing w:after="0"/>
              <w:rPr>
                <w:sz w:val="16"/>
                <w:szCs w:val="16"/>
                <w:color w:val="auto"/>
              </w:rPr>
            </w:pPr>
          </w:p>
        </w:tc>
        <w:tc>
          <w:tcPr>
            <w:tcW w:w="780" w:type="dxa"/>
            <w:vAlign w:val="bottom"/>
            <w:gridSpan w:val="4"/>
          </w:tcPr>
          <w:p>
            <w:pPr>
              <w:ind w:left="80"/>
              <w:spacing w:after="0"/>
              <w:rPr>
                <w:sz w:val="20"/>
                <w:szCs w:val="20"/>
                <w:color w:val="auto"/>
              </w:rPr>
            </w:pPr>
            <w:r>
              <w:rPr>
                <w:rFonts w:ascii="Arial" w:cs="Arial" w:eastAsia="Arial" w:hAnsi="Arial"/>
                <w:sz w:val="13"/>
                <w:szCs w:val="13"/>
                <w:b w:val="1"/>
                <w:bCs w:val="1"/>
                <w:i w:val="1"/>
                <w:iCs w:val="1"/>
                <w:color w:val="auto"/>
              </w:rPr>
              <w:t xml:space="preserve">BANK: </w:t>
            </w: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jc w:val="center"/>
              <w:ind w:right="175"/>
              <w:spacing w:after="0"/>
              <w:rPr>
                <w:sz w:val="20"/>
                <w:szCs w:val="20"/>
                <w:color w:val="auto"/>
              </w:rPr>
            </w:pPr>
            <w:r>
              <w:rPr>
                <w:rFonts w:ascii="Arial" w:cs="Arial" w:eastAsia="Arial" w:hAnsi="Arial"/>
                <w:sz w:val="13"/>
                <w:szCs w:val="13"/>
                <w:b w:val="1"/>
                <w:bCs w:val="1"/>
                <w:i w:val="1"/>
                <w:iCs w:val="1"/>
                <w:color w:val="auto"/>
              </w:rPr>
              <w:t>WIRE TRANSFER</w:t>
            </w:r>
          </w:p>
        </w:tc>
        <w:tc>
          <w:tcPr>
            <w:tcW w:w="56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BANK:</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20" w:type="dxa"/>
            <w:vAlign w:val="bottom"/>
            <w:tcBorders>
              <w:left w:val="single" w:sz="8" w:color="auto"/>
            </w:tcBorders>
          </w:tcPr>
          <w:p>
            <w:pPr>
              <w:spacing w:after="0"/>
              <w:rPr>
                <w:sz w:val="11"/>
                <w:szCs w:val="11"/>
                <w:color w:val="auto"/>
              </w:rPr>
            </w:pPr>
          </w:p>
        </w:tc>
        <w:tc>
          <w:tcPr>
            <w:tcW w:w="780" w:type="dxa"/>
            <w:vAlign w:val="bottom"/>
            <w:gridSpan w:val="4"/>
          </w:tcPr>
          <w:p>
            <w:pPr>
              <w:ind w:left="80"/>
              <w:spacing w:after="0" w:line="108" w:lineRule="exact"/>
              <w:rPr>
                <w:sz w:val="20"/>
                <w:szCs w:val="20"/>
                <w:color w:val="auto"/>
              </w:rPr>
            </w:pPr>
            <w:r>
              <w:rPr>
                <w:rFonts w:ascii="Arial" w:cs="Arial" w:eastAsia="Arial" w:hAnsi="Arial"/>
                <w:sz w:val="12"/>
                <w:szCs w:val="12"/>
                <w:b w:val="1"/>
                <w:bCs w:val="1"/>
                <w:i w:val="1"/>
                <w:iCs w:val="1"/>
                <w:color w:val="auto"/>
              </w:rPr>
              <w:t xml:space="preserve">ABA: </w:t>
            </w: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jc w:val="center"/>
              <w:ind w:right="175"/>
              <w:spacing w:after="0" w:line="108" w:lineRule="exact"/>
              <w:rPr>
                <w:sz w:val="20"/>
                <w:szCs w:val="20"/>
                <w:color w:val="auto"/>
              </w:rPr>
            </w:pPr>
            <w:r>
              <w:rPr>
                <w:rFonts w:ascii="Arial" w:cs="Arial" w:eastAsia="Arial" w:hAnsi="Arial"/>
                <w:sz w:val="12"/>
                <w:szCs w:val="12"/>
                <w:b w:val="1"/>
                <w:bCs w:val="1"/>
                <w:i w:val="1"/>
                <w:iCs w:val="1"/>
                <w:color w:val="auto"/>
              </w:rPr>
              <w:t>NUMBERS</w:t>
            </w:r>
          </w:p>
        </w:tc>
        <w:tc>
          <w:tcPr>
            <w:tcW w:w="460" w:type="dxa"/>
            <w:vAlign w:val="bottom"/>
          </w:tcPr>
          <w:p>
            <w:pPr>
              <w:ind w:left="100"/>
              <w:spacing w:after="0" w:line="108" w:lineRule="exact"/>
              <w:rPr>
                <w:sz w:val="20"/>
                <w:szCs w:val="20"/>
                <w:color w:val="auto"/>
              </w:rPr>
            </w:pPr>
            <w:r>
              <w:rPr>
                <w:rFonts w:ascii="Arial" w:cs="Arial" w:eastAsia="Arial" w:hAnsi="Arial"/>
                <w:sz w:val="12"/>
                <w:szCs w:val="12"/>
                <w:b w:val="1"/>
                <w:bCs w:val="1"/>
                <w:i w:val="1"/>
                <w:iCs w:val="1"/>
                <w:color w:val="auto"/>
              </w:rPr>
              <w:t>ABA:</w:t>
            </w: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80" w:type="dxa"/>
            <w:vAlign w:val="bottom"/>
            <w:tcBorders>
              <w:right w:val="single" w:sz="8" w:color="auto"/>
            </w:tcBorders>
            <w:gridSpan w:val="8"/>
          </w:tcPr>
          <w:p>
            <w:pPr>
              <w:ind w:left="40"/>
              <w:spacing w:after="0" w:line="116" w:lineRule="exact"/>
              <w:rPr>
                <w:sz w:val="20"/>
                <w:szCs w:val="20"/>
                <w:color w:val="auto"/>
              </w:rPr>
            </w:pPr>
            <w:r>
              <w:rPr>
                <w:rFonts w:ascii="Arial" w:cs="Arial" w:eastAsia="Arial" w:hAnsi="Arial"/>
                <w:sz w:val="13"/>
                <w:szCs w:val="13"/>
                <w:b w:val="1"/>
                <w:bCs w:val="1"/>
                <w:i w:val="1"/>
                <w:iCs w:val="1"/>
                <w:color w:val="auto"/>
              </w:rPr>
              <w:t>ACCT:</w:t>
            </w:r>
          </w:p>
        </w:tc>
        <w:tc>
          <w:tcPr>
            <w:tcW w:w="0" w:type="dxa"/>
            <w:vAlign w:val="bottom"/>
          </w:tcPr>
          <w:p>
            <w:pPr>
              <w:spacing w:after="0"/>
              <w:rPr>
                <w:sz w:val="1"/>
                <w:szCs w:val="1"/>
                <w:color w:val="auto"/>
              </w:rPr>
            </w:pPr>
          </w:p>
        </w:tc>
      </w:tr>
      <w:tr>
        <w:trPr>
          <w:trHeight w:val="133"/>
        </w:trPr>
        <w:tc>
          <w:tcPr>
            <w:tcW w:w="120" w:type="dxa"/>
            <w:vAlign w:val="bottom"/>
            <w:tcBorders>
              <w:left w:val="single" w:sz="8" w:color="auto"/>
            </w:tcBorders>
          </w:tcPr>
          <w:p>
            <w:pPr>
              <w:spacing w:after="0"/>
              <w:rPr>
                <w:sz w:val="11"/>
                <w:szCs w:val="11"/>
                <w:color w:val="auto"/>
              </w:rPr>
            </w:pPr>
          </w:p>
        </w:tc>
        <w:tc>
          <w:tcPr>
            <w:tcW w:w="780" w:type="dxa"/>
            <w:vAlign w:val="bottom"/>
            <w:gridSpan w:val="4"/>
          </w:tcPr>
          <w:p>
            <w:pPr>
              <w:ind w:left="80"/>
              <w:spacing w:after="0" w:line="128" w:lineRule="exact"/>
              <w:rPr>
                <w:sz w:val="20"/>
                <w:szCs w:val="20"/>
                <w:color w:val="auto"/>
              </w:rPr>
            </w:pPr>
            <w:r>
              <w:rPr>
                <w:rFonts w:ascii="Arial" w:cs="Arial" w:eastAsia="Arial" w:hAnsi="Arial"/>
                <w:sz w:val="13"/>
                <w:szCs w:val="13"/>
                <w:b w:val="1"/>
                <w:bCs w:val="1"/>
                <w:i w:val="1"/>
                <w:iCs w:val="1"/>
                <w:color w:val="auto"/>
              </w:rPr>
              <w:t xml:space="preserve">ACCT: </w:t>
            </w: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jc w:val="center"/>
              <w:ind w:right="155"/>
              <w:spacing w:after="0" w:line="128" w:lineRule="exact"/>
              <w:rPr>
                <w:sz w:val="20"/>
                <w:szCs w:val="20"/>
                <w:color w:val="auto"/>
              </w:rPr>
            </w:pPr>
            <w:r>
              <w:rPr>
                <w:rFonts w:ascii="Arial" w:cs="Arial" w:eastAsia="Arial" w:hAnsi="Arial"/>
                <w:sz w:val="13"/>
                <w:szCs w:val="13"/>
                <w:b w:val="1"/>
                <w:bCs w:val="1"/>
                <w:i w:val="1"/>
                <w:iCs w:val="1"/>
                <w:color w:val="auto"/>
              </w:rPr>
              <w:t>(IF APPLICABLE)</w:t>
            </w:r>
          </w:p>
        </w:tc>
        <w:tc>
          <w:tcPr>
            <w:tcW w:w="4880" w:type="dxa"/>
            <w:vAlign w:val="bottom"/>
            <w:tcBorders>
              <w:right w:val="single" w:sz="8" w:color="auto"/>
            </w:tcBorders>
            <w:gridSpan w:val="11"/>
          </w:tcPr>
          <w:p>
            <w:pPr>
              <w:ind w:left="100"/>
              <w:spacing w:after="0" w:line="128" w:lineRule="exact"/>
              <w:rPr>
                <w:sz w:val="20"/>
                <w:szCs w:val="20"/>
                <w:color w:val="auto"/>
              </w:rPr>
            </w:pPr>
            <w:r>
              <w:rPr>
                <w:rFonts w:ascii="Arial" w:cs="Arial" w:eastAsia="Arial" w:hAnsi="Arial"/>
                <w:sz w:val="13"/>
                <w:szCs w:val="13"/>
                <w:b w:val="1"/>
                <w:bCs w:val="1"/>
                <w:i w:val="1"/>
                <w:iCs w:val="1"/>
                <w:color w:val="auto"/>
              </w:rPr>
              <w:t>OTHER DETAILS:</w:t>
            </w:r>
          </w:p>
        </w:tc>
        <w:tc>
          <w:tcPr>
            <w:tcW w:w="0" w:type="dxa"/>
            <w:vAlign w:val="bottom"/>
          </w:tcPr>
          <w:p>
            <w:pPr>
              <w:spacing w:after="0"/>
              <w:rPr>
                <w:sz w:val="1"/>
                <w:szCs w:val="1"/>
                <w:color w:val="auto"/>
              </w:rPr>
            </w:pPr>
          </w:p>
        </w:tc>
      </w:tr>
      <w:tr>
        <w:trPr>
          <w:trHeight w:val="136"/>
        </w:trPr>
        <w:tc>
          <w:tcPr>
            <w:tcW w:w="120" w:type="dxa"/>
            <w:vAlign w:val="bottom"/>
            <w:tcBorders>
              <w:left w:val="single" w:sz="8" w:color="auto"/>
              <w:bottom w:val="single" w:sz="8" w:color="auto"/>
            </w:tcBorders>
          </w:tcPr>
          <w:p>
            <w:pPr>
              <w:spacing w:after="0"/>
              <w:rPr>
                <w:sz w:val="11"/>
                <w:szCs w:val="11"/>
                <w:color w:val="auto"/>
              </w:rPr>
            </w:pPr>
          </w:p>
        </w:tc>
        <w:tc>
          <w:tcPr>
            <w:tcW w:w="2500" w:type="dxa"/>
            <w:vAlign w:val="bottom"/>
            <w:tcBorders>
              <w:bottom w:val="single" w:sz="8" w:color="auto"/>
            </w:tcBorders>
            <w:gridSpan w:val="11"/>
          </w:tcPr>
          <w:p>
            <w:pPr>
              <w:ind w:left="80"/>
              <w:spacing w:after="0" w:line="136" w:lineRule="exact"/>
              <w:rPr>
                <w:sz w:val="20"/>
                <w:szCs w:val="20"/>
                <w:color w:val="auto"/>
              </w:rPr>
            </w:pPr>
            <w:r>
              <w:rPr>
                <w:rFonts w:ascii="Arial" w:cs="Arial" w:eastAsia="Arial" w:hAnsi="Arial"/>
                <w:sz w:val="13"/>
                <w:szCs w:val="13"/>
                <w:b w:val="1"/>
                <w:bCs w:val="1"/>
                <w:i w:val="1"/>
                <w:iCs w:val="1"/>
                <w:color w:val="auto"/>
              </w:rPr>
              <w:t xml:space="preserve">OTHER DETAILS: </w:t>
            </w:r>
            <w:r>
              <w:rPr>
                <w:rFonts w:ascii="Arial" w:cs="Arial" w:eastAsia="Arial" w:hAnsi="Arial"/>
                <w:sz w:val="13"/>
                <w:szCs w:val="13"/>
                <w:color w:val="auto"/>
              </w:rPr>
              <w:t>[***]</w:t>
            </w:r>
          </w:p>
        </w:tc>
        <w:tc>
          <w:tcPr>
            <w:tcW w:w="168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20" w:type="dxa"/>
            <w:vAlign w:val="bottom"/>
            <w:tcBorders>
              <w:left w:val="single" w:sz="8" w:color="auto"/>
            </w:tcBorders>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BANK:</w:t>
            </w:r>
          </w:p>
        </w:tc>
        <w:tc>
          <w:tcPr>
            <w:tcW w:w="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ABA:</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b w:val="1"/>
                <w:bCs w:val="1"/>
                <w:i w:val="1"/>
                <w:iCs w:val="1"/>
                <w:color w:val="auto"/>
              </w:rPr>
              <w:t>ACCT:</w:t>
            </w:r>
          </w:p>
        </w:tc>
        <w:tc>
          <w:tcPr>
            <w:tcW w:w="168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rPr>
              <w:t>ACH NUMBERS (IF</w:t>
            </w:r>
          </w:p>
        </w:tc>
        <w:tc>
          <w:tcPr>
            <w:tcW w:w="4880" w:type="dxa"/>
            <w:vAlign w:val="bottom"/>
            <w:tcBorders>
              <w:right w:val="single" w:sz="8" w:color="auto"/>
            </w:tcBorders>
            <w:gridSpan w:val="11"/>
          </w:tcPr>
          <w:p>
            <w:pPr>
              <w:ind w:left="100"/>
              <w:spacing w:after="0"/>
              <w:rPr>
                <w:sz w:val="20"/>
                <w:szCs w:val="20"/>
                <w:color w:val="auto"/>
              </w:rPr>
            </w:pPr>
            <w:r>
              <w:rPr>
                <w:rFonts w:ascii="Arial" w:cs="Arial" w:eastAsia="Arial" w:hAnsi="Arial"/>
                <w:sz w:val="13"/>
                <w:szCs w:val="13"/>
                <w:b w:val="1"/>
                <w:bCs w:val="1"/>
                <w:i w:val="1"/>
                <w:iCs w:val="1"/>
                <w:color w:val="auto"/>
              </w:rPr>
              <w:t xml:space="preserve">BANK: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0"/>
        </w:trPr>
        <w:tc>
          <w:tcPr>
            <w:tcW w:w="120" w:type="dxa"/>
            <w:vAlign w:val="bottom"/>
            <w:tcBorders>
              <w:left w:val="single" w:sz="8" w:color="auto"/>
            </w:tcBorders>
          </w:tcPr>
          <w:p>
            <w:pPr>
              <w:spacing w:after="0"/>
              <w:rPr>
                <w:sz w:val="7"/>
                <w:szCs w:val="7"/>
                <w:color w:val="auto"/>
              </w:rPr>
            </w:pPr>
          </w:p>
        </w:tc>
        <w:tc>
          <w:tcPr>
            <w:tcW w:w="1160" w:type="dxa"/>
            <w:vAlign w:val="bottom"/>
            <w:gridSpan w:val="7"/>
            <w:vMerge w:val="restart"/>
          </w:tcPr>
          <w:p>
            <w:pPr>
              <w:spacing w:after="0" w:line="148" w:lineRule="exact"/>
              <w:rPr>
                <w:sz w:val="20"/>
                <w:szCs w:val="20"/>
                <w:color w:val="auto"/>
              </w:rPr>
            </w:pPr>
            <w:r>
              <w:rPr>
                <w:rFonts w:ascii="Arial" w:cs="Arial" w:eastAsia="Arial" w:hAnsi="Arial"/>
                <w:sz w:val="13"/>
                <w:szCs w:val="13"/>
                <w:b w:val="1"/>
                <w:bCs w:val="1"/>
                <w:i w:val="1"/>
                <w:iCs w:val="1"/>
                <w:color w:val="auto"/>
              </w:rPr>
              <w:t>OTHER DETAILS:</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460" w:type="dxa"/>
            <w:vAlign w:val="bottom"/>
            <w:vMerge w:val="restart"/>
          </w:tcPr>
          <w:p>
            <w:pPr>
              <w:ind w:left="100"/>
              <w:spacing w:after="0" w:line="141" w:lineRule="exact"/>
              <w:rPr>
                <w:sz w:val="20"/>
                <w:szCs w:val="20"/>
                <w:color w:val="auto"/>
              </w:rPr>
            </w:pPr>
            <w:r>
              <w:rPr>
                <w:rFonts w:ascii="Arial" w:cs="Arial" w:eastAsia="Arial" w:hAnsi="Arial"/>
                <w:sz w:val="13"/>
                <w:szCs w:val="13"/>
                <w:b w:val="1"/>
                <w:bCs w:val="1"/>
                <w:i w:val="1"/>
                <w:iCs w:val="1"/>
                <w:color w:val="auto"/>
              </w:rPr>
              <w:t>ABA:</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180" w:type="dxa"/>
            <w:vAlign w:val="bottom"/>
            <w:tcBorders>
              <w:right w:val="single" w:sz="8" w:color="auto"/>
            </w:tcBorders>
            <w:gridSpan w:val="7"/>
            <w:vMerge w:val="restart"/>
          </w:tcPr>
          <w:p>
            <w:pPr>
              <w:ind w:left="60"/>
              <w:spacing w:after="0" w:line="141" w:lineRule="exact"/>
              <w:rPr>
                <w:sz w:val="20"/>
                <w:szCs w:val="20"/>
                <w:color w:val="auto"/>
              </w:rPr>
            </w:pPr>
            <w:r>
              <w:rPr>
                <w:rFonts w:ascii="Arial" w:cs="Arial" w:eastAsia="Arial" w:hAnsi="Arial"/>
                <w:sz w:val="13"/>
                <w:szCs w:val="13"/>
                <w:b w:val="1"/>
                <w:bCs w:val="1"/>
                <w:i w:val="1"/>
                <w:iCs w:val="1"/>
                <w:color w:val="auto"/>
              </w:rPr>
              <w:t xml:space="preserve">ACCT: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120" w:type="dxa"/>
            <w:vAlign w:val="bottom"/>
            <w:tcBorders>
              <w:left w:val="single" w:sz="8" w:color="auto"/>
            </w:tcBorders>
            <w:vMerge w:val="restart"/>
          </w:tcPr>
          <w:p>
            <w:pPr>
              <w:spacing w:after="0"/>
              <w:rPr>
                <w:sz w:val="2"/>
                <w:szCs w:val="2"/>
                <w:color w:val="auto"/>
              </w:rPr>
            </w:pPr>
          </w:p>
        </w:tc>
        <w:tc>
          <w:tcPr>
            <w:tcW w:w="1160" w:type="dxa"/>
            <w:vAlign w:val="bottom"/>
            <w:gridSpan w:val="7"/>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Borders>
              <w:right w:val="single" w:sz="8" w:color="auto"/>
            </w:tcBorders>
          </w:tcPr>
          <w:p>
            <w:pPr>
              <w:spacing w:after="0"/>
              <w:rPr>
                <w:sz w:val="2"/>
                <w:szCs w:val="2"/>
                <w:color w:val="auto"/>
              </w:rPr>
            </w:pPr>
          </w:p>
        </w:tc>
        <w:tc>
          <w:tcPr>
            <w:tcW w:w="17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i w:val="1"/>
                <w:iCs w:val="1"/>
                <w:color w:val="auto"/>
              </w:rPr>
              <w:t>APPLICABLE)</w:t>
            </w:r>
          </w:p>
        </w:tc>
        <w:tc>
          <w:tcPr>
            <w:tcW w:w="460" w:type="dxa"/>
            <w:vAlign w:val="bottom"/>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right w:val="single" w:sz="8" w:color="auto"/>
            </w:tcBorders>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vMerge w:val="continue"/>
          </w:tcPr>
          <w:p>
            <w:pPr>
              <w:spacing w:after="0" w:line="20" w:lineRule="exact"/>
              <w:rPr>
                <w:sz w:val="1"/>
                <w:szCs w:val="1"/>
                <w:color w:val="auto"/>
              </w:rPr>
            </w:pPr>
          </w:p>
        </w:tc>
        <w:tc>
          <w:tcPr>
            <w:tcW w:w="1160" w:type="dxa"/>
            <w:vAlign w:val="bottom"/>
            <w:gridSpan w:val="7"/>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740" w:type="dxa"/>
            <w:vAlign w:val="bottom"/>
            <w:tcBorders>
              <w:right w:val="single" w:sz="8" w:color="auto"/>
            </w:tcBorders>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Borders>
              <w:right w:val="single" w:sz="8" w:color="auto"/>
            </w:tcBorders>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Borders>
              <w:left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740" w:type="dxa"/>
            <w:vAlign w:val="bottom"/>
            <w:tcBorders>
              <w:bottom w:val="single" w:sz="8" w:color="auto"/>
              <w:right w:val="single" w:sz="8" w:color="auto"/>
            </w:tcBorders>
            <w:vMerge w:val="continue"/>
          </w:tcPr>
          <w:p>
            <w:pPr>
              <w:spacing w:after="0"/>
              <w:rPr>
                <w:sz w:val="12"/>
                <w:szCs w:val="12"/>
                <w:color w:val="auto"/>
              </w:rPr>
            </w:pPr>
          </w:p>
        </w:tc>
        <w:tc>
          <w:tcPr>
            <w:tcW w:w="4880" w:type="dxa"/>
            <w:vAlign w:val="bottom"/>
            <w:tcBorders>
              <w:bottom w:val="single" w:sz="8" w:color="auto"/>
              <w:right w:val="single" w:sz="8" w:color="auto"/>
            </w:tcBorders>
            <w:gridSpan w:val="11"/>
          </w:tcPr>
          <w:p>
            <w:pPr>
              <w:ind w:left="100"/>
              <w:spacing w:after="0"/>
              <w:rPr>
                <w:sz w:val="20"/>
                <w:szCs w:val="20"/>
                <w:color w:val="auto"/>
              </w:rPr>
            </w:pPr>
            <w:r>
              <w:rPr>
                <w:rFonts w:ascii="Arial" w:cs="Arial" w:eastAsia="Arial" w:hAnsi="Arial"/>
                <w:sz w:val="13"/>
                <w:szCs w:val="13"/>
                <w:b w:val="1"/>
                <w:bCs w:val="1"/>
                <w:i w:val="1"/>
                <w:iCs w:val="1"/>
                <w:color w:val="auto"/>
              </w:rPr>
              <w:t xml:space="preserve">OTHER DETAILS: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12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tcBorders>
              <w:right w:val="single" w:sz="8" w:color="auto"/>
            </w:tcBorders>
          </w:tcPr>
          <w:p>
            <w:pPr>
              <w:ind w:left="800"/>
              <w:spacing w:after="0"/>
              <w:rPr>
                <w:sz w:val="20"/>
                <w:szCs w:val="20"/>
                <w:color w:val="auto"/>
              </w:rPr>
            </w:pPr>
            <w:r>
              <w:rPr>
                <w:rFonts w:ascii="Arial" w:cs="Arial" w:eastAsia="Arial" w:hAnsi="Arial"/>
                <w:sz w:val="13"/>
                <w:szCs w:val="13"/>
                <w:b w:val="1"/>
                <w:bCs w:val="1"/>
                <w:i w:val="1"/>
                <w:iCs w:val="1"/>
                <w:color w:val="auto"/>
              </w:rPr>
              <w:t>ATTN:</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rPr>
              <w:t>CHECKS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ind w:left="2280"/>
              <w:spacing w:after="0"/>
              <w:rPr>
                <w:sz w:val="20"/>
                <w:szCs w:val="20"/>
                <w:color w:val="auto"/>
              </w:rPr>
            </w:pPr>
            <w:r>
              <w:rPr>
                <w:rFonts w:ascii="Arial" w:cs="Arial" w:eastAsia="Arial" w:hAnsi="Arial"/>
                <w:sz w:val="13"/>
                <w:szCs w:val="13"/>
                <w:b w:val="1"/>
                <w:bCs w:val="1"/>
                <w:i w:val="1"/>
                <w:iCs w:val="1"/>
                <w:color w:val="auto"/>
              </w:rPr>
              <w:t>ATTN:</w:t>
            </w:r>
          </w:p>
        </w:tc>
        <w:tc>
          <w:tcPr>
            <w:tcW w:w="300" w:type="dxa"/>
            <w:vAlign w:val="bottom"/>
            <w:tcBorders>
              <w:bottom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20" w:type="dxa"/>
            <w:vAlign w:val="bottom"/>
            <w:tcBorders>
              <w:lef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gridSpan w:val="6"/>
            <w:vMerge w:val="restart"/>
          </w:tcPr>
          <w:p>
            <w:pPr>
              <w:ind w:left="20"/>
              <w:spacing w:after="0"/>
              <w:rPr>
                <w:sz w:val="20"/>
                <w:szCs w:val="20"/>
                <w:color w:val="auto"/>
              </w:rPr>
            </w:pPr>
            <w:r>
              <w:rPr>
                <w:rFonts w:ascii="Arial" w:cs="Arial" w:eastAsia="Arial" w:hAnsi="Arial"/>
                <w:sz w:val="13"/>
                <w:szCs w:val="13"/>
                <w:b w:val="1"/>
                <w:bCs w:val="1"/>
                <w:i w:val="1"/>
                <w:iCs w:val="1"/>
                <w:color w:val="auto"/>
              </w:rPr>
              <w:t>ADDRESS</w:t>
            </w:r>
            <w:r>
              <w:rPr>
                <w:rFonts w:ascii="Arial" w:cs="Arial" w:eastAsia="Arial" w:hAnsi="Arial"/>
                <w:sz w:val="13"/>
                <w:szCs w:val="13"/>
                <w:b w:val="1"/>
                <w:bCs w:val="1"/>
                <w:color w:val="auto"/>
              </w:rPr>
              <w:t>:</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4880" w:type="dxa"/>
            <w:vAlign w:val="bottom"/>
            <w:tcBorders>
              <w:right w:val="single" w:sz="8" w:color="auto"/>
            </w:tcBorders>
            <w:gridSpan w:val="11"/>
            <w:vMerge w:val="restart"/>
          </w:tcPr>
          <w:p>
            <w:pPr>
              <w:ind w:left="100"/>
              <w:spacing w:after="0"/>
              <w:rPr>
                <w:sz w:val="20"/>
                <w:szCs w:val="20"/>
                <w:color w:val="auto"/>
              </w:rPr>
            </w:pPr>
            <w:r>
              <w:rPr>
                <w:rFonts w:ascii="Arial" w:cs="Arial" w:eastAsia="Arial" w:hAnsi="Arial"/>
                <w:sz w:val="13"/>
                <w:szCs w:val="13"/>
                <w:b w:val="1"/>
                <w:bCs w:val="1"/>
                <w:i w:val="1"/>
                <w:iCs w:val="1"/>
                <w:color w:val="auto"/>
              </w:rPr>
              <w:t>ADDRESS</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86"/>
        </w:trPr>
        <w:tc>
          <w:tcPr>
            <w:tcW w:w="1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rPr>
              <w:t>(IF APPLICABLE)</w:t>
            </w:r>
          </w:p>
        </w:tc>
        <w:tc>
          <w:tcPr>
            <w:tcW w:w="4880" w:type="dxa"/>
            <w:vAlign w:val="bottom"/>
            <w:tcBorders>
              <w:right w:val="single" w:sz="8" w:color="auto"/>
            </w:tcBorders>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20" w:type="dxa"/>
            <w:vAlign w:val="bottom"/>
            <w:tcBorders>
              <w:left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-226060</wp:posOffset>
            </wp:positionV>
            <wp:extent cx="209740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2097405" cy="762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-226060</wp:posOffset>
            </wp:positionV>
            <wp:extent cx="225361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2253615" cy="7620"/>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328930</wp:posOffset>
            </wp:positionV>
            <wp:extent cx="566547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5665470" cy="7620"/>
                    </a:xfrm>
                    <a:prstGeom prst="rect">
                      <a:avLst/>
                    </a:prstGeom>
                    <a:noFill/>
                  </pic:spPr>
                </pic:pic>
              </a:graphicData>
            </a:graphic>
          </wp:anchor>
        </w:drawing>
      </w:r>
    </w:p>
    <w:p>
      <w:pPr>
        <w:sectPr>
          <w:pgSz w:w="11900" w:h="16838" w:orient="portrait"/>
          <w:cols w:equalWidth="0" w:num="1">
            <w:col w:w="10980"/>
          </w:cols>
          <w:pgMar w:left="360" w:top="144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Copyright © 2006 North American Energy Standards Board, Inc. All Rights Reserved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2800"/>
        <w:spacing w:after="0"/>
        <w:rPr>
          <w:sz w:val="20"/>
          <w:szCs w:val="20"/>
          <w:color w:val="auto"/>
        </w:rPr>
      </w:pPr>
      <w:r>
        <w:rPr>
          <w:rFonts w:ascii="Arial" w:cs="Arial" w:eastAsia="Arial" w:hAnsi="Arial"/>
          <w:sz w:val="13"/>
          <w:szCs w:val="13"/>
          <w:color w:val="auto"/>
        </w:rPr>
        <w:t>NAESB Standard 6.3.1</w:t>
      </w:r>
    </w:p>
    <w:p>
      <w:pPr>
        <w:jc w:val="right"/>
        <w:ind w:right="2800"/>
        <w:spacing w:after="0"/>
        <w:rPr>
          <w:sz w:val="20"/>
          <w:szCs w:val="20"/>
          <w:color w:val="auto"/>
        </w:rPr>
      </w:pPr>
      <w:r>
        <w:rPr>
          <w:rFonts w:ascii="Arial" w:cs="Arial" w:eastAsia="Arial" w:hAnsi="Arial"/>
          <w:sz w:val="13"/>
          <w:szCs w:val="13"/>
          <w:color w:val="auto"/>
        </w:rPr>
        <w:t>September 5, 2006 (Revised by R15003/R15007, April 4, 2016)</w:t>
      </w:r>
    </w:p>
    <w:p>
      <w:pPr>
        <w:sectPr>
          <w:pgSz w:w="11900" w:h="16838" w:orient="portrait"/>
          <w:cols w:equalWidth="0" w:num="2">
            <w:col w:w="4320" w:space="160"/>
            <w:col w:w="6500"/>
          </w:cols>
          <w:pgMar w:left="360" w:top="1440" w:right="5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20"/>
          <w:szCs w:val="20"/>
          <w:b w:val="1"/>
          <w:bCs w:val="1"/>
          <w:u w:val="single" w:color="auto"/>
          <w:color w:val="auto"/>
        </w:rPr>
        <w:t>Base Contract for Sale and Purchase of Natural Gas</w:t>
      </w:r>
    </w:p>
    <w:p>
      <w:pPr>
        <w:spacing w:after="0" w:line="83"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(Continued)</w:t>
      </w:r>
    </w:p>
    <w:p>
      <w:pPr>
        <w:spacing w:after="0" w:line="141" w:lineRule="exact"/>
        <w:rPr>
          <w:sz w:val="20"/>
          <w:szCs w:val="20"/>
          <w:color w:val="auto"/>
        </w:rPr>
      </w:pPr>
    </w:p>
    <w:p>
      <w:pPr>
        <w:jc w:val="both"/>
        <w:ind w:left="320"/>
        <w:spacing w:after="0" w:line="224" w:lineRule="auto"/>
        <w:rPr>
          <w:sz w:val="20"/>
          <w:szCs w:val="20"/>
          <w:color w:val="auto"/>
        </w:rPr>
      </w:pPr>
      <w:r>
        <w:rPr>
          <w:rFonts w:ascii="Arial" w:cs="Arial" w:eastAsia="Arial" w:hAnsi="Arial"/>
          <w:sz w:val="15"/>
          <w:szCs w:val="15"/>
          <w:color w:val="auto"/>
        </w:rPr>
        <w:t xml:space="preserve">This Base Contract incorporates by reference for all purposes the General Terms and Conditions for Sale and Purchase of Natural Gas published by the North American Energy Standards Board. The parties hereby agree to the following provisions offered in said General Terms and Conditions. In the event the parties fail to check a box, the specified default provision shall apply. </w:t>
      </w:r>
      <w:r>
        <w:rPr>
          <w:rFonts w:ascii="Arial" w:cs="Arial" w:eastAsia="Arial" w:hAnsi="Arial"/>
          <w:sz w:val="15"/>
          <w:szCs w:val="15"/>
          <w:u w:val="single" w:color="auto"/>
          <w:color w:val="auto"/>
        </w:rPr>
        <w:t>Select the appropriate box(es) from each section:</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4100" w:type="dxa"/>
            <w:vAlign w:val="bottom"/>
          </w:tcPr>
          <w:p>
            <w:pPr>
              <w:spacing w:after="0"/>
              <w:rPr>
                <w:sz w:val="20"/>
                <w:szCs w:val="20"/>
                <w:color w:val="auto"/>
              </w:rPr>
            </w:pPr>
            <w:r>
              <w:rPr>
                <w:rFonts w:ascii="Arial" w:cs="Arial" w:eastAsia="Arial" w:hAnsi="Arial"/>
                <w:sz w:val="13"/>
                <w:szCs w:val="13"/>
                <w:color w:val="auto"/>
              </w:rPr>
              <w:t>Page 2 of 13</w:t>
            </w:r>
          </w:p>
        </w:tc>
        <w:tc>
          <w:tcPr>
            <w:tcW w:w="4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40" w:top="173" w:right="879" w:bottom="1440" w:gutter="0" w:footer="0" w:header="0"/>
        </w:sectPr>
      </w:pPr>
    </w:p>
    <w:bookmarkStart w:id="81" w:name="page82"/>
    <w:bookmarkEnd w:id="81"/>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386"/>
        </w:trPr>
        <w:tc>
          <w:tcPr>
            <w:tcW w:w="180" w:type="dxa"/>
            <w:vAlign w:val="bottom"/>
            <w:tcBorders>
              <w:right w:val="single" w:sz="8" w:color="auto"/>
            </w:tcBorders>
          </w:tcPr>
          <w:p>
            <w:pPr>
              <w:spacing w:after="0"/>
              <w:rPr>
                <w:sz w:val="24"/>
                <w:szCs w:val="24"/>
                <w:color w:val="auto"/>
              </w:rPr>
            </w:pPr>
          </w:p>
        </w:tc>
        <w:tc>
          <w:tcPr>
            <w:tcW w:w="1820" w:type="dxa"/>
            <w:vAlign w:val="bottom"/>
            <w:tcBorders>
              <w:top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Section 1.2</w:t>
            </w: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vMerge w:val="restart"/>
          </w:tcPr>
          <w:p>
            <w:pPr>
              <w:ind w:left="40"/>
              <w:spacing w:after="0"/>
              <w:rPr>
                <w:sz w:val="20"/>
                <w:szCs w:val="20"/>
                <w:color w:val="auto"/>
              </w:rPr>
            </w:pPr>
            <w:r>
              <w:rPr>
                <w:rFonts w:ascii="Arial" w:cs="Arial" w:eastAsia="Arial" w:hAnsi="Arial"/>
                <w:sz w:val="15"/>
                <w:szCs w:val="15"/>
                <w:color w:val="auto"/>
              </w:rPr>
              <w:t>Oral (default) OR</w:t>
            </w:r>
          </w:p>
        </w:tc>
        <w:tc>
          <w:tcPr>
            <w:tcW w:w="1400" w:type="dxa"/>
            <w:vAlign w:val="bottom"/>
            <w:tcBorders>
              <w:top w:val="single" w:sz="8" w:color="auto"/>
              <w:right w:val="single" w:sz="8" w:color="auto"/>
            </w:tcBorders>
          </w:tcPr>
          <w:p>
            <w:pPr>
              <w:spacing w:after="0"/>
              <w:rPr>
                <w:sz w:val="24"/>
                <w:szCs w:val="24"/>
                <w:color w:val="auto"/>
              </w:rPr>
            </w:pPr>
          </w:p>
        </w:tc>
        <w:tc>
          <w:tcPr>
            <w:tcW w:w="128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Section 10.2</w:t>
            </w:r>
          </w:p>
        </w:tc>
        <w:tc>
          <w:tcPr>
            <w:tcW w:w="24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3400" w:type="dxa"/>
            <w:vAlign w:val="bottom"/>
            <w:tcBorders>
              <w:top w:val="single" w:sz="8" w:color="auto"/>
              <w:right w:val="single" w:sz="8" w:color="auto"/>
            </w:tcBorders>
            <w:gridSpan w:val="7"/>
            <w:vMerge w:val="restart"/>
          </w:tcPr>
          <w:p>
            <w:pPr>
              <w:ind w:left="280"/>
              <w:spacing w:after="0"/>
              <w:rPr>
                <w:sz w:val="20"/>
                <w:szCs w:val="20"/>
                <w:color w:val="auto"/>
              </w:rPr>
            </w:pPr>
            <w:r>
              <w:rPr>
                <w:rFonts w:ascii="Arial" w:cs="Arial" w:eastAsia="Arial" w:hAnsi="Arial"/>
                <w:sz w:val="15"/>
                <w:szCs w:val="15"/>
                <w:color w:val="auto"/>
              </w:rPr>
              <w:t>No Additional Events of Default (default)</w:t>
            </w:r>
          </w:p>
        </w:tc>
        <w:tc>
          <w:tcPr>
            <w:tcW w:w="0" w:type="dxa"/>
            <w:vAlign w:val="bottom"/>
          </w:tcPr>
          <w:p>
            <w:pPr>
              <w:spacing w:after="0"/>
              <w:rPr>
                <w:sz w:val="1"/>
                <w:szCs w:val="1"/>
                <w:color w:val="auto"/>
              </w:rPr>
            </w:pPr>
          </w:p>
        </w:tc>
      </w:tr>
      <w:tr>
        <w:trPr>
          <w:trHeight w:val="111"/>
        </w:trPr>
        <w:tc>
          <w:tcPr>
            <w:tcW w:w="180" w:type="dxa"/>
            <w:vAlign w:val="bottom"/>
            <w:tcBorders>
              <w:right w:val="single" w:sz="8" w:color="auto"/>
            </w:tcBorders>
          </w:tcPr>
          <w:p>
            <w:pPr>
              <w:spacing w:after="0"/>
              <w:rPr>
                <w:sz w:val="9"/>
                <w:szCs w:val="9"/>
                <w:color w:val="auto"/>
              </w:rPr>
            </w:pPr>
          </w:p>
        </w:tc>
        <w:tc>
          <w:tcPr>
            <w:tcW w:w="1820" w:type="dxa"/>
            <w:vAlign w:val="bottom"/>
            <w:gridSpan w:val="3"/>
            <w:vMerge w:val="restart"/>
          </w:tcPr>
          <w:p>
            <w:pPr>
              <w:ind w:left="60"/>
              <w:spacing w:after="0" w:line="148" w:lineRule="exact"/>
              <w:rPr>
                <w:sz w:val="20"/>
                <w:szCs w:val="20"/>
                <w:color w:val="auto"/>
              </w:rPr>
            </w:pPr>
            <w:r>
              <w:rPr>
                <w:rFonts w:ascii="Arial" w:cs="Arial" w:eastAsia="Arial" w:hAnsi="Arial"/>
                <w:sz w:val="15"/>
                <w:szCs w:val="15"/>
                <w:color w:val="auto"/>
              </w:rPr>
              <w:t>Transaction Procedure</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280" w:type="dxa"/>
            <w:vAlign w:val="bottom"/>
            <w:vMerge w:val="restart"/>
          </w:tcPr>
          <w:p>
            <w:pPr>
              <w:ind w:left="60"/>
              <w:spacing w:after="0" w:line="148" w:lineRule="exact"/>
              <w:rPr>
                <w:sz w:val="20"/>
                <w:szCs w:val="20"/>
                <w:color w:val="auto"/>
              </w:rPr>
            </w:pPr>
            <w:r>
              <w:rPr>
                <w:rFonts w:ascii="Arial" w:cs="Arial" w:eastAsia="Arial" w:hAnsi="Arial"/>
                <w:sz w:val="15"/>
                <w:szCs w:val="15"/>
                <w:color w:val="auto"/>
              </w:rPr>
              <w:t>Additional</w:t>
            </w:r>
          </w:p>
        </w:tc>
        <w:tc>
          <w:tcPr>
            <w:tcW w:w="240" w:type="dxa"/>
            <w:vAlign w:val="bottom"/>
            <w:vMerge w:val="continue"/>
          </w:tcPr>
          <w:p>
            <w:pPr>
              <w:spacing w:after="0"/>
              <w:rPr>
                <w:sz w:val="9"/>
                <w:szCs w:val="9"/>
                <w:color w:val="auto"/>
              </w:rPr>
            </w:pPr>
          </w:p>
        </w:tc>
        <w:tc>
          <w:tcPr>
            <w:tcW w:w="3400" w:type="dxa"/>
            <w:vAlign w:val="bottom"/>
            <w:tcBorders>
              <w:right w:val="single" w:sz="8" w:color="auto"/>
            </w:tcBorders>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80" w:type="dxa"/>
            <w:vAlign w:val="bottom"/>
            <w:tcBorders>
              <w:right w:val="single" w:sz="8" w:color="auto"/>
            </w:tcBorders>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220" w:type="dxa"/>
            <w:vAlign w:val="bottom"/>
            <w:vMerge w:val="restart"/>
          </w:tcPr>
          <w:p>
            <w:pPr>
              <w:ind w:left="120"/>
              <w:spacing w:after="0"/>
              <w:rPr>
                <w:sz w:val="20"/>
                <w:szCs w:val="20"/>
                <w:color w:val="auto"/>
              </w:rPr>
            </w:pPr>
            <w:r>
              <w:rPr>
                <w:rFonts w:ascii="Arial" w:cs="Arial" w:eastAsia="Arial" w:hAnsi="Arial"/>
                <w:sz w:val="15"/>
                <w:szCs w:val="15"/>
                <w:color w:val="auto"/>
                <w:w w:val="87"/>
              </w:rPr>
              <w:t>■</w:t>
            </w:r>
          </w:p>
        </w:tc>
        <w:tc>
          <w:tcPr>
            <w:tcW w:w="120" w:type="dxa"/>
            <w:vAlign w:val="bottom"/>
          </w:tcPr>
          <w:p>
            <w:pPr>
              <w:spacing w:after="0"/>
              <w:rPr>
                <w:sz w:val="3"/>
                <w:szCs w:val="3"/>
                <w:color w:val="auto"/>
              </w:rPr>
            </w:pPr>
          </w:p>
        </w:tc>
        <w:tc>
          <w:tcPr>
            <w:tcW w:w="2120" w:type="dxa"/>
            <w:vAlign w:val="bottom"/>
            <w:vMerge w:val="restart"/>
          </w:tcPr>
          <w:p>
            <w:pPr>
              <w:ind w:left="120"/>
              <w:spacing w:after="0"/>
              <w:rPr>
                <w:sz w:val="20"/>
                <w:szCs w:val="20"/>
                <w:color w:val="auto"/>
              </w:rPr>
            </w:pPr>
            <w:r>
              <w:rPr>
                <w:rFonts w:ascii="Arial" w:cs="Arial" w:eastAsia="Arial" w:hAnsi="Arial"/>
                <w:sz w:val="15"/>
                <w:szCs w:val="15"/>
                <w:color w:val="auto"/>
              </w:rPr>
              <w:t>Written</w:t>
            </w:r>
          </w:p>
        </w:tc>
        <w:tc>
          <w:tcPr>
            <w:tcW w:w="1400" w:type="dxa"/>
            <w:vAlign w:val="bottom"/>
            <w:tcBorders>
              <w:right w:val="single" w:sz="8" w:color="auto"/>
            </w:tcBorders>
          </w:tcPr>
          <w:p>
            <w:pPr>
              <w:spacing w:after="0"/>
              <w:rPr>
                <w:sz w:val="3"/>
                <w:szCs w:val="3"/>
                <w:color w:val="auto"/>
              </w:rPr>
            </w:pPr>
          </w:p>
        </w:tc>
        <w:tc>
          <w:tcPr>
            <w:tcW w:w="1280" w:type="dxa"/>
            <w:vAlign w:val="bottom"/>
            <w:vMerge w:val="continue"/>
          </w:tcPr>
          <w:p>
            <w:pPr>
              <w:spacing w:after="0"/>
              <w:rPr>
                <w:sz w:val="3"/>
                <w:szCs w:val="3"/>
                <w:color w:val="auto"/>
              </w:rPr>
            </w:pPr>
          </w:p>
        </w:tc>
        <w:tc>
          <w:tcPr>
            <w:tcW w:w="3640" w:type="dxa"/>
            <w:vAlign w:val="bottom"/>
            <w:tcBorders>
              <w:right w:val="single" w:sz="8" w:color="auto"/>
            </w:tcBorders>
            <w:gridSpan w:val="8"/>
            <w:vMerge w:val="restart"/>
          </w:tcPr>
          <w:p>
            <w:pPr>
              <w:spacing w:after="0"/>
              <w:rPr>
                <w:sz w:val="20"/>
                <w:szCs w:val="20"/>
                <w:color w:val="auto"/>
              </w:rPr>
            </w:pPr>
            <w:r>
              <w:rPr>
                <w:rFonts w:ascii="Arial" w:cs="Arial" w:eastAsia="Arial" w:hAnsi="Arial"/>
                <w:sz w:val="15"/>
                <w:szCs w:val="15"/>
                <w:color w:val="auto"/>
              </w:rPr>
              <w:t>Indebtedness Cross Default</w:t>
            </w:r>
          </w:p>
        </w:tc>
        <w:tc>
          <w:tcPr>
            <w:tcW w:w="0" w:type="dxa"/>
            <w:vAlign w:val="bottom"/>
          </w:tcPr>
          <w:p>
            <w:pPr>
              <w:spacing w:after="0" w:line="20" w:lineRule="exact"/>
              <w:rPr>
                <w:sz w:val="1"/>
                <w:szCs w:val="1"/>
                <w:color w:val="auto"/>
              </w:rPr>
            </w:pPr>
          </w:p>
        </w:tc>
      </w:tr>
      <w:tr>
        <w:trPr>
          <w:trHeight w:val="148"/>
        </w:trPr>
        <w:tc>
          <w:tcPr>
            <w:tcW w:w="18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80" w:type="dxa"/>
            <w:vAlign w:val="bottom"/>
          </w:tcPr>
          <w:p>
            <w:pPr>
              <w:ind w:left="60"/>
              <w:spacing w:after="0" w:line="148" w:lineRule="exact"/>
              <w:rPr>
                <w:sz w:val="20"/>
                <w:szCs w:val="20"/>
                <w:color w:val="auto"/>
              </w:rPr>
            </w:pPr>
            <w:r>
              <w:rPr>
                <w:rFonts w:ascii="Arial" w:cs="Arial" w:eastAsia="Arial" w:hAnsi="Arial"/>
                <w:sz w:val="15"/>
                <w:szCs w:val="15"/>
                <w:color w:val="auto"/>
              </w:rPr>
              <w:t>Events of</w:t>
            </w:r>
          </w:p>
        </w:tc>
        <w:tc>
          <w:tcPr>
            <w:tcW w:w="3640" w:type="dxa"/>
            <w:vAlign w:val="bottom"/>
            <w:tcBorders>
              <w:right w:val="single" w:sz="8" w:color="auto"/>
            </w:tcBorders>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80" w:type="dxa"/>
            <w:vAlign w:val="bottom"/>
            <w:tcBorders>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Default</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0" w:type="dxa"/>
            <w:vAlign w:val="bottom"/>
            <w:tcBorders>
              <w:right w:val="single" w:sz="8" w:color="auto"/>
            </w:tcBorders>
          </w:tcPr>
          <w:p>
            <w:pPr>
              <w:spacing w:after="0"/>
              <w:rPr>
                <w:sz w:val="5"/>
                <w:szCs w:val="5"/>
                <w:color w:val="auto"/>
              </w:rPr>
            </w:pPr>
          </w:p>
        </w:tc>
        <w:tc>
          <w:tcPr>
            <w:tcW w:w="18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Section 2.7</w:t>
            </w:r>
          </w:p>
        </w:tc>
        <w:tc>
          <w:tcPr>
            <w:tcW w:w="220" w:type="dxa"/>
            <w:vAlign w:val="bottom"/>
            <w:vMerge w:val="restart"/>
          </w:tcPr>
          <w:p>
            <w:pPr>
              <w:ind w:left="120"/>
              <w:spacing w:after="0"/>
              <w:rPr>
                <w:sz w:val="20"/>
                <w:szCs w:val="20"/>
                <w:color w:val="auto"/>
              </w:rPr>
            </w:pPr>
            <w:r>
              <w:rPr>
                <w:rFonts w:ascii="Arial" w:cs="Arial" w:eastAsia="Arial" w:hAnsi="Arial"/>
                <w:sz w:val="15"/>
                <w:szCs w:val="15"/>
                <w:color w:val="auto"/>
                <w:w w:val="87"/>
              </w:rPr>
              <w:t>■</w:t>
            </w:r>
          </w:p>
        </w:tc>
        <w:tc>
          <w:tcPr>
            <w:tcW w:w="120" w:type="dxa"/>
            <w:vAlign w:val="bottom"/>
          </w:tcPr>
          <w:p>
            <w:pPr>
              <w:spacing w:after="0"/>
              <w:rPr>
                <w:sz w:val="5"/>
                <w:szCs w:val="5"/>
                <w:color w:val="auto"/>
              </w:rPr>
            </w:pPr>
          </w:p>
        </w:tc>
        <w:tc>
          <w:tcPr>
            <w:tcW w:w="352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5"/>
                <w:szCs w:val="15"/>
                <w:color w:val="auto"/>
              </w:rPr>
              <w:t>2 Business Days after receipt (default) OR</w:t>
            </w:r>
          </w:p>
        </w:tc>
        <w:tc>
          <w:tcPr>
            <w:tcW w:w="1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5"/>
                <w:szCs w:val="15"/>
                <w:color w:val="auto"/>
              </w:rPr>
              <w:t>Party A:</w:t>
            </w:r>
          </w:p>
        </w:tc>
        <w:tc>
          <w:tcPr>
            <w:tcW w:w="160" w:type="dxa"/>
            <w:vAlign w:val="bottom"/>
          </w:tcPr>
          <w:p>
            <w:pPr>
              <w:spacing w:after="0"/>
              <w:rPr>
                <w:sz w:val="5"/>
                <w:szCs w:val="5"/>
                <w:color w:val="auto"/>
              </w:rPr>
            </w:pPr>
          </w:p>
        </w:tc>
        <w:tc>
          <w:tcPr>
            <w:tcW w:w="620" w:type="dxa"/>
            <w:vAlign w:val="bottom"/>
            <w:vMerge w:val="restart"/>
          </w:tcPr>
          <w:p>
            <w:pPr>
              <w:ind w:left="40"/>
              <w:spacing w:after="0"/>
              <w:rPr>
                <w:sz w:val="20"/>
                <w:szCs w:val="20"/>
                <w:color w:val="auto"/>
              </w:rPr>
            </w:pPr>
            <w:r>
              <w:rPr>
                <w:rFonts w:ascii="Arial" w:cs="Arial" w:eastAsia="Arial" w:hAnsi="Arial"/>
                <w:sz w:val="15"/>
                <w:szCs w:val="15"/>
                <w:color w:val="auto"/>
              </w:rPr>
              <w:t>Party B:</w:t>
            </w:r>
          </w:p>
        </w:tc>
        <w:tc>
          <w:tcPr>
            <w:tcW w:w="1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180" w:type="dxa"/>
            <w:vAlign w:val="bottom"/>
            <w:tcBorders>
              <w:right w:val="single" w:sz="8" w:color="auto"/>
            </w:tcBorders>
          </w:tcPr>
          <w:p>
            <w:pPr>
              <w:spacing w:after="0"/>
              <w:rPr>
                <w:sz w:val="24"/>
                <w:szCs w:val="24"/>
                <w:color w:val="auto"/>
              </w:rPr>
            </w:pPr>
          </w:p>
        </w:tc>
        <w:tc>
          <w:tcPr>
            <w:tcW w:w="1820" w:type="dxa"/>
            <w:vAlign w:val="bottom"/>
            <w:gridSpan w:val="3"/>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Borders>
              <w:right w:val="single" w:sz="8" w:color="auto"/>
            </w:tcBorders>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80" w:type="dxa"/>
            <w:vAlign w:val="bottom"/>
            <w:tcBorders>
              <w:right w:val="single" w:sz="8" w:color="auto"/>
            </w:tcBorders>
          </w:tcPr>
          <w:p>
            <w:pPr>
              <w:spacing w:after="0"/>
              <w:rPr>
                <w:sz w:val="9"/>
                <w:szCs w:val="9"/>
                <w:color w:val="auto"/>
              </w:rPr>
            </w:pPr>
          </w:p>
        </w:tc>
        <w:tc>
          <w:tcPr>
            <w:tcW w:w="1820" w:type="dxa"/>
            <w:vAlign w:val="bottom"/>
            <w:gridSpan w:val="3"/>
            <w:vMerge w:val="restart"/>
          </w:tcPr>
          <w:p>
            <w:pPr>
              <w:ind w:left="60"/>
              <w:spacing w:after="0"/>
              <w:rPr>
                <w:sz w:val="20"/>
                <w:szCs w:val="20"/>
                <w:color w:val="auto"/>
              </w:rPr>
            </w:pPr>
            <w:r>
              <w:rPr>
                <w:rFonts w:ascii="Arial" w:cs="Arial" w:eastAsia="Arial" w:hAnsi="Arial"/>
                <w:sz w:val="15"/>
                <w:szCs w:val="15"/>
                <w:color w:val="auto"/>
              </w:rPr>
              <w:t>Confirm Deadline</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vMerge w:val="restart"/>
          </w:tcPr>
          <w:p>
            <w:pPr>
              <w:ind w:left="40"/>
              <w:spacing w:after="0"/>
              <w:rPr>
                <w:sz w:val="20"/>
                <w:szCs w:val="20"/>
                <w:color w:val="auto"/>
              </w:rPr>
            </w:pPr>
            <w:r>
              <w:rPr>
                <w:rFonts w:ascii="Arial" w:cs="Arial" w:eastAsia="Arial" w:hAnsi="Arial"/>
                <w:sz w:val="15"/>
                <w:szCs w:val="15"/>
                <w:color w:val="auto"/>
              </w:rPr>
              <w:t>Business Days after receipt</w:t>
            </w:r>
          </w:p>
        </w:tc>
        <w:tc>
          <w:tcPr>
            <w:tcW w:w="1400" w:type="dxa"/>
            <w:vAlign w:val="bottom"/>
            <w:tcBorders>
              <w:right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vMerge w:val="restart"/>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80" w:type="dxa"/>
            <w:vAlign w:val="bottom"/>
            <w:tcBorders>
              <w:right w:val="single" w:sz="8" w:color="auto"/>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80" w:type="dxa"/>
            <w:vAlign w:val="bottom"/>
            <w:tcBorders>
              <w:right w:val="single" w:sz="8" w:color="auto"/>
            </w:tcBorders>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20" w:type="dxa"/>
            <w:vAlign w:val="bottom"/>
            <w:vMerge w:val="continue"/>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8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80" w:type="dxa"/>
            <w:vAlign w:val="bottom"/>
            <w:tcBorders>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tcBorders>
              <w:right w:val="single" w:sz="8" w:color="auto"/>
            </w:tcBorders>
            <w:gridSpan w:val="7"/>
            <w:vMerge w:val="restart"/>
          </w:tcPr>
          <w:p>
            <w:pPr>
              <w:ind w:left="340"/>
              <w:spacing w:after="0"/>
              <w:rPr>
                <w:sz w:val="20"/>
                <w:szCs w:val="20"/>
                <w:color w:val="auto"/>
              </w:rPr>
            </w:pPr>
            <w:r>
              <w:rPr>
                <w:rFonts w:ascii="Arial" w:cs="Arial" w:eastAsia="Arial" w:hAnsi="Arial"/>
                <w:sz w:val="15"/>
                <w:szCs w:val="15"/>
                <w:color w:val="auto"/>
              </w:rPr>
              <w:t>Transactional Cross Default</w:t>
            </w:r>
          </w:p>
        </w:tc>
        <w:tc>
          <w:tcPr>
            <w:tcW w:w="0" w:type="dxa"/>
            <w:vAlign w:val="bottom"/>
          </w:tcPr>
          <w:p>
            <w:pPr>
              <w:spacing w:after="0"/>
              <w:rPr>
                <w:sz w:val="1"/>
                <w:szCs w:val="1"/>
                <w:color w:val="auto"/>
              </w:rPr>
            </w:pPr>
          </w:p>
        </w:tc>
      </w:tr>
      <w:tr>
        <w:trPr>
          <w:trHeight w:val="209"/>
        </w:trPr>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tcBorders>
              <w:right w:val="single" w:sz="8" w:color="auto"/>
            </w:tcBorders>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80" w:type="dxa"/>
            <w:vAlign w:val="bottom"/>
            <w:tcBorders>
              <w:right w:val="single" w:sz="8" w:color="auto"/>
            </w:tcBorders>
          </w:tcPr>
          <w:p>
            <w:pPr>
              <w:spacing w:after="0"/>
              <w:rPr>
                <w:sz w:val="13"/>
                <w:szCs w:val="13"/>
                <w:color w:val="auto"/>
              </w:rPr>
            </w:pPr>
          </w:p>
        </w:tc>
        <w:tc>
          <w:tcPr>
            <w:tcW w:w="1820" w:type="dxa"/>
            <w:vAlign w:val="bottom"/>
            <w:gridSpan w:val="3"/>
          </w:tcPr>
          <w:p>
            <w:pPr>
              <w:ind w:left="60"/>
              <w:spacing w:after="0" w:line="157" w:lineRule="exact"/>
              <w:rPr>
                <w:sz w:val="20"/>
                <w:szCs w:val="20"/>
                <w:color w:val="auto"/>
              </w:rPr>
            </w:pPr>
            <w:r>
              <w:rPr>
                <w:rFonts w:ascii="Arial" w:cs="Arial" w:eastAsia="Arial" w:hAnsi="Arial"/>
                <w:sz w:val="15"/>
                <w:szCs w:val="15"/>
                <w:b w:val="1"/>
                <w:bCs w:val="1"/>
                <w:color w:val="auto"/>
              </w:rPr>
              <w:t>Section 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vMerge w:val="restart"/>
          </w:tcPr>
          <w:p>
            <w:pPr>
              <w:ind w:left="40"/>
              <w:spacing w:after="0"/>
              <w:rPr>
                <w:sz w:val="20"/>
                <w:szCs w:val="20"/>
                <w:color w:val="auto"/>
              </w:rPr>
            </w:pPr>
            <w:r>
              <w:rPr>
                <w:rFonts w:ascii="Arial" w:cs="Arial" w:eastAsia="Arial" w:hAnsi="Arial"/>
                <w:sz w:val="15"/>
                <w:szCs w:val="15"/>
                <w:color w:val="auto"/>
              </w:rPr>
              <w:t>Seller (default) OR</w:t>
            </w:r>
          </w:p>
        </w:tc>
        <w:tc>
          <w:tcPr>
            <w:tcW w:w="140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80" w:type="dxa"/>
            <w:vAlign w:val="bottom"/>
            <w:tcBorders>
              <w:right w:val="single" w:sz="8" w:color="auto"/>
            </w:tcBorders>
          </w:tcPr>
          <w:p>
            <w:pPr>
              <w:spacing w:after="0"/>
              <w:rPr>
                <w:sz w:val="10"/>
                <w:szCs w:val="10"/>
                <w:color w:val="auto"/>
              </w:rPr>
            </w:pPr>
          </w:p>
        </w:tc>
        <w:tc>
          <w:tcPr>
            <w:tcW w:w="1820" w:type="dxa"/>
            <w:vAlign w:val="bottom"/>
            <w:gridSpan w:val="3"/>
            <w:vMerge w:val="restart"/>
          </w:tcPr>
          <w:p>
            <w:pPr>
              <w:ind w:left="60"/>
              <w:spacing w:after="0"/>
              <w:rPr>
                <w:sz w:val="20"/>
                <w:szCs w:val="20"/>
                <w:color w:val="auto"/>
              </w:rPr>
            </w:pPr>
            <w:r>
              <w:rPr>
                <w:rFonts w:ascii="Arial" w:cs="Arial" w:eastAsia="Arial" w:hAnsi="Arial"/>
                <w:sz w:val="15"/>
                <w:szCs w:val="15"/>
                <w:color w:val="auto"/>
              </w:rPr>
              <w:t>Confirming Party</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80" w:type="dxa"/>
            <w:vAlign w:val="bottom"/>
            <w:tcBorders>
              <w:right w:val="single" w:sz="8" w:color="auto"/>
            </w:tcBorders>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20" w:type="dxa"/>
            <w:vAlign w:val="bottom"/>
            <w:vMerge w:val="restart"/>
          </w:tcPr>
          <w:p>
            <w:pPr>
              <w:ind w:left="40"/>
              <w:spacing w:after="0"/>
              <w:rPr>
                <w:sz w:val="20"/>
                <w:szCs w:val="20"/>
                <w:color w:val="auto"/>
              </w:rPr>
            </w:pPr>
            <w:r>
              <w:rPr>
                <w:rFonts w:ascii="Arial" w:cs="Arial" w:eastAsia="Arial" w:hAnsi="Arial"/>
                <w:sz w:val="15"/>
                <w:szCs w:val="15"/>
                <w:color w:val="auto"/>
              </w:rPr>
              <w:t>Buyer</w:t>
            </w:r>
          </w:p>
        </w:tc>
        <w:tc>
          <w:tcPr>
            <w:tcW w:w="140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8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vMerge w:val="continue"/>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ind w:left="120"/>
              <w:spacing w:after="0"/>
              <w:rPr>
                <w:sz w:val="20"/>
                <w:szCs w:val="20"/>
                <w:color w:val="auto"/>
              </w:rPr>
            </w:pPr>
            <w:r>
              <w:rPr>
                <w:rFonts w:ascii="Arial" w:cs="Arial" w:eastAsia="Arial" w:hAnsi="Arial"/>
                <w:sz w:val="15"/>
                <w:szCs w:val="15"/>
                <w:color w:val="auto"/>
                <w:w w:val="87"/>
              </w:rPr>
              <w:t>■</w:t>
            </w:r>
          </w:p>
        </w:tc>
        <w:tc>
          <w:tcPr>
            <w:tcW w:w="120" w:type="dxa"/>
            <w:vAlign w:val="bottom"/>
          </w:tcPr>
          <w:p>
            <w:pPr>
              <w:spacing w:after="0"/>
              <w:rPr>
                <w:sz w:val="16"/>
                <w:szCs w:val="16"/>
                <w:color w:val="auto"/>
              </w:rPr>
            </w:pPr>
          </w:p>
        </w:tc>
        <w:tc>
          <w:tcPr>
            <w:tcW w:w="2120" w:type="dxa"/>
            <w:vAlign w:val="bottom"/>
          </w:tcPr>
          <w:p>
            <w:pPr>
              <w:ind w:left="80"/>
              <w:spacing w:after="0"/>
              <w:rPr>
                <w:sz w:val="20"/>
                <w:szCs w:val="20"/>
                <w:color w:val="auto"/>
              </w:rPr>
            </w:pPr>
            <w:r>
              <w:rPr>
                <w:rFonts w:ascii="Arial" w:cs="Arial" w:eastAsia="Arial" w:hAnsi="Arial"/>
                <w:sz w:val="15"/>
                <w:szCs w:val="15"/>
                <w:color w:val="auto"/>
              </w:rPr>
              <w:t>Buyer and Seller</w:t>
            </w:r>
          </w:p>
        </w:tc>
        <w:tc>
          <w:tcPr>
            <w:tcW w:w="140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180" w:type="dxa"/>
            <w:vAlign w:val="bottom"/>
            <w:tcBorders>
              <w:right w:val="single" w:sz="8" w:color="auto"/>
            </w:tcBorders>
          </w:tcPr>
          <w:p>
            <w:pPr>
              <w:spacing w:after="0"/>
              <w:rPr>
                <w:sz w:val="24"/>
                <w:szCs w:val="24"/>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b w:val="1"/>
                <w:bCs w:val="1"/>
                <w:color w:val="auto"/>
              </w:rPr>
              <w:t>Section 3.2</w:t>
            </w:r>
          </w:p>
        </w:tc>
        <w:tc>
          <w:tcPr>
            <w:tcW w:w="220" w:type="dxa"/>
            <w:vAlign w:val="bottom"/>
          </w:tcPr>
          <w:p>
            <w:pPr>
              <w:ind w:left="120"/>
              <w:spacing w:after="0"/>
              <w:rPr>
                <w:sz w:val="20"/>
                <w:szCs w:val="20"/>
                <w:color w:val="auto"/>
              </w:rPr>
            </w:pPr>
            <w:r>
              <w:rPr>
                <w:rFonts w:ascii="Arial" w:cs="Arial" w:eastAsia="Arial" w:hAnsi="Arial"/>
                <w:sz w:val="15"/>
                <w:szCs w:val="15"/>
                <w:color w:val="auto"/>
                <w:w w:val="87"/>
              </w:rPr>
              <w:t>■</w:t>
            </w:r>
          </w:p>
        </w:tc>
        <w:tc>
          <w:tcPr>
            <w:tcW w:w="120" w:type="dxa"/>
            <w:vAlign w:val="bottom"/>
          </w:tcPr>
          <w:p>
            <w:pPr>
              <w:spacing w:after="0"/>
              <w:rPr>
                <w:sz w:val="24"/>
                <w:szCs w:val="24"/>
                <w:color w:val="auto"/>
              </w:rPr>
            </w:pPr>
          </w:p>
        </w:tc>
        <w:tc>
          <w:tcPr>
            <w:tcW w:w="3520" w:type="dxa"/>
            <w:vAlign w:val="bottom"/>
            <w:tcBorders>
              <w:right w:val="single" w:sz="8" w:color="auto"/>
            </w:tcBorders>
            <w:gridSpan w:val="2"/>
          </w:tcPr>
          <w:p>
            <w:pPr>
              <w:ind w:left="300"/>
              <w:spacing w:after="0"/>
              <w:rPr>
                <w:sz w:val="20"/>
                <w:szCs w:val="20"/>
                <w:color w:val="auto"/>
              </w:rPr>
            </w:pPr>
            <w:r>
              <w:rPr>
                <w:rFonts w:ascii="Arial" w:cs="Arial" w:eastAsia="Arial" w:hAnsi="Arial"/>
                <w:sz w:val="15"/>
                <w:szCs w:val="15"/>
                <w:color w:val="auto"/>
              </w:rPr>
              <w:t>Cover Standard (default) OR</w:t>
            </w:r>
          </w:p>
        </w:tc>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Section</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gridSpan w:val="7"/>
          </w:tcPr>
          <w:p>
            <w:pPr>
              <w:ind w:left="280"/>
              <w:spacing w:after="0"/>
              <w:rPr>
                <w:sz w:val="20"/>
                <w:szCs w:val="20"/>
                <w:color w:val="auto"/>
              </w:rPr>
            </w:pPr>
            <w:r>
              <w:rPr>
                <w:rFonts w:ascii="Arial" w:cs="Arial" w:eastAsia="Arial" w:hAnsi="Arial"/>
                <w:sz w:val="15"/>
                <w:szCs w:val="15"/>
                <w:color w:val="auto"/>
              </w:rPr>
              <w:t>Early Termination Damages Apply</w:t>
            </w:r>
          </w:p>
        </w:tc>
        <w:tc>
          <w:tcPr>
            <w:tcW w:w="0" w:type="dxa"/>
            <w:vAlign w:val="bottom"/>
          </w:tcPr>
          <w:p>
            <w:pPr>
              <w:spacing w:after="0"/>
              <w:rPr>
                <w:sz w:val="1"/>
                <w:szCs w:val="1"/>
                <w:color w:val="auto"/>
              </w:rPr>
            </w:pPr>
          </w:p>
        </w:tc>
      </w:tr>
      <w:tr>
        <w:trPr>
          <w:trHeight w:val="173"/>
        </w:trPr>
        <w:tc>
          <w:tcPr>
            <w:tcW w:w="180" w:type="dxa"/>
            <w:vAlign w:val="bottom"/>
            <w:tcBorders>
              <w:right w:val="single" w:sz="8" w:color="auto"/>
            </w:tcBorders>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color w:val="auto"/>
              </w:rPr>
              <w:t>Performance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vMerge w:val="restart"/>
          </w:tcPr>
          <w:p>
            <w:pPr>
              <w:ind w:left="40"/>
              <w:spacing w:after="0"/>
              <w:rPr>
                <w:sz w:val="20"/>
                <w:szCs w:val="20"/>
                <w:color w:val="auto"/>
              </w:rPr>
            </w:pPr>
            <w:r>
              <w:rPr>
                <w:rFonts w:ascii="Arial" w:cs="Arial" w:eastAsia="Arial" w:hAnsi="Arial"/>
                <w:sz w:val="15"/>
                <w:szCs w:val="15"/>
                <w:color w:val="auto"/>
              </w:rPr>
              <w:t>Spot Price Standard</w:t>
            </w:r>
          </w:p>
        </w:tc>
        <w:tc>
          <w:tcPr>
            <w:tcW w:w="1400" w:type="dxa"/>
            <w:vAlign w:val="bottom"/>
            <w:tcBorders>
              <w:right w:val="single" w:sz="8" w:color="auto"/>
            </w:tcBorders>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10.3.1</w:t>
            </w:r>
          </w:p>
        </w:tc>
        <w:tc>
          <w:tcPr>
            <w:tcW w:w="1060" w:type="dxa"/>
            <w:vAlign w:val="bottom"/>
            <w:gridSpan w:val="3"/>
          </w:tcPr>
          <w:p>
            <w:pPr>
              <w:spacing w:after="0"/>
              <w:rPr>
                <w:sz w:val="20"/>
                <w:szCs w:val="20"/>
                <w:color w:val="auto"/>
              </w:rPr>
            </w:pPr>
            <w:r>
              <w:rPr>
                <w:rFonts w:ascii="Arial" w:cs="Arial" w:eastAsia="Arial" w:hAnsi="Arial"/>
                <w:sz w:val="15"/>
                <w:szCs w:val="15"/>
                <w:color w:val="auto"/>
              </w:rPr>
              <w:t>(default)</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80" w:type="dxa"/>
            <w:vAlign w:val="bottom"/>
            <w:tcBorders>
              <w:right w:val="single" w:sz="8" w:color="auto"/>
            </w:tcBorders>
          </w:tcPr>
          <w:p>
            <w:pPr>
              <w:spacing w:after="0"/>
              <w:rPr>
                <w:sz w:val="9"/>
                <w:szCs w:val="9"/>
                <w:color w:val="auto"/>
              </w:rPr>
            </w:pPr>
          </w:p>
        </w:tc>
        <w:tc>
          <w:tcPr>
            <w:tcW w:w="1820" w:type="dxa"/>
            <w:vAlign w:val="bottom"/>
            <w:gridSpan w:val="3"/>
            <w:vMerge w:val="restart"/>
          </w:tcPr>
          <w:p>
            <w:pPr>
              <w:ind w:left="60"/>
              <w:spacing w:after="0"/>
              <w:rPr>
                <w:sz w:val="20"/>
                <w:szCs w:val="20"/>
                <w:color w:val="auto"/>
              </w:rPr>
            </w:pPr>
            <w:r>
              <w:rPr>
                <w:rFonts w:ascii="Arial" w:cs="Arial" w:eastAsia="Arial" w:hAnsi="Arial"/>
                <w:sz w:val="15"/>
                <w:szCs w:val="15"/>
                <w:color w:val="auto"/>
              </w:rPr>
              <w:t>Obligation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280" w:type="dxa"/>
            <w:vAlign w:val="bottom"/>
          </w:tcPr>
          <w:p>
            <w:pPr>
              <w:ind w:left="60"/>
              <w:spacing w:after="0" w:line="115" w:lineRule="exact"/>
              <w:rPr>
                <w:sz w:val="20"/>
                <w:szCs w:val="20"/>
                <w:color w:val="auto"/>
              </w:rPr>
            </w:pPr>
            <w:r>
              <w:rPr>
                <w:rFonts w:ascii="Arial" w:cs="Arial" w:eastAsia="Arial" w:hAnsi="Arial"/>
                <w:sz w:val="13"/>
                <w:szCs w:val="13"/>
                <w:color w:val="auto"/>
              </w:rPr>
              <w:t>Early</w:t>
            </w:r>
          </w:p>
        </w:tc>
        <w:tc>
          <w:tcPr>
            <w:tcW w:w="240" w:type="dxa"/>
            <w:vAlign w:val="bottom"/>
            <w:vMerge w:val="restart"/>
          </w:tcPr>
          <w:p>
            <w:pPr>
              <w:spacing w:after="0"/>
              <w:rPr>
                <w:sz w:val="20"/>
                <w:szCs w:val="20"/>
                <w:color w:val="auto"/>
              </w:rPr>
            </w:pPr>
            <w:r>
              <w:rPr>
                <w:rFonts w:ascii="Arial" w:cs="Arial" w:eastAsia="Arial" w:hAnsi="Arial"/>
                <w:sz w:val="15"/>
                <w:szCs w:val="15"/>
                <w:color w:val="auto"/>
                <w:w w:val="97"/>
              </w:rPr>
              <w:t>OR</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 w:type="dxa"/>
            <w:vAlign w:val="bottom"/>
            <w:tcBorders>
              <w:right w:val="single" w:sz="8" w:color="auto"/>
            </w:tcBorders>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280" w:type="dxa"/>
            <w:vAlign w:val="bottom"/>
            <w:vMerge w:val="restart"/>
          </w:tcPr>
          <w:p>
            <w:pPr>
              <w:ind w:left="60"/>
              <w:spacing w:after="0" w:line="148" w:lineRule="exact"/>
              <w:rPr>
                <w:sz w:val="20"/>
                <w:szCs w:val="20"/>
                <w:color w:val="auto"/>
              </w:rPr>
            </w:pPr>
            <w:r>
              <w:rPr>
                <w:rFonts w:ascii="Arial" w:cs="Arial" w:eastAsia="Arial" w:hAnsi="Arial"/>
                <w:sz w:val="15"/>
                <w:szCs w:val="15"/>
                <w:color w:val="auto"/>
              </w:rPr>
              <w:t>Termination</w:t>
            </w:r>
          </w:p>
        </w:tc>
        <w:tc>
          <w:tcPr>
            <w:tcW w:w="2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80" w:type="dxa"/>
            <w:vAlign w:val="bottom"/>
            <w:tcBorders>
              <w:right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12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80" w:type="dxa"/>
            <w:vAlign w:val="bottom"/>
            <w:tcBorders>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Damages</w:t>
            </w:r>
          </w:p>
        </w:tc>
        <w:tc>
          <w:tcPr>
            <w:tcW w:w="240" w:type="dxa"/>
            <w:vAlign w:val="bottom"/>
            <w:tcBorders>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5"/>
                <w:szCs w:val="15"/>
                <w:color w:val="auto"/>
              </w:rPr>
              <w:t>Early Termination Damages Do Not Apply</w:t>
            </w:r>
          </w:p>
        </w:tc>
        <w:tc>
          <w:tcPr>
            <w:tcW w:w="0" w:type="dxa"/>
            <w:vAlign w:val="bottom"/>
          </w:tcPr>
          <w:p>
            <w:pPr>
              <w:spacing w:after="0"/>
              <w:rPr>
                <w:sz w:val="1"/>
                <w:szCs w:val="1"/>
                <w:color w:val="auto"/>
              </w:rPr>
            </w:pPr>
          </w:p>
        </w:tc>
      </w:tr>
      <w:tr>
        <w:trPr>
          <w:trHeight w:val="156"/>
        </w:trPr>
        <w:tc>
          <w:tcPr>
            <w:tcW w:w="180" w:type="dxa"/>
            <w:vAlign w:val="bottom"/>
            <w:tcBorders>
              <w:right w:val="single" w:sz="8" w:color="auto"/>
            </w:tcBorders>
          </w:tcPr>
          <w:p>
            <w:pPr>
              <w:spacing w:after="0"/>
              <w:rPr>
                <w:sz w:val="13"/>
                <w:szCs w:val="13"/>
                <w:color w:val="auto"/>
              </w:rPr>
            </w:pPr>
          </w:p>
        </w:tc>
        <w:tc>
          <w:tcPr>
            <w:tcW w:w="5680" w:type="dxa"/>
            <w:vAlign w:val="bottom"/>
            <w:tcBorders>
              <w:right w:val="single" w:sz="8" w:color="auto"/>
            </w:tcBorders>
            <w:gridSpan w:val="7"/>
          </w:tcPr>
          <w:p>
            <w:pPr>
              <w:ind w:left="60"/>
              <w:spacing w:after="0" w:line="156" w:lineRule="exact"/>
              <w:rPr>
                <w:sz w:val="20"/>
                <w:szCs w:val="20"/>
                <w:color w:val="auto"/>
              </w:rPr>
            </w:pPr>
            <w:r>
              <w:rPr>
                <w:rFonts w:ascii="Arial" w:cs="Arial" w:eastAsia="Arial" w:hAnsi="Arial"/>
                <w:sz w:val="15"/>
                <w:szCs w:val="15"/>
                <w:b w:val="1"/>
                <w:bCs w:val="1"/>
                <w:i w:val="1"/>
                <w:iCs w:val="1"/>
                <w:color w:val="auto"/>
              </w:rPr>
              <w:t>Note: The following Spot Price Publication applies to both of the</w:t>
            </w: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 w:type="dxa"/>
            <w:vAlign w:val="bottom"/>
            <w:tcBorders>
              <w:right w:val="single" w:sz="8" w:color="auto"/>
            </w:tcBorders>
          </w:tcPr>
          <w:p>
            <w:pPr>
              <w:spacing w:after="0"/>
              <w:rPr>
                <w:sz w:val="18"/>
                <w:szCs w:val="18"/>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i w:val="1"/>
                <w:iCs w:val="1"/>
                <w:color w:val="auto"/>
              </w:rPr>
              <w:t>immediately preceding.</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Section</w:t>
            </w:r>
          </w:p>
        </w:tc>
        <w:tc>
          <w:tcPr>
            <w:tcW w:w="3640" w:type="dxa"/>
            <w:vAlign w:val="bottom"/>
            <w:tcBorders>
              <w:right w:val="single" w:sz="8" w:color="auto"/>
            </w:tcBorders>
            <w:gridSpan w:val="8"/>
          </w:tcPr>
          <w:p>
            <w:pPr>
              <w:spacing w:after="0"/>
              <w:rPr>
                <w:sz w:val="20"/>
                <w:szCs w:val="20"/>
                <w:color w:val="auto"/>
              </w:rPr>
            </w:pPr>
            <w:r>
              <w:rPr>
                <w:rFonts w:ascii="Arial" w:cs="Arial" w:eastAsia="Arial" w:hAnsi="Arial"/>
                <w:sz w:val="15"/>
                <w:szCs w:val="15"/>
                <w:color w:val="auto"/>
              </w:rPr>
              <w:t>■   Other Agreement Setoffs Apply (default)</w:t>
            </w:r>
          </w:p>
        </w:tc>
        <w:tc>
          <w:tcPr>
            <w:tcW w:w="0" w:type="dxa"/>
            <w:vAlign w:val="bottom"/>
          </w:tcPr>
          <w:p>
            <w:pPr>
              <w:spacing w:after="0"/>
              <w:rPr>
                <w:sz w:val="1"/>
                <w:szCs w:val="1"/>
                <w:color w:val="auto"/>
              </w:rPr>
            </w:pPr>
          </w:p>
        </w:tc>
      </w:tr>
      <w:tr>
        <w:trPr>
          <w:trHeight w:val="132"/>
        </w:trPr>
        <w:tc>
          <w:tcPr>
            <w:tcW w:w="180" w:type="dxa"/>
            <w:vAlign w:val="bottom"/>
            <w:tcBorders>
              <w:right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280" w:type="dxa"/>
            <w:vAlign w:val="bottom"/>
          </w:tcPr>
          <w:p>
            <w:pPr>
              <w:ind w:left="60"/>
              <w:spacing w:after="0" w:line="132" w:lineRule="exact"/>
              <w:rPr>
                <w:sz w:val="20"/>
                <w:szCs w:val="20"/>
                <w:color w:val="auto"/>
              </w:rPr>
            </w:pPr>
            <w:r>
              <w:rPr>
                <w:rFonts w:ascii="Arial" w:cs="Arial" w:eastAsia="Arial" w:hAnsi="Arial"/>
                <w:sz w:val="15"/>
                <w:szCs w:val="15"/>
                <w:b w:val="1"/>
                <w:bCs w:val="1"/>
                <w:color w:val="auto"/>
              </w:rPr>
              <w:t>10.3.2</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auto"/>
            </w:tcBorders>
          </w:tcPr>
          <w:p>
            <w:pPr>
              <w:spacing w:after="0"/>
              <w:rPr>
                <w:sz w:val="12"/>
                <w:szCs w:val="12"/>
                <w:color w:val="auto"/>
              </w:rPr>
            </w:pPr>
          </w:p>
        </w:tc>
        <w:tc>
          <w:tcPr>
            <w:tcW w:w="18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Section 2.31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80" w:type="dxa"/>
            <w:vAlign w:val="bottom"/>
          </w:tcPr>
          <w:p>
            <w:pPr>
              <w:ind w:left="60"/>
              <w:spacing w:after="0" w:line="148" w:lineRule="exact"/>
              <w:rPr>
                <w:sz w:val="20"/>
                <w:szCs w:val="20"/>
                <w:color w:val="auto"/>
              </w:rPr>
            </w:pPr>
            <w:r>
              <w:rPr>
                <w:rFonts w:ascii="Arial" w:cs="Arial" w:eastAsia="Arial" w:hAnsi="Arial"/>
                <w:sz w:val="15"/>
                <w:szCs w:val="15"/>
                <w:color w:val="auto"/>
              </w:rPr>
              <w:t>Other</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80" w:type="dxa"/>
            <w:vAlign w:val="bottom"/>
            <w:tcBorders>
              <w:right w:val="single" w:sz="8" w:color="auto"/>
            </w:tcBorders>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Borders>
              <w:right w:val="single" w:sz="8" w:color="auto"/>
            </w:tcBorders>
            <w:gridSpan w:val="2"/>
            <w:vMerge w:val="restart"/>
          </w:tcPr>
          <w:p>
            <w:pPr>
              <w:ind w:left="120"/>
              <w:spacing w:after="0" w:line="156" w:lineRule="exact"/>
              <w:rPr>
                <w:sz w:val="20"/>
                <w:szCs w:val="20"/>
                <w:color w:val="auto"/>
              </w:rPr>
            </w:pPr>
            <w:r>
              <w:rPr>
                <w:rFonts w:ascii="Arial" w:cs="Arial" w:eastAsia="Arial" w:hAnsi="Arial"/>
                <w:sz w:val="15"/>
                <w:szCs w:val="15"/>
                <w:color w:val="auto"/>
              </w:rPr>
              <w:t>Gas Daily Midpoint (default) OR</w:t>
            </w:r>
          </w:p>
        </w:tc>
        <w:tc>
          <w:tcPr>
            <w:tcW w:w="1280" w:type="dxa"/>
            <w:vAlign w:val="bottom"/>
            <w:vMerge w:val="restart"/>
          </w:tcPr>
          <w:p>
            <w:pPr>
              <w:ind w:left="60"/>
              <w:spacing w:after="0" w:line="156" w:lineRule="exact"/>
              <w:rPr>
                <w:sz w:val="20"/>
                <w:szCs w:val="20"/>
                <w:color w:val="auto"/>
              </w:rPr>
            </w:pPr>
            <w:r>
              <w:rPr>
                <w:rFonts w:ascii="Arial" w:cs="Arial" w:eastAsia="Arial" w:hAnsi="Arial"/>
                <w:sz w:val="15"/>
                <w:szCs w:val="15"/>
                <w:color w:val="auto"/>
              </w:rPr>
              <w:t>Agreement</w:t>
            </w:r>
          </w:p>
        </w:tc>
        <w:tc>
          <w:tcPr>
            <w:tcW w:w="240" w:type="dxa"/>
            <w:vAlign w:val="bottom"/>
          </w:tcPr>
          <w:p>
            <w:pPr>
              <w:spacing w:after="0"/>
              <w:rPr>
                <w:sz w:val="10"/>
                <w:szCs w:val="10"/>
                <w:color w:val="auto"/>
              </w:rPr>
            </w:pPr>
          </w:p>
        </w:tc>
        <w:tc>
          <w:tcPr>
            <w:tcW w:w="820" w:type="dxa"/>
            <w:vAlign w:val="bottom"/>
            <w:gridSpan w:val="2"/>
            <w:vMerge w:val="restart"/>
          </w:tcPr>
          <w:p>
            <w:pPr>
              <w:ind w:left="400"/>
              <w:spacing w:after="0" w:line="156" w:lineRule="exact"/>
              <w:rPr>
                <w:sz w:val="20"/>
                <w:szCs w:val="20"/>
                <w:color w:val="auto"/>
              </w:rPr>
            </w:pPr>
            <w:r>
              <w:rPr>
                <w:rFonts w:ascii="Arial" w:cs="Arial" w:eastAsia="Arial" w:hAnsi="Arial"/>
                <w:sz w:val="15"/>
                <w:szCs w:val="15"/>
                <w:color w:val="auto"/>
              </w:rPr>
              <w:t>■</w:t>
            </w:r>
          </w:p>
        </w:tc>
        <w:tc>
          <w:tcPr>
            <w:tcW w:w="2580" w:type="dxa"/>
            <w:vAlign w:val="bottom"/>
            <w:tcBorders>
              <w:right w:val="single" w:sz="8" w:color="auto"/>
            </w:tcBorders>
            <w:gridSpan w:val="5"/>
            <w:vMerge w:val="restart"/>
          </w:tcPr>
          <w:p>
            <w:pPr>
              <w:ind w:left="60"/>
              <w:spacing w:after="0" w:line="156" w:lineRule="exact"/>
              <w:rPr>
                <w:sz w:val="20"/>
                <w:szCs w:val="20"/>
                <w:color w:val="auto"/>
              </w:rPr>
            </w:pPr>
            <w:r>
              <w:rPr>
                <w:rFonts w:ascii="Arial" w:cs="Arial" w:eastAsia="Arial" w:hAnsi="Arial"/>
                <w:sz w:val="15"/>
                <w:szCs w:val="15"/>
                <w:color w:val="auto"/>
              </w:rPr>
              <w:t>Bilateral (default)</w:t>
            </w:r>
          </w:p>
        </w:tc>
        <w:tc>
          <w:tcPr>
            <w:tcW w:w="0" w:type="dxa"/>
            <w:vAlign w:val="bottom"/>
          </w:tcPr>
          <w:p>
            <w:pPr>
              <w:spacing w:after="0"/>
              <w:rPr>
                <w:sz w:val="1"/>
                <w:szCs w:val="1"/>
                <w:color w:val="auto"/>
              </w:rPr>
            </w:pPr>
          </w:p>
        </w:tc>
      </w:tr>
      <w:tr>
        <w:trPr>
          <w:trHeight w:val="33"/>
        </w:trPr>
        <w:tc>
          <w:tcPr>
            <w:tcW w:w="180" w:type="dxa"/>
            <w:vAlign w:val="bottom"/>
            <w:tcBorders>
              <w:right w:val="single" w:sz="8" w:color="auto"/>
            </w:tcBorders>
          </w:tcPr>
          <w:p>
            <w:pPr>
              <w:spacing w:after="0"/>
              <w:rPr>
                <w:sz w:val="2"/>
                <w:szCs w:val="2"/>
                <w:color w:val="auto"/>
              </w:rPr>
            </w:pPr>
          </w:p>
        </w:tc>
        <w:tc>
          <w:tcPr>
            <w:tcW w:w="1820" w:type="dxa"/>
            <w:vAlign w:val="bottom"/>
            <w:gridSpan w:val="3"/>
            <w:vMerge w:val="restart"/>
          </w:tcPr>
          <w:p>
            <w:pPr>
              <w:ind w:left="60"/>
              <w:spacing w:after="0"/>
              <w:rPr>
                <w:sz w:val="20"/>
                <w:szCs w:val="20"/>
                <w:color w:val="auto"/>
              </w:rPr>
            </w:pPr>
            <w:r>
              <w:rPr>
                <w:rFonts w:ascii="Arial" w:cs="Arial" w:eastAsia="Arial" w:hAnsi="Arial"/>
                <w:sz w:val="15"/>
                <w:szCs w:val="15"/>
                <w:color w:val="auto"/>
              </w:rPr>
              <w:t>Spot Price</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right w:val="single" w:sz="8" w:color="auto"/>
            </w:tcBorders>
            <w:gridSpan w:val="2"/>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580" w:type="dxa"/>
            <w:vAlign w:val="bottom"/>
            <w:tcBorders>
              <w:right w:val="single" w:sz="8" w:color="auto"/>
            </w:tcBorders>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tcBorders>
              <w:right w:val="single" w:sz="8" w:color="auto"/>
            </w:tcBorders>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Setoffs</w:t>
            </w:r>
          </w:p>
        </w:tc>
        <w:tc>
          <w:tcPr>
            <w:tcW w:w="240" w:type="dxa"/>
            <w:vAlign w:val="bottom"/>
          </w:tcPr>
          <w:p>
            <w:pPr>
              <w:spacing w:after="0"/>
              <w:rPr>
                <w:sz w:val="15"/>
                <w:szCs w:val="15"/>
                <w:color w:val="auto"/>
              </w:rPr>
            </w:pPr>
          </w:p>
        </w:tc>
        <w:tc>
          <w:tcPr>
            <w:tcW w:w="1180" w:type="dxa"/>
            <w:vAlign w:val="bottom"/>
            <w:gridSpan w:val="3"/>
          </w:tcPr>
          <w:p>
            <w:pPr>
              <w:ind w:left="400"/>
              <w:spacing w:after="0"/>
              <w:rPr>
                <w:sz w:val="20"/>
                <w:szCs w:val="20"/>
                <w:color w:val="auto"/>
              </w:rPr>
            </w:pPr>
            <w:r>
              <w:rPr>
                <w:rFonts w:ascii="Arial" w:cs="Arial" w:eastAsia="Arial" w:hAnsi="Arial"/>
                <w:sz w:val="15"/>
                <w:szCs w:val="15"/>
                <w:color w:val="auto"/>
              </w:rPr>
              <w:t>Triangular</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0" w:type="dxa"/>
            <w:vAlign w:val="bottom"/>
            <w:tcBorders>
              <w:right w:val="single" w:sz="8" w:color="auto"/>
            </w:tcBorders>
          </w:tcPr>
          <w:p>
            <w:pPr>
              <w:spacing w:after="0"/>
              <w:rPr>
                <w:sz w:val="16"/>
                <w:szCs w:val="16"/>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color w:val="auto"/>
              </w:rPr>
              <w:t>Publication</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5"/>
                <w:szCs w:val="15"/>
                <w:color w:val="auto"/>
                <w:w w:val="97"/>
              </w:rPr>
              <w:t>OR</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Borders>
              <w:right w:val="single" w:sz="8" w:color="auto"/>
            </w:tcBorders>
            <w:gridSpan w:val="7"/>
          </w:tcPr>
          <w:p>
            <w:pPr>
              <w:spacing w:after="0"/>
              <w:rPr>
                <w:sz w:val="20"/>
                <w:szCs w:val="20"/>
                <w:color w:val="auto"/>
              </w:rPr>
            </w:pPr>
            <w:r>
              <w:rPr>
                <w:rFonts w:ascii="Arial" w:cs="Arial" w:eastAsia="Arial" w:hAnsi="Arial"/>
                <w:sz w:val="15"/>
                <w:szCs w:val="15"/>
                <w:color w:val="auto"/>
              </w:rPr>
              <w:t>Other Agreement Setoffs Do Not Apply</w:t>
            </w:r>
          </w:p>
        </w:tc>
        <w:tc>
          <w:tcPr>
            <w:tcW w:w="0" w:type="dxa"/>
            <w:vAlign w:val="bottom"/>
          </w:tcPr>
          <w:p>
            <w:pPr>
              <w:spacing w:after="0"/>
              <w:rPr>
                <w:sz w:val="1"/>
                <w:szCs w:val="1"/>
                <w:color w:val="auto"/>
              </w:rPr>
            </w:pPr>
          </w:p>
        </w:tc>
      </w:tr>
      <w:tr>
        <w:trPr>
          <w:trHeight w:val="1188"/>
        </w:trPr>
        <w:tc>
          <w:tcPr>
            <w:tcW w:w="180" w:type="dxa"/>
            <w:vAlign w:val="bottom"/>
            <w:tcBorders>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80" w:type="dxa"/>
            <w:vAlign w:val="bottom"/>
            <w:tcBorders>
              <w:right w:val="single" w:sz="8" w:color="auto"/>
            </w:tcBorders>
          </w:tcPr>
          <w:p>
            <w:pPr>
              <w:spacing w:after="0"/>
              <w:rPr>
                <w:sz w:val="24"/>
                <w:szCs w:val="24"/>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b w:val="1"/>
                <w:bCs w:val="1"/>
                <w:color w:val="auto"/>
              </w:rPr>
              <w:t>Section 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5"/>
                <w:szCs w:val="15"/>
                <w:color w:val="auto"/>
              </w:rPr>
              <w:t>Buyer Pays At and After Delivery Point (default)</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80" w:type="dxa"/>
            <w:vAlign w:val="bottom"/>
            <w:tcBorders>
              <w:right w:val="single" w:sz="8" w:color="auto"/>
            </w:tcBorders>
          </w:tcPr>
          <w:p>
            <w:pPr>
              <w:spacing w:after="0"/>
              <w:rPr>
                <w:sz w:val="8"/>
                <w:szCs w:val="8"/>
                <w:color w:val="auto"/>
              </w:rPr>
            </w:pPr>
          </w:p>
        </w:tc>
        <w:tc>
          <w:tcPr>
            <w:tcW w:w="1820" w:type="dxa"/>
            <w:vAlign w:val="bottom"/>
            <w:gridSpan w:val="3"/>
            <w:vMerge w:val="restart"/>
          </w:tcPr>
          <w:p>
            <w:pPr>
              <w:ind w:left="60"/>
              <w:spacing w:after="0"/>
              <w:rPr>
                <w:sz w:val="20"/>
                <w:szCs w:val="20"/>
                <w:color w:val="auto"/>
              </w:rPr>
            </w:pPr>
            <w:r>
              <w:rPr>
                <w:rFonts w:ascii="Arial" w:cs="Arial" w:eastAsia="Arial" w:hAnsi="Arial"/>
                <w:sz w:val="15"/>
                <w:szCs w:val="15"/>
                <w:color w:val="auto"/>
              </w:rPr>
              <w:t>Taxes</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520" w:type="dxa"/>
            <w:vAlign w:val="bottom"/>
            <w:tcBorders>
              <w:right w:val="single" w:sz="8" w:color="auto"/>
            </w:tcBorders>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80" w:type="dxa"/>
            <w:vAlign w:val="bottom"/>
            <w:tcBorders>
              <w:right w:val="single" w:sz="8" w:color="auto"/>
            </w:tcBorders>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2240" w:type="dxa"/>
            <w:vAlign w:val="bottom"/>
            <w:gridSpan w:val="2"/>
            <w:vMerge w:val="restart"/>
          </w:tcPr>
          <w:p>
            <w:pPr>
              <w:spacing w:after="0"/>
              <w:rPr>
                <w:sz w:val="20"/>
                <w:szCs w:val="20"/>
                <w:color w:val="auto"/>
              </w:rPr>
            </w:pPr>
            <w:r>
              <w:rPr>
                <w:rFonts w:ascii="Arial" w:cs="Arial" w:eastAsia="Arial" w:hAnsi="Arial"/>
                <w:sz w:val="15"/>
                <w:szCs w:val="15"/>
                <w:color w:val="auto"/>
              </w:rPr>
              <w:t>OR</w:t>
            </w:r>
          </w:p>
        </w:tc>
        <w:tc>
          <w:tcPr>
            <w:tcW w:w="1400" w:type="dxa"/>
            <w:vAlign w:val="bottom"/>
            <w:tcBorders>
              <w:right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8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Borders>
              <w:right w:val="single" w:sz="8" w:color="auto"/>
            </w:tcBorders>
            <w:gridSpan w:val="2"/>
          </w:tcPr>
          <w:p>
            <w:pPr>
              <w:ind w:left="120"/>
              <w:spacing w:after="0"/>
              <w:rPr>
                <w:sz w:val="20"/>
                <w:szCs w:val="20"/>
                <w:color w:val="auto"/>
              </w:rPr>
            </w:pPr>
            <w:r>
              <w:rPr>
                <w:rFonts w:ascii="Arial" w:cs="Arial" w:eastAsia="Arial" w:hAnsi="Arial"/>
                <w:sz w:val="15"/>
                <w:szCs w:val="15"/>
                <w:color w:val="auto"/>
              </w:rPr>
              <w:t>Seller Pays Before and At Delivery Point</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8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180" w:type="dxa"/>
            <w:vAlign w:val="bottom"/>
            <w:tcBorders>
              <w:right w:val="single" w:sz="8" w:color="auto"/>
            </w:tcBorders>
          </w:tcPr>
          <w:p>
            <w:pPr>
              <w:spacing w:after="0"/>
              <w:rPr>
                <w:sz w:val="24"/>
                <w:szCs w:val="24"/>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b w:val="1"/>
                <w:bCs w:val="1"/>
                <w:color w:val="auto"/>
              </w:rPr>
              <w:t>Section 7.2</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3520" w:type="dxa"/>
            <w:vAlign w:val="bottom"/>
            <w:tcBorders>
              <w:right w:val="single" w:sz="8" w:color="auto"/>
            </w:tcBorders>
            <w:gridSpan w:val="2"/>
          </w:tcPr>
          <w:p>
            <w:pPr>
              <w:ind w:left="300"/>
              <w:spacing w:after="0"/>
              <w:rPr>
                <w:sz w:val="20"/>
                <w:szCs w:val="20"/>
                <w:color w:val="auto"/>
              </w:rPr>
            </w:pPr>
            <w:r>
              <w:rPr>
                <w:rFonts w:ascii="Arial" w:cs="Arial" w:eastAsia="Arial" w:hAnsi="Arial"/>
                <w:sz w:val="15"/>
                <w:szCs w:val="15"/>
                <w:color w:val="auto"/>
              </w:rPr>
              <w:t>25th Day of Month following Month of</w:t>
            </w:r>
          </w:p>
        </w:tc>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Section 15.5</w:t>
            </w:r>
          </w:p>
        </w:tc>
        <w:tc>
          <w:tcPr>
            <w:tcW w:w="1060" w:type="dxa"/>
            <w:vAlign w:val="bottom"/>
            <w:gridSpan w:val="3"/>
          </w:tcPr>
          <w:p>
            <w:pPr>
              <w:spacing w:after="0"/>
              <w:rPr>
                <w:sz w:val="20"/>
                <w:szCs w:val="20"/>
                <w:color w:val="auto"/>
              </w:rPr>
            </w:pPr>
            <w:r>
              <w:rPr>
                <w:rFonts w:ascii="Arial" w:cs="Arial" w:eastAsia="Arial" w:hAnsi="Arial"/>
                <w:sz w:val="15"/>
                <w:szCs w:val="15"/>
                <w:color w:val="auto"/>
              </w:rPr>
              <w:t>New York</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80" w:type="dxa"/>
            <w:vAlign w:val="bottom"/>
            <w:tcBorders>
              <w:right w:val="single" w:sz="8" w:color="auto"/>
            </w:tcBorders>
          </w:tcPr>
          <w:p>
            <w:pPr>
              <w:spacing w:after="0"/>
              <w:rPr>
                <w:sz w:val="14"/>
                <w:szCs w:val="14"/>
                <w:color w:val="auto"/>
              </w:rPr>
            </w:pPr>
          </w:p>
        </w:tc>
        <w:tc>
          <w:tcPr>
            <w:tcW w:w="1820" w:type="dxa"/>
            <w:vAlign w:val="bottom"/>
            <w:gridSpan w:val="3"/>
          </w:tcPr>
          <w:p>
            <w:pPr>
              <w:ind w:left="60"/>
              <w:spacing w:after="0" w:line="168" w:lineRule="exact"/>
              <w:rPr>
                <w:sz w:val="20"/>
                <w:szCs w:val="20"/>
                <w:color w:val="auto"/>
              </w:rPr>
            </w:pPr>
            <w:r>
              <w:rPr>
                <w:rFonts w:ascii="Arial" w:cs="Arial" w:eastAsia="Arial" w:hAnsi="Arial"/>
                <w:sz w:val="15"/>
                <w:szCs w:val="15"/>
                <w:color w:val="auto"/>
              </w:rPr>
              <w:t>Payment Date</w:t>
            </w:r>
          </w:p>
        </w:tc>
        <w:tc>
          <w:tcPr>
            <w:tcW w:w="220" w:type="dxa"/>
            <w:vAlign w:val="bottom"/>
          </w:tcPr>
          <w:p>
            <w:pPr>
              <w:spacing w:after="0"/>
              <w:rPr>
                <w:sz w:val="14"/>
                <w:szCs w:val="14"/>
                <w:color w:val="auto"/>
              </w:rPr>
            </w:pPr>
          </w:p>
        </w:tc>
        <w:tc>
          <w:tcPr>
            <w:tcW w:w="2240" w:type="dxa"/>
            <w:vAlign w:val="bottom"/>
            <w:gridSpan w:val="2"/>
          </w:tcPr>
          <w:p>
            <w:pPr>
              <w:spacing w:after="0" w:line="169" w:lineRule="exact"/>
              <w:rPr>
                <w:sz w:val="20"/>
                <w:szCs w:val="20"/>
                <w:color w:val="auto"/>
              </w:rPr>
            </w:pPr>
            <w:r>
              <w:rPr>
                <w:rFonts w:ascii="Arial" w:cs="Arial" w:eastAsia="Arial" w:hAnsi="Arial"/>
                <w:sz w:val="15"/>
                <w:szCs w:val="15"/>
                <w:color w:val="auto"/>
              </w:rPr>
              <w:t xml:space="preserve">delivery </w:t>
            </w:r>
            <w:r>
              <w:rPr>
                <w:rFonts w:ascii="Arial" w:cs="Arial" w:eastAsia="Arial" w:hAnsi="Arial"/>
                <w:sz w:val="13"/>
                <w:szCs w:val="13"/>
                <w:color w:val="auto"/>
              </w:rPr>
              <w:t>(default)</w:t>
            </w:r>
          </w:p>
        </w:tc>
        <w:tc>
          <w:tcPr>
            <w:tcW w:w="1400" w:type="dxa"/>
            <w:vAlign w:val="bottom"/>
            <w:tcBorders>
              <w:right w:val="single" w:sz="8" w:color="auto"/>
            </w:tcBorders>
          </w:tcPr>
          <w:p>
            <w:pPr>
              <w:spacing w:after="0"/>
              <w:rPr>
                <w:sz w:val="14"/>
                <w:szCs w:val="14"/>
                <w:color w:val="auto"/>
              </w:rPr>
            </w:pPr>
          </w:p>
        </w:tc>
        <w:tc>
          <w:tcPr>
            <w:tcW w:w="1280" w:type="dxa"/>
            <w:vAlign w:val="bottom"/>
          </w:tcPr>
          <w:p>
            <w:pPr>
              <w:ind w:left="60"/>
              <w:spacing w:after="0" w:line="169" w:lineRule="exact"/>
              <w:rPr>
                <w:sz w:val="20"/>
                <w:szCs w:val="20"/>
                <w:color w:val="auto"/>
              </w:rPr>
            </w:pPr>
            <w:r>
              <w:rPr>
                <w:rFonts w:ascii="Arial" w:cs="Arial" w:eastAsia="Arial" w:hAnsi="Arial"/>
                <w:sz w:val="15"/>
                <w:szCs w:val="15"/>
                <w:color w:val="auto"/>
              </w:rPr>
              <w:t>Choice Of Law</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Arial" w:cs="Arial" w:eastAsia="Arial" w:hAnsi="Arial"/>
                <w:sz w:val="15"/>
                <w:szCs w:val="15"/>
                <w:color w:val="auto"/>
              </w:rPr>
              <w:t>OR</w:t>
            </w:r>
          </w:p>
        </w:tc>
        <w:tc>
          <w:tcPr>
            <w:tcW w:w="140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80" w:type="dxa"/>
            <w:vAlign w:val="bottom"/>
            <w:tcBorders>
              <w:right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52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5"/>
                <w:szCs w:val="15"/>
                <w:color w:val="auto"/>
              </w:rPr>
              <w:t>Day of Month following Month of delivery</w:t>
            </w:r>
          </w:p>
        </w:tc>
        <w:tc>
          <w:tcPr>
            <w:tcW w:w="12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180" w:type="dxa"/>
            <w:vAlign w:val="bottom"/>
            <w:tcBorders>
              <w:right w:val="single" w:sz="8" w:color="auto"/>
            </w:tcBorders>
          </w:tcPr>
          <w:p>
            <w:pPr>
              <w:spacing w:after="0"/>
              <w:rPr>
                <w:sz w:val="24"/>
                <w:szCs w:val="24"/>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b w:val="1"/>
                <w:bCs w:val="1"/>
                <w:color w:val="auto"/>
              </w:rPr>
              <w:t>Section 7.2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Section 15.10</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3400" w:type="dxa"/>
            <w:vAlign w:val="bottom"/>
            <w:tcBorders>
              <w:right w:val="single" w:sz="8" w:color="auto"/>
            </w:tcBorders>
            <w:gridSpan w:val="7"/>
          </w:tcPr>
          <w:p>
            <w:pPr>
              <w:ind w:left="280"/>
              <w:spacing w:after="0"/>
              <w:rPr>
                <w:sz w:val="20"/>
                <w:szCs w:val="20"/>
                <w:color w:val="auto"/>
              </w:rPr>
            </w:pPr>
            <w:r>
              <w:rPr>
                <w:rFonts w:ascii="Arial" w:cs="Arial" w:eastAsia="Arial" w:hAnsi="Arial"/>
                <w:sz w:val="15"/>
                <w:szCs w:val="15"/>
                <w:color w:val="auto"/>
              </w:rPr>
              <w:t>Confidentiality applies (default) OR</w:t>
            </w:r>
          </w:p>
        </w:tc>
        <w:tc>
          <w:tcPr>
            <w:tcW w:w="0" w:type="dxa"/>
            <w:vAlign w:val="bottom"/>
          </w:tcPr>
          <w:p>
            <w:pPr>
              <w:spacing w:after="0"/>
              <w:rPr>
                <w:sz w:val="1"/>
                <w:szCs w:val="1"/>
                <w:color w:val="auto"/>
              </w:rPr>
            </w:pPr>
          </w:p>
        </w:tc>
      </w:tr>
      <w:tr>
        <w:trPr>
          <w:trHeight w:val="164"/>
        </w:trPr>
        <w:tc>
          <w:tcPr>
            <w:tcW w:w="180" w:type="dxa"/>
            <w:vAlign w:val="bottom"/>
            <w:tcBorders>
              <w:right w:val="single" w:sz="8" w:color="auto"/>
            </w:tcBorders>
          </w:tcPr>
          <w:p>
            <w:pPr>
              <w:spacing w:after="0"/>
              <w:rPr>
                <w:sz w:val="14"/>
                <w:szCs w:val="14"/>
                <w:color w:val="auto"/>
              </w:rPr>
            </w:pPr>
          </w:p>
        </w:tc>
        <w:tc>
          <w:tcPr>
            <w:tcW w:w="1820" w:type="dxa"/>
            <w:vAlign w:val="bottom"/>
            <w:gridSpan w:val="3"/>
          </w:tcPr>
          <w:p>
            <w:pPr>
              <w:ind w:left="60"/>
              <w:spacing w:after="0" w:line="164" w:lineRule="exact"/>
              <w:rPr>
                <w:sz w:val="20"/>
                <w:szCs w:val="20"/>
                <w:color w:val="auto"/>
              </w:rPr>
            </w:pPr>
            <w:r>
              <w:rPr>
                <w:rFonts w:ascii="Arial" w:cs="Arial" w:eastAsia="Arial" w:hAnsi="Arial"/>
                <w:sz w:val="15"/>
                <w:szCs w:val="15"/>
                <w:color w:val="auto"/>
              </w:rPr>
              <w:t>Method of</w:t>
            </w:r>
          </w:p>
        </w:tc>
        <w:tc>
          <w:tcPr>
            <w:tcW w:w="22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120" w:type="dxa"/>
            <w:vAlign w:val="bottom"/>
            <w:vMerge w:val="restart"/>
          </w:tcPr>
          <w:p>
            <w:pPr>
              <w:ind w:left="420"/>
              <w:spacing w:after="0"/>
              <w:rPr>
                <w:sz w:val="20"/>
                <w:szCs w:val="20"/>
                <w:color w:val="auto"/>
              </w:rPr>
            </w:pPr>
            <w:r>
              <w:rPr>
                <w:rFonts w:ascii="Arial" w:cs="Arial" w:eastAsia="Arial" w:hAnsi="Arial"/>
                <w:sz w:val="15"/>
                <w:szCs w:val="15"/>
                <w:color w:val="auto"/>
              </w:rPr>
              <w:t>Wire transfer (default)</w:t>
            </w:r>
          </w:p>
        </w:tc>
        <w:tc>
          <w:tcPr>
            <w:tcW w:w="1400" w:type="dxa"/>
            <w:vAlign w:val="bottom"/>
            <w:tcBorders>
              <w:right w:val="single" w:sz="8" w:color="auto"/>
            </w:tcBorders>
          </w:tcPr>
          <w:p>
            <w:pPr>
              <w:spacing w:after="0"/>
              <w:rPr>
                <w:sz w:val="14"/>
                <w:szCs w:val="14"/>
                <w:color w:val="auto"/>
              </w:rPr>
            </w:pPr>
          </w:p>
        </w:tc>
        <w:tc>
          <w:tcPr>
            <w:tcW w:w="1280" w:type="dxa"/>
            <w:vAlign w:val="bottom"/>
          </w:tcPr>
          <w:p>
            <w:pPr>
              <w:ind w:left="60"/>
              <w:spacing w:after="0" w:line="164" w:lineRule="exact"/>
              <w:rPr>
                <w:sz w:val="20"/>
                <w:szCs w:val="20"/>
                <w:color w:val="auto"/>
              </w:rPr>
            </w:pPr>
            <w:r>
              <w:rPr>
                <w:rFonts w:ascii="Arial" w:cs="Arial" w:eastAsia="Arial" w:hAnsi="Arial"/>
                <w:sz w:val="15"/>
                <w:szCs w:val="15"/>
                <w:color w:val="auto"/>
              </w:rPr>
              <w:t>Confidentiality</w:t>
            </w:r>
          </w:p>
        </w:tc>
        <w:tc>
          <w:tcPr>
            <w:tcW w:w="240" w:type="dxa"/>
            <w:vAlign w:val="bottom"/>
          </w:tcPr>
          <w:p>
            <w:pPr>
              <w:spacing w:after="0"/>
              <w:rPr>
                <w:sz w:val="14"/>
                <w:szCs w:val="14"/>
                <w:color w:val="auto"/>
              </w:rPr>
            </w:pPr>
          </w:p>
        </w:tc>
        <w:tc>
          <w:tcPr>
            <w:tcW w:w="3400" w:type="dxa"/>
            <w:vAlign w:val="bottom"/>
            <w:tcBorders>
              <w:right w:val="single" w:sz="8" w:color="auto"/>
            </w:tcBorders>
            <w:gridSpan w:val="7"/>
            <w:vMerge w:val="restart"/>
          </w:tcPr>
          <w:p>
            <w:pPr>
              <w:spacing w:after="0"/>
              <w:rPr>
                <w:sz w:val="20"/>
                <w:szCs w:val="20"/>
                <w:color w:val="auto"/>
              </w:rPr>
            </w:pPr>
            <w:r>
              <w:rPr>
                <w:rFonts w:ascii="Arial" w:cs="Arial" w:eastAsia="Arial" w:hAnsi="Arial"/>
                <w:sz w:val="15"/>
                <w:szCs w:val="15"/>
                <w:color w:val="auto"/>
              </w:rPr>
              <w:t>Confidentiality does not apply</w:t>
            </w:r>
          </w:p>
        </w:tc>
        <w:tc>
          <w:tcPr>
            <w:tcW w:w="0" w:type="dxa"/>
            <w:vAlign w:val="bottom"/>
          </w:tcPr>
          <w:p>
            <w:pPr>
              <w:spacing w:after="0"/>
              <w:rPr>
                <w:sz w:val="1"/>
                <w:szCs w:val="1"/>
                <w:color w:val="auto"/>
              </w:rPr>
            </w:pPr>
          </w:p>
        </w:tc>
      </w:tr>
      <w:tr>
        <w:trPr>
          <w:trHeight w:val="123"/>
        </w:trPr>
        <w:tc>
          <w:tcPr>
            <w:tcW w:w="180" w:type="dxa"/>
            <w:vAlign w:val="bottom"/>
            <w:tcBorders>
              <w:right w:val="single" w:sz="8" w:color="auto"/>
            </w:tcBorders>
          </w:tcPr>
          <w:p>
            <w:pPr>
              <w:spacing w:after="0"/>
              <w:rPr>
                <w:sz w:val="10"/>
                <w:szCs w:val="10"/>
                <w:color w:val="auto"/>
              </w:rPr>
            </w:pPr>
          </w:p>
        </w:tc>
        <w:tc>
          <w:tcPr>
            <w:tcW w:w="1820" w:type="dxa"/>
            <w:vAlign w:val="bottom"/>
            <w:gridSpan w:val="3"/>
            <w:vMerge w:val="restart"/>
          </w:tcPr>
          <w:p>
            <w:pPr>
              <w:ind w:left="60"/>
              <w:spacing w:after="0"/>
              <w:rPr>
                <w:sz w:val="20"/>
                <w:szCs w:val="20"/>
                <w:color w:val="auto"/>
              </w:rPr>
            </w:pPr>
            <w:r>
              <w:rPr>
                <w:rFonts w:ascii="Arial" w:cs="Arial" w:eastAsia="Arial" w:hAnsi="Arial"/>
                <w:sz w:val="15"/>
                <w:szCs w:val="15"/>
                <w:color w:val="auto"/>
              </w:rPr>
              <w:t>Payment</w:t>
            </w:r>
          </w:p>
        </w:tc>
        <w:tc>
          <w:tcPr>
            <w:tcW w:w="2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0" w:type="dxa"/>
            <w:vAlign w:val="bottom"/>
            <w:tcBorders>
              <w:right w:val="single" w:sz="8" w:color="auto"/>
            </w:tcBorders>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80" w:type="dxa"/>
            <w:vAlign w:val="bottom"/>
            <w:tcBorders>
              <w:right w:val="single" w:sz="8" w:color="auto"/>
            </w:tcBorders>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5"/>
                <w:szCs w:val="15"/>
                <w:color w:val="auto"/>
              </w:rPr>
              <w:t>Automated Clearinghouse Credit (ACH) Check</w:t>
            </w:r>
          </w:p>
        </w:tc>
        <w:tc>
          <w:tcPr>
            <w:tcW w:w="1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Borders>
              <w:right w:val="single" w:sz="8" w:color="auto"/>
            </w:tcBorders>
            <w:gridSpan w:val="2"/>
            <w:vMerge w:val="continue"/>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8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180" w:type="dxa"/>
            <w:vAlign w:val="bottom"/>
            <w:tcBorders>
              <w:right w:val="single" w:sz="8" w:color="auto"/>
            </w:tcBorders>
          </w:tcPr>
          <w:p>
            <w:pPr>
              <w:spacing w:after="0"/>
              <w:rPr>
                <w:sz w:val="24"/>
                <w:szCs w:val="24"/>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b w:val="1"/>
                <w:bCs w:val="1"/>
                <w:color w:val="auto"/>
              </w:rPr>
              <w:t>Section 7.7</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2120" w:type="dxa"/>
            <w:vAlign w:val="bottom"/>
          </w:tcPr>
          <w:p>
            <w:pPr>
              <w:ind w:left="300"/>
              <w:spacing w:after="0"/>
              <w:rPr>
                <w:sz w:val="20"/>
                <w:szCs w:val="20"/>
                <w:color w:val="auto"/>
              </w:rPr>
            </w:pPr>
            <w:r>
              <w:rPr>
                <w:rFonts w:ascii="Arial" w:cs="Arial" w:eastAsia="Arial" w:hAnsi="Arial"/>
                <w:sz w:val="15"/>
                <w:szCs w:val="15"/>
                <w:color w:val="auto"/>
                <w:w w:val="97"/>
              </w:rPr>
              <w:t>Netting applies (default) OR</w:t>
            </w:r>
          </w:p>
        </w:tc>
        <w:tc>
          <w:tcPr>
            <w:tcW w:w="140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Borders>
              <w:right w:val="single" w:sz="8" w:color="auto"/>
            </w:tcBorders>
          </w:tcPr>
          <w:p>
            <w:pPr>
              <w:spacing w:after="0"/>
              <w:rPr>
                <w:sz w:val="16"/>
                <w:szCs w:val="16"/>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color w:val="auto"/>
              </w:rPr>
              <w:t>Netting</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vMerge w:val="restart"/>
          </w:tcPr>
          <w:p>
            <w:pPr>
              <w:ind w:left="120"/>
              <w:spacing w:after="0"/>
              <w:rPr>
                <w:sz w:val="20"/>
                <w:szCs w:val="20"/>
                <w:color w:val="auto"/>
              </w:rPr>
            </w:pPr>
            <w:r>
              <w:rPr>
                <w:rFonts w:ascii="Arial" w:cs="Arial" w:eastAsia="Arial" w:hAnsi="Arial"/>
                <w:sz w:val="15"/>
                <w:szCs w:val="15"/>
                <w:color w:val="auto"/>
              </w:rPr>
              <w:t>Netting does not apply</w:t>
            </w:r>
          </w:p>
        </w:tc>
        <w:tc>
          <w:tcPr>
            <w:tcW w:w="140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80" w:type="dxa"/>
            <w:vAlign w:val="bottom"/>
            <w:tcBorders>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180" w:type="dxa"/>
            <w:vAlign w:val="bottom"/>
            <w:tcBorders>
              <w:right w:val="single" w:sz="8" w:color="auto"/>
            </w:tcBorders>
          </w:tcPr>
          <w:p>
            <w:pPr>
              <w:spacing w:after="0"/>
              <w:rPr>
                <w:sz w:val="24"/>
                <w:szCs w:val="24"/>
                <w:color w:val="auto"/>
              </w:rPr>
            </w:pPr>
          </w:p>
        </w:tc>
        <w:tc>
          <w:tcPr>
            <w:tcW w:w="4280" w:type="dxa"/>
            <w:vAlign w:val="bottom"/>
            <w:gridSpan w:val="6"/>
          </w:tcPr>
          <w:p>
            <w:pPr>
              <w:ind w:left="420"/>
              <w:spacing w:after="0"/>
              <w:rPr>
                <w:sz w:val="20"/>
                <w:szCs w:val="20"/>
                <w:color w:val="auto"/>
              </w:rPr>
            </w:pPr>
            <w:r>
              <w:rPr>
                <w:rFonts w:ascii="Arial" w:cs="Arial" w:eastAsia="Arial" w:hAnsi="Arial"/>
                <w:sz w:val="15"/>
                <w:szCs w:val="15"/>
                <w:b w:val="1"/>
                <w:bCs w:val="1"/>
                <w:color w:val="auto"/>
              </w:rPr>
              <w:t xml:space="preserve">Special Provisions </w:t>
            </w:r>
            <w:r>
              <w:rPr>
                <w:rFonts w:ascii="Arial" w:cs="Arial" w:eastAsia="Arial" w:hAnsi="Arial"/>
                <w:sz w:val="15"/>
                <w:szCs w:val="15"/>
                <w:color w:val="auto"/>
              </w:rPr>
              <w:t>Number of sheets attached:</w:t>
            </w:r>
            <w:r>
              <w:rPr>
                <w:rFonts w:ascii="Arial" w:cs="Arial" w:eastAsia="Arial" w:hAnsi="Arial"/>
                <w:sz w:val="15"/>
                <w:szCs w:val="15"/>
                <w:b w:val="1"/>
                <w:bCs w:val="1"/>
                <w:color w:val="auto"/>
              </w:rPr>
              <w:t xml:space="preserve"> None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0" w:type="dxa"/>
            <w:vAlign w:val="bottom"/>
            <w:tcBorders>
              <w:right w:val="single" w:sz="8" w:color="auto"/>
            </w:tcBorders>
          </w:tcPr>
          <w:p>
            <w:pPr>
              <w:spacing w:after="0"/>
              <w:rPr>
                <w:sz w:val="14"/>
                <w:szCs w:val="14"/>
                <w:color w:val="auto"/>
              </w:rPr>
            </w:pPr>
          </w:p>
        </w:tc>
        <w:tc>
          <w:tcPr>
            <w:tcW w:w="1820" w:type="dxa"/>
            <w:vAlign w:val="bottom"/>
            <w:gridSpan w:val="3"/>
          </w:tcPr>
          <w:p>
            <w:pPr>
              <w:ind w:left="200"/>
              <w:spacing w:after="0" w:line="164" w:lineRule="exact"/>
              <w:rPr>
                <w:sz w:val="20"/>
                <w:szCs w:val="20"/>
                <w:color w:val="auto"/>
              </w:rPr>
            </w:pPr>
            <w:r>
              <w:rPr>
                <w:rFonts w:ascii="Arial" w:cs="Arial" w:eastAsia="Arial" w:hAnsi="Arial"/>
                <w:sz w:val="15"/>
                <w:szCs w:val="15"/>
                <w:b w:val="1"/>
                <w:bCs w:val="1"/>
                <w:color w:val="auto"/>
              </w:rPr>
              <w:t>Addendum(s):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80" w:type="dxa"/>
            <w:vAlign w:val="bottom"/>
          </w:tcPr>
          <w:p>
            <w:pPr>
              <w:spacing w:after="0"/>
              <w:rPr>
                <w:sz w:val="24"/>
                <w:szCs w:val="24"/>
                <w:color w:val="auto"/>
              </w:rPr>
            </w:pPr>
          </w:p>
        </w:tc>
        <w:tc>
          <w:tcPr>
            <w:tcW w:w="5680" w:type="dxa"/>
            <w:vAlign w:val="bottom"/>
            <w:gridSpan w:val="7"/>
          </w:tcPr>
          <w:p>
            <w:pPr>
              <w:ind w:left="120"/>
              <w:spacing w:after="0"/>
              <w:rPr>
                <w:sz w:val="20"/>
                <w:szCs w:val="20"/>
                <w:color w:val="auto"/>
              </w:rPr>
            </w:pPr>
            <w:r>
              <w:rPr>
                <w:rFonts w:ascii="Arial" w:cs="Arial" w:eastAsia="Arial" w:hAnsi="Arial"/>
                <w:sz w:val="13"/>
                <w:szCs w:val="13"/>
                <w:color w:val="auto"/>
              </w:rPr>
              <w:t>IN WITNESS WHEREOF, the parties hereto have executed this Base Contract in duplicate.</w:t>
            </w:r>
          </w:p>
        </w:tc>
        <w:tc>
          <w:tcPr>
            <w:tcW w:w="2340" w:type="dxa"/>
            <w:vAlign w:val="bottom"/>
            <w:gridSpan w:val="4"/>
            <w:vMerge w:val="restart"/>
          </w:tcPr>
          <w:p>
            <w:pPr>
              <w:jc w:val="right"/>
              <w:spacing w:after="0"/>
              <w:rPr>
                <w:sz w:val="20"/>
                <w:szCs w:val="20"/>
                <w:color w:val="auto"/>
              </w:rPr>
            </w:pPr>
            <w:r>
              <w:rPr>
                <w:rFonts w:ascii="Arial" w:cs="Arial" w:eastAsia="Arial" w:hAnsi="Arial"/>
                <w:sz w:val="13"/>
                <w:szCs w:val="13"/>
                <w:color w:val="auto"/>
              </w:rPr>
              <w:t>NAESB Standard 6.3.1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60" w:type="dxa"/>
            <w:vAlign w:val="bottom"/>
            <w:gridSpan w:val="7"/>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1400" w:type="dxa"/>
            <w:vAlign w:val="bottom"/>
          </w:tcPr>
          <w:p>
            <w:pPr>
              <w:spacing w:after="0"/>
              <w:rPr>
                <w:sz w:val="9"/>
                <w:szCs w:val="9"/>
                <w:color w:val="auto"/>
              </w:rPr>
            </w:pPr>
          </w:p>
        </w:tc>
        <w:tc>
          <w:tcPr>
            <w:tcW w:w="234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60" w:type="dxa"/>
            <w:vAlign w:val="bottom"/>
            <w:gridSpan w:val="3"/>
            <w:vMerge w:val="restart"/>
          </w:tcPr>
          <w:p>
            <w:pPr>
              <w:ind w:left="180"/>
              <w:spacing w:after="0"/>
              <w:rPr>
                <w:sz w:val="20"/>
                <w:szCs w:val="20"/>
                <w:color w:val="auto"/>
              </w:rPr>
            </w:pPr>
            <w:r>
              <w:rPr>
                <w:rFonts w:ascii="Arial" w:cs="Arial" w:eastAsia="Arial" w:hAnsi="Arial"/>
                <w:sz w:val="13"/>
                <w:szCs w:val="13"/>
                <w:color w:val="auto"/>
              </w:rPr>
              <w:t>All Rights Reserved</w:t>
            </w:r>
          </w:p>
        </w:tc>
        <w:tc>
          <w:tcPr>
            <w:tcW w:w="0" w:type="dxa"/>
            <w:vAlign w:val="bottom"/>
          </w:tcPr>
          <w:p>
            <w:pPr>
              <w:spacing w:after="0"/>
              <w:rPr>
                <w:sz w:val="1"/>
                <w:szCs w:val="1"/>
                <w:color w:val="auto"/>
              </w:rPr>
            </w:pPr>
          </w:p>
        </w:tc>
      </w:tr>
      <w:tr>
        <w:trPr>
          <w:trHeight w:val="165"/>
        </w:trPr>
        <w:tc>
          <w:tcPr>
            <w:tcW w:w="4460" w:type="dxa"/>
            <w:vAlign w:val="bottom"/>
            <w:gridSpan w:val="7"/>
            <w:vMerge w:val="continue"/>
          </w:tcPr>
          <w:p>
            <w:pPr>
              <w:spacing w:after="0"/>
              <w:rPr>
                <w:sz w:val="14"/>
                <w:szCs w:val="14"/>
                <w:color w:val="auto"/>
              </w:rPr>
            </w:pPr>
          </w:p>
        </w:tc>
        <w:tc>
          <w:tcPr>
            <w:tcW w:w="3740" w:type="dxa"/>
            <w:vAlign w:val="bottom"/>
            <w:gridSpan w:val="5"/>
          </w:tcPr>
          <w:p>
            <w:pPr>
              <w:jc w:val="right"/>
              <w:spacing w:after="0"/>
              <w:rPr>
                <w:sz w:val="20"/>
                <w:szCs w:val="20"/>
                <w:color w:val="auto"/>
              </w:rPr>
            </w:pPr>
            <w:r>
              <w:rPr>
                <w:rFonts w:ascii="Arial" w:cs="Arial" w:eastAsia="Arial" w:hAnsi="Arial"/>
                <w:sz w:val="13"/>
                <w:szCs w:val="13"/>
                <w:color w:val="auto"/>
              </w:rPr>
              <w:t>September 5, 2006 (Revised by R15003/R15007, April 4, 2016)</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-7138670</wp:posOffset>
            </wp:positionV>
            <wp:extent cx="132715" cy="101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-7138670</wp:posOffset>
            </wp:positionV>
            <wp:extent cx="132715" cy="101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-6731635</wp:posOffset>
            </wp:positionV>
            <wp:extent cx="132715" cy="2114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132715" cy="211455"/>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-6316980</wp:posOffset>
            </wp:positionV>
            <wp:extent cx="132715" cy="101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1355725</wp:posOffset>
            </wp:positionH>
            <wp:positionV relativeFrom="paragraph">
              <wp:posOffset>-6520815</wp:posOffset>
            </wp:positionV>
            <wp:extent cx="132715" cy="101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1355725</wp:posOffset>
            </wp:positionH>
            <wp:positionV relativeFrom="paragraph">
              <wp:posOffset>-6144895</wp:posOffset>
            </wp:positionV>
            <wp:extent cx="132715" cy="101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1355725</wp:posOffset>
            </wp:positionH>
            <wp:positionV relativeFrom="paragraph">
              <wp:posOffset>-5988685</wp:posOffset>
            </wp:positionV>
            <wp:extent cx="132715" cy="101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1355725</wp:posOffset>
            </wp:positionH>
            <wp:positionV relativeFrom="paragraph">
              <wp:posOffset>-5433060</wp:posOffset>
            </wp:positionV>
            <wp:extent cx="132715" cy="101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-5213985</wp:posOffset>
            </wp:positionV>
            <wp:extent cx="132715" cy="101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-4642485</wp:posOffset>
            </wp:positionV>
            <wp:extent cx="132715" cy="101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-4001135</wp:posOffset>
            </wp:positionV>
            <wp:extent cx="132715" cy="101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-4634865</wp:posOffset>
            </wp:positionV>
            <wp:extent cx="132715" cy="101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-4337685</wp:posOffset>
            </wp:positionV>
            <wp:extent cx="1784350" cy="101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1784350" cy="101600"/>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-2921000</wp:posOffset>
            </wp:positionV>
            <wp:extent cx="132715" cy="101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-2670810</wp:posOffset>
            </wp:positionV>
            <wp:extent cx="132715" cy="101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-1997710</wp:posOffset>
            </wp:positionV>
            <wp:extent cx="132715" cy="101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-1661160</wp:posOffset>
            </wp:positionV>
            <wp:extent cx="132715" cy="2114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132715" cy="21145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-1551940</wp:posOffset>
            </wp:positionV>
            <wp:extent cx="132715" cy="101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-980440</wp:posOffset>
            </wp:positionV>
            <wp:extent cx="132715" cy="101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-777240</wp:posOffset>
            </wp:positionV>
            <wp:extent cx="132715" cy="2190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132715" cy="21907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Page 2 of 13</w:t>
      </w:r>
    </w:p>
    <w:p>
      <w:pPr>
        <w:sectPr>
          <w:pgSz w:w="11900" w:h="16838" w:orient="portrait"/>
          <w:cols w:equalWidth="0" w:num="1">
            <w:col w:w="10800"/>
          </w:cols>
          <w:pgMar w:left="340" w:top="173" w:right="759" w:bottom="1440" w:gutter="0" w:footer="0" w:header="0"/>
        </w:sectPr>
      </w:pPr>
    </w:p>
    <w:bookmarkStart w:id="82" w:name="page83"/>
    <w:bookmarkEnd w:id="82"/>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80" w:type="dxa"/>
            <w:vAlign w:val="bottom"/>
            <w:tcBorders>
              <w:right w:val="single" w:sz="8" w:color="auto"/>
            </w:tcBorders>
          </w:tcPr>
          <w:p>
            <w:pPr>
              <w:spacing w:after="0"/>
              <w:rPr>
                <w:sz w:val="22"/>
                <w:szCs w:val="22"/>
                <w:color w:val="auto"/>
              </w:rPr>
            </w:pPr>
          </w:p>
        </w:tc>
        <w:tc>
          <w:tcPr>
            <w:tcW w:w="3920" w:type="dxa"/>
            <w:vAlign w:val="bottom"/>
            <w:tcBorders>
              <w:top w:val="single" w:sz="8" w:color="auto"/>
              <w:bottom w:val="single" w:sz="8" w:color="auto"/>
            </w:tcBorders>
          </w:tcPr>
          <w:p>
            <w:pPr>
              <w:jc w:val="center"/>
              <w:ind w:left="694"/>
              <w:spacing w:after="0"/>
              <w:rPr>
                <w:sz w:val="20"/>
                <w:szCs w:val="20"/>
                <w:color w:val="auto"/>
              </w:rPr>
            </w:pPr>
            <w:r>
              <w:rPr>
                <w:rFonts w:ascii="Arial" w:cs="Arial" w:eastAsia="Arial" w:hAnsi="Arial"/>
                <w:sz w:val="13"/>
                <w:szCs w:val="13"/>
                <w:b w:val="1"/>
                <w:bCs w:val="1"/>
                <w:color w:val="auto"/>
              </w:rPr>
              <w:t>MM San Diego LLC</w:t>
            </w:r>
          </w:p>
        </w:tc>
        <w:tc>
          <w:tcPr>
            <w:tcW w:w="780" w:type="dxa"/>
            <w:vAlign w:val="bottom"/>
            <w:tcBorders>
              <w:top w:val="single" w:sz="8" w:color="auto"/>
              <w:bottom w:val="single" w:sz="8" w:color="auto"/>
              <w:right w:val="single" w:sz="8" w:color="auto"/>
            </w:tcBorders>
          </w:tcPr>
          <w:p>
            <w:pPr>
              <w:spacing w:after="0"/>
              <w:rPr>
                <w:sz w:val="22"/>
                <w:szCs w:val="22"/>
                <w:color w:val="auto"/>
              </w:rPr>
            </w:pP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6"/>
              </w:rPr>
              <w:t>PARTY NAME</w:t>
            </w:r>
          </w:p>
        </w:tc>
        <w:tc>
          <w:tcPr>
            <w:tcW w:w="3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2580" w:type="dxa"/>
            <w:vAlign w:val="bottom"/>
            <w:tcBorders>
              <w:top w:val="single" w:sz="8" w:color="auto"/>
              <w:bottom w:val="single" w:sz="8" w:color="auto"/>
              <w:right w:val="single" w:sz="8" w:color="auto"/>
            </w:tcBorders>
          </w:tcPr>
          <w:p>
            <w:pPr>
              <w:jc w:val="right"/>
              <w:ind w:right="21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63"/>
        </w:trPr>
        <w:tc>
          <w:tcPr>
            <w:tcW w:w="180" w:type="dxa"/>
            <w:vAlign w:val="bottom"/>
            <w:tcBorders>
              <w:right w:val="single" w:sz="8" w:color="auto"/>
            </w:tcBorders>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3"/>
                <w:szCs w:val="13"/>
                <w:color w:val="auto"/>
              </w:rPr>
              <w:t>By: /s/ Jonathan Maurer</w:t>
            </w:r>
          </w:p>
        </w:tc>
        <w:tc>
          <w:tcPr>
            <w:tcW w:w="78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8"/>
              </w:rPr>
              <w:t>SIGNATURE</w:t>
            </w: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By:</w:t>
            </w:r>
          </w:p>
        </w:tc>
        <w:tc>
          <w:tcPr>
            <w:tcW w:w="1520" w:type="dxa"/>
            <w:vAlign w:val="bottom"/>
            <w:gridSpan w:val="3"/>
          </w:tcPr>
          <w:p>
            <w:pPr>
              <w:jc w:val="right"/>
              <w:ind w:right="1180"/>
              <w:spacing w:after="0"/>
              <w:rPr>
                <w:sz w:val="20"/>
                <w:szCs w:val="20"/>
                <w:color w:val="auto"/>
              </w:rPr>
            </w:pPr>
            <w:r>
              <w:rPr>
                <w:rFonts w:ascii="Arial" w:cs="Arial" w:eastAsia="Arial" w:hAnsi="Arial"/>
                <w:sz w:val="13"/>
                <w:szCs w:val="13"/>
                <w:color w:val="auto"/>
              </w:rPr>
              <w:t>By:</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0" w:type="dxa"/>
            <w:vAlign w:val="bottom"/>
            <w:tcBorders>
              <w:right w:val="single" w:sz="8" w:color="auto"/>
            </w:tcBorders>
          </w:tcPr>
          <w:p>
            <w:pPr>
              <w:spacing w:after="0"/>
              <w:rPr>
                <w:sz w:val="14"/>
                <w:szCs w:val="14"/>
                <w:color w:val="auto"/>
              </w:rPr>
            </w:pPr>
          </w:p>
        </w:tc>
        <w:tc>
          <w:tcPr>
            <w:tcW w:w="3920" w:type="dxa"/>
            <w:vAlign w:val="bottom"/>
            <w:vMerge w:val="restart"/>
          </w:tcPr>
          <w:p>
            <w:pPr>
              <w:jc w:val="center"/>
              <w:ind w:left="674"/>
              <w:spacing w:after="0"/>
              <w:rPr>
                <w:sz w:val="20"/>
                <w:szCs w:val="20"/>
                <w:color w:val="auto"/>
              </w:rPr>
            </w:pPr>
            <w:r>
              <w:rPr>
                <w:rFonts w:ascii="Arial" w:cs="Arial" w:eastAsia="Arial" w:hAnsi="Arial"/>
                <w:sz w:val="13"/>
                <w:szCs w:val="13"/>
                <w:b w:val="1"/>
                <w:bCs w:val="1"/>
                <w:color w:val="auto"/>
              </w:rPr>
              <w:t>Jonathan Maurer</w:t>
            </w:r>
          </w:p>
        </w:tc>
        <w:tc>
          <w:tcPr>
            <w:tcW w:w="7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i w:val="1"/>
                <w:iCs w:val="1"/>
                <w:color w:val="auto"/>
                <w:w w:val="97"/>
              </w:rPr>
              <w:t>PRINTED NAME</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80" w:type="dxa"/>
            <w:vAlign w:val="bottom"/>
            <w:tcBorders>
              <w:right w:val="single" w:sz="8" w:color="auto"/>
            </w:tcBorders>
          </w:tcPr>
          <w:p>
            <w:pPr>
              <w:spacing w:after="0"/>
              <w:rPr>
                <w:sz w:val="6"/>
                <w:szCs w:val="6"/>
                <w:color w:val="auto"/>
              </w:rPr>
            </w:pPr>
          </w:p>
        </w:tc>
        <w:tc>
          <w:tcPr>
            <w:tcW w:w="392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80" w:type="dxa"/>
            <w:vAlign w:val="bottom"/>
            <w:tcBorders>
              <w:right w:val="single" w:sz="8" w:color="auto"/>
            </w:tcBorders>
          </w:tcPr>
          <w:p>
            <w:pPr>
              <w:spacing w:after="0"/>
              <w:rPr>
                <w:sz w:val="14"/>
                <w:szCs w:val="14"/>
                <w:color w:val="auto"/>
              </w:rPr>
            </w:pPr>
          </w:p>
        </w:tc>
        <w:tc>
          <w:tcPr>
            <w:tcW w:w="3920" w:type="dxa"/>
            <w:vAlign w:val="bottom"/>
            <w:vMerge w:val="restart"/>
          </w:tcPr>
          <w:p>
            <w:pPr>
              <w:jc w:val="center"/>
              <w:ind w:left="694"/>
              <w:spacing w:after="0"/>
              <w:rPr>
                <w:sz w:val="20"/>
                <w:szCs w:val="20"/>
                <w:color w:val="auto"/>
              </w:rPr>
            </w:pPr>
            <w:r>
              <w:rPr>
                <w:rFonts w:ascii="Arial" w:cs="Arial" w:eastAsia="Arial" w:hAnsi="Arial"/>
                <w:sz w:val="13"/>
                <w:szCs w:val="13"/>
                <w:b w:val="1"/>
                <w:bCs w:val="1"/>
                <w:color w:val="auto"/>
                <w:w w:val="99"/>
              </w:rPr>
              <w:t>CO-CEO</w:t>
            </w:r>
          </w:p>
        </w:tc>
        <w:tc>
          <w:tcPr>
            <w:tcW w:w="7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i w:val="1"/>
                <w:iCs w:val="1"/>
                <w:color w:val="auto"/>
                <w:w w:val="93"/>
              </w:rPr>
              <w:t>TITLE</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80" w:type="dxa"/>
            <w:vAlign w:val="bottom"/>
            <w:tcBorders>
              <w:right w:val="single" w:sz="8" w:color="auto"/>
            </w:tcBorders>
          </w:tcPr>
          <w:p>
            <w:pPr>
              <w:spacing w:after="0"/>
              <w:rPr>
                <w:sz w:val="6"/>
                <w:szCs w:val="6"/>
                <w:color w:val="auto"/>
              </w:rPr>
            </w:pPr>
          </w:p>
        </w:tc>
        <w:tc>
          <w:tcPr>
            <w:tcW w:w="392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4100" w:type="dxa"/>
            <w:vAlign w:val="bottom"/>
            <w:gridSpan w:val="2"/>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7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3"/>
                <w:szCs w:val="13"/>
                <w:color w:val="auto"/>
              </w:rPr>
              <w:t>NAESB Standard 6.3.1</w:t>
            </w:r>
          </w:p>
        </w:tc>
        <w:tc>
          <w:tcPr>
            <w:tcW w:w="2580" w:type="dxa"/>
            <w:vAlign w:val="bottom"/>
            <w:vMerge w:val="restart"/>
          </w:tcPr>
          <w:p>
            <w:pPr>
              <w:jc w:val="right"/>
              <w:ind w:right="774"/>
              <w:spacing w:after="0"/>
              <w:rPr>
                <w:sz w:val="20"/>
                <w:szCs w:val="20"/>
                <w:color w:val="auto"/>
              </w:rPr>
            </w:pPr>
            <w:r>
              <w:rPr>
                <w:rFonts w:ascii="Arial" w:cs="Arial" w:eastAsia="Arial" w:hAnsi="Arial"/>
                <w:sz w:val="13"/>
                <w:szCs w:val="13"/>
                <w:color w:val="auto"/>
              </w:rPr>
              <w:t>All Rights Reserved</w:t>
            </w:r>
          </w:p>
        </w:tc>
        <w:tc>
          <w:tcPr>
            <w:tcW w:w="0" w:type="dxa"/>
            <w:vAlign w:val="bottom"/>
          </w:tcPr>
          <w:p>
            <w:pPr>
              <w:spacing w:after="0"/>
              <w:rPr>
                <w:sz w:val="1"/>
                <w:szCs w:val="1"/>
                <w:color w:val="auto"/>
              </w:rPr>
            </w:pPr>
          </w:p>
        </w:tc>
      </w:tr>
      <w:tr>
        <w:trPr>
          <w:trHeight w:val="165"/>
        </w:trPr>
        <w:tc>
          <w:tcPr>
            <w:tcW w:w="4100" w:type="dxa"/>
            <w:vAlign w:val="bottom"/>
            <w:gridSpan w:val="2"/>
            <w:vMerge w:val="continue"/>
          </w:tcPr>
          <w:p>
            <w:pPr>
              <w:spacing w:after="0"/>
              <w:rPr>
                <w:sz w:val="14"/>
                <w:szCs w:val="14"/>
                <w:color w:val="auto"/>
              </w:rPr>
            </w:pPr>
          </w:p>
        </w:tc>
        <w:tc>
          <w:tcPr>
            <w:tcW w:w="4220" w:type="dxa"/>
            <w:vAlign w:val="bottom"/>
            <w:gridSpan w:val="7"/>
          </w:tcPr>
          <w:p>
            <w:pPr>
              <w:jc w:val="right"/>
              <w:ind w:right="160"/>
              <w:spacing w:after="0"/>
              <w:rPr>
                <w:sz w:val="20"/>
                <w:szCs w:val="20"/>
                <w:color w:val="auto"/>
              </w:rPr>
            </w:pPr>
            <w:r>
              <w:rPr>
                <w:rFonts w:ascii="Arial" w:cs="Arial" w:eastAsia="Arial" w:hAnsi="Arial"/>
                <w:sz w:val="13"/>
                <w:szCs w:val="13"/>
                <w:color w:val="auto"/>
              </w:rPr>
              <w:t>September 5, 2006 (Revised by R15003/R15007, April 4, 2016)</w:t>
            </w: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-221615</wp:posOffset>
            </wp:positionV>
            <wp:extent cx="558736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5587365" cy="762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Page 2 of 13</w:t>
      </w:r>
    </w:p>
    <w:p>
      <w:pPr>
        <w:sectPr>
          <w:pgSz w:w="11900" w:h="16838" w:orient="portrait"/>
          <w:cols w:equalWidth="0" w:num="1">
            <w:col w:w="10920"/>
          </w:cols>
          <w:pgMar w:left="340" w:top="173" w:right="639" w:bottom="1440" w:gutter="0" w:footer="0" w:header="0"/>
        </w:sectPr>
      </w:pPr>
    </w:p>
    <w:bookmarkStart w:id="83" w:name="page84"/>
    <w:bookmarkEnd w:id="83"/>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23"/>
          <w:szCs w:val="23"/>
          <w:color w:val="auto"/>
        </w:rPr>
        <w:t>General Terms and Conditions</w:t>
      </w:r>
    </w:p>
    <w:p>
      <w:pPr>
        <w:jc w:val="center"/>
        <w:ind w:right="-339"/>
        <w:spacing w:after="0"/>
        <w:rPr>
          <w:sz w:val="20"/>
          <w:szCs w:val="20"/>
          <w:color w:val="auto"/>
        </w:rPr>
      </w:pPr>
      <w:r>
        <w:rPr>
          <w:rFonts w:ascii="Arial" w:cs="Arial" w:eastAsia="Arial" w:hAnsi="Arial"/>
          <w:sz w:val="23"/>
          <w:szCs w:val="23"/>
          <w:color w:val="auto"/>
        </w:rPr>
        <w:t>Base Contract for Sale and Purchase of Natural Gas</w:t>
      </w:r>
    </w:p>
    <w:p>
      <w:pPr>
        <w:spacing w:after="0" w:line="175"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1.</w:t>
      </w:r>
      <w:r>
        <w:rPr>
          <w:sz w:val="20"/>
          <w:szCs w:val="20"/>
          <w:color w:val="auto"/>
        </w:rPr>
        <w:tab/>
      </w:r>
      <w:r>
        <w:rPr>
          <w:rFonts w:ascii="Arial" w:cs="Arial" w:eastAsia="Arial" w:hAnsi="Arial"/>
          <w:sz w:val="18"/>
          <w:szCs w:val="18"/>
          <w:color w:val="auto"/>
        </w:rPr>
        <w:t>PURPOSE AND PROCEDURES</w:t>
      </w:r>
    </w:p>
    <w:p>
      <w:pPr>
        <w:spacing w:after="0" w:line="45" w:lineRule="exact"/>
        <w:rPr>
          <w:sz w:val="20"/>
          <w:szCs w:val="20"/>
          <w:color w:val="auto"/>
        </w:rPr>
      </w:pPr>
    </w:p>
    <w:p>
      <w:pPr>
        <w:jc w:val="both"/>
        <w:ind w:left="500"/>
        <w:spacing w:after="0" w:line="259"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4"/>
          <w:szCs w:val="14"/>
          <w:color w:val="auto"/>
        </w:rPr>
        <w:t>These General Terms and Conditions are intended to facilitate purchase and sale transactions of Gas on a Firm or Interruptible basis. "Buyer" refers to</w:t>
      </w:r>
      <w:r>
        <w:rPr>
          <w:rFonts w:ascii="Arial" w:cs="Arial" w:eastAsia="Arial" w:hAnsi="Arial"/>
          <w:sz w:val="16"/>
          <w:szCs w:val="16"/>
          <w:color w:val="auto"/>
        </w:rPr>
        <w:t xml:space="preserve"> </w:t>
      </w:r>
      <w:r>
        <w:rPr>
          <w:rFonts w:ascii="Arial" w:cs="Arial" w:eastAsia="Arial" w:hAnsi="Arial"/>
          <w:sz w:val="14"/>
          <w:szCs w:val="14"/>
          <w:color w:val="auto"/>
        </w:rPr>
        <w:t>the party receiving Gas and "Seller" refers to the party delivering Gas. The entire agreement between the parties shall be the Contract as defined in Section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123825</wp:posOffset>
            </wp:positionV>
            <wp:extent cx="6174105" cy="255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6174105" cy="2559050"/>
                    </a:xfrm>
                    <a:prstGeom prst="rect">
                      <a:avLst/>
                    </a:prstGeom>
                    <a:noFill/>
                  </pic:spPr>
                </pic:pic>
              </a:graphicData>
            </a:graphic>
          </wp:anchor>
        </w:drawing>
      </w:r>
    </w:p>
    <w:p>
      <w:pPr>
        <w:spacing w:after="0" w:line="183" w:lineRule="exact"/>
        <w:rPr>
          <w:sz w:val="20"/>
          <w:szCs w:val="20"/>
          <w:color w:val="auto"/>
        </w:rPr>
      </w:pPr>
    </w:p>
    <w:p>
      <w:pPr>
        <w:ind w:left="620" w:right="1040"/>
        <w:spacing w:after="0" w:line="252" w:lineRule="auto"/>
        <w:rPr>
          <w:sz w:val="20"/>
          <w:szCs w:val="20"/>
          <w:color w:val="auto"/>
        </w:rPr>
      </w:pPr>
      <w:r>
        <w:rPr>
          <w:rFonts w:ascii="Arial" w:cs="Arial" w:eastAsia="Arial" w:hAnsi="Arial"/>
          <w:sz w:val="15"/>
          <w:szCs w:val="15"/>
          <w:b w:val="1"/>
          <w:bCs w:val="1"/>
          <w:color w:val="auto"/>
        </w:rPr>
        <w:t>The parties have selected either the “Oral Transaction Procedure” or the “Written Transaction Procedure” as indicated on the Base Contract.</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Oral Transaction Procedure:</w:t>
      </w:r>
    </w:p>
    <w:p>
      <w:pPr>
        <w:spacing w:after="0" w:line="127" w:lineRule="exact"/>
        <w:rPr>
          <w:sz w:val="20"/>
          <w:szCs w:val="20"/>
          <w:color w:val="auto"/>
        </w:rPr>
      </w:pPr>
    </w:p>
    <w:p>
      <w:pPr>
        <w:ind w:left="620" w:right="7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4"/>
          <w:szCs w:val="14"/>
          <w:color w:val="auto"/>
        </w:rPr>
        <w:t>The parties will use the following Transaction Confirmation procedure. Any Gas purchase and sale transaction may be effectuated in an EDI</w:t>
      </w:r>
      <w:r>
        <w:rPr>
          <w:rFonts w:ascii="Arial" w:cs="Arial" w:eastAsia="Arial" w:hAnsi="Arial"/>
          <w:sz w:val="16"/>
          <w:szCs w:val="16"/>
          <w:color w:val="auto"/>
        </w:rPr>
        <w:t xml:space="preserve"> </w:t>
      </w:r>
      <w:r>
        <w:rPr>
          <w:rFonts w:ascii="Arial" w:cs="Arial" w:eastAsia="Arial" w:hAnsi="Arial"/>
          <w:sz w:val="14"/>
          <w:szCs w:val="14"/>
          <w:color w:val="auto"/>
        </w:rPr>
        <w:t>transmission or telephone conversation with the offer and acceptance constituting the agreement of the parties. The parties shall be legally bound from the time they so agree to transaction terms and may each rely thereon. Any such transaction shall be considered a “writing” and to have been “signed”. Notwithstanding the foregoing sentence, the parties agree that Confirming Party shall, and the other party may, confirm a telephonic transaction by sending the other party a Transaction Confirmation by facsimile, EDI or mutually agreeable electronic means within three Business Days of a transaction covered by this Section 1.2 (Oral Transaction Procedure) provided that the failure to send a Transaction Confirmation shall not invalidate the oral agreement of the parties. Confirming Party adopts its confirming letterhead, or the like, as its signature on any Transaction Confirmation as the identification and authentication of Confirming Party. If the Transaction Confirmation contains any provisions other than those relating to the commercial terms of the transaction (i.e., price, quantity, performance obligation, delivery point, period of delivery and/or transportation conditions), which modify or supplement the Base Contract or General Terms and Conditions of this Contract (e.g., arbitration or additional representations and warranties), such provisions shall not be deemed to be accepted pursuant to Section 1.3 but must be expressly agreed to by both parties; provided that the foregoing shall not invalidate any transaction agreed to by the parties.</w:t>
      </w:r>
    </w:p>
    <w:p>
      <w:pPr>
        <w:spacing w:after="0" w:line="77"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Written Transaction Procedure:</w:t>
      </w:r>
    </w:p>
    <w:p>
      <w:pPr>
        <w:spacing w:after="0" w:line="131" w:lineRule="exact"/>
        <w:rPr>
          <w:sz w:val="20"/>
          <w:szCs w:val="20"/>
          <w:color w:val="auto"/>
        </w:rPr>
      </w:pPr>
    </w:p>
    <w:p>
      <w:pPr>
        <w:jc w:val="both"/>
        <w:ind w:left="620" w:right="760"/>
        <w:spacing w:after="0" w:line="208" w:lineRule="auto"/>
        <w:rPr>
          <w:sz w:val="20"/>
          <w:szCs w:val="20"/>
          <w:color w:val="auto"/>
        </w:rPr>
      </w:pPr>
      <w:r>
        <w:rPr>
          <w:rFonts w:ascii="Arial" w:cs="Arial" w:eastAsia="Arial" w:hAnsi="Arial"/>
          <w:sz w:val="15"/>
          <w:szCs w:val="15"/>
          <w:color w:val="auto"/>
        </w:rPr>
        <w:t>1.2. The parties will use the following Transaction Confirmation procedure. Should the parties come to an agreement regarding a Gas purchase and sale transaction for a particular Delivery Period, the Confirming Party shall, and the other party may, record that agreement on a Transaction Confirmation and communicate such Transaction Confirmation by facsimile, EDI or mutually agreeable electronic means, to the other party by the close of the Business Day following the date of agreement. The parties acknowledge that their agreement will not be binding until the exchange of nonconflicting Transaction Confirmations or the</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passage of the Confirm Deadline without objection from the receiving party, as provided in Section 1.3.</w:t>
      </w:r>
    </w:p>
    <w:p>
      <w:pPr>
        <w:spacing w:after="0" w:line="143"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5"/>
          <w:szCs w:val="15"/>
          <w:color w:val="auto"/>
        </w:rPr>
        <w:t>If a sending party's Transaction Confirmation is materially different from the receiving party's understanding of the agreement referred to in Section</w:t>
      </w:r>
    </w:p>
    <w:p>
      <w:pPr>
        <w:spacing w:after="0" w:line="3" w:lineRule="exact"/>
        <w:rPr>
          <w:sz w:val="20"/>
          <w:szCs w:val="20"/>
          <w:color w:val="auto"/>
        </w:rPr>
      </w:pPr>
    </w:p>
    <w:p>
      <w:pPr>
        <w:jc w:val="both"/>
        <w:ind w:left="500"/>
        <w:spacing w:after="0" w:line="220" w:lineRule="auto"/>
        <w:rPr>
          <w:sz w:val="20"/>
          <w:szCs w:val="20"/>
          <w:color w:val="auto"/>
        </w:rPr>
      </w:pPr>
      <w:r>
        <w:rPr>
          <w:rFonts w:ascii="Arial" w:cs="Arial" w:eastAsia="Arial" w:hAnsi="Arial"/>
          <w:sz w:val="14"/>
          <w:szCs w:val="14"/>
          <w:color w:val="auto"/>
        </w:rPr>
        <w:t>1.2, such receiving party shall notify the sending party via facsimile, EDI or mutually agreeable electronic means by the Confirm Deadline, unless such receiving party has previously sent a Transaction Confirmation to the sending party. The failure of the receiving party to so notify the sending party in writing by the Confirm Deadline constitutes the receiving party's agreement to the terms of the transaction described in the sending party's Transaction Confirmation. If there are any material differences between timely sent Transaction Confirmations governing the same transaction, then neither Transaction Confirmation shall be binding until or unless such differences are resolved including the use of any evidence that clearly resolves the differences in the Transaction Confirmations. In the event of a conflict among the terms of (i) a binding Transaction Confirmation pursuant to Section 1.2, (ii) the oral agreement of the parties which may be evidenced by a recorded conversation, where the parties have selected the Oral Transaction Procedure of the Base Contract,</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(iii) the Base Contract, and (iv) these General Terms and Conditions, the terms of the documents shall govern in the priority listed in this sentence.</w:t>
      </w:r>
    </w:p>
    <w:p>
      <w:pPr>
        <w:spacing w:after="0" w:line="35" w:lineRule="exact"/>
        <w:rPr>
          <w:sz w:val="20"/>
          <w:szCs w:val="20"/>
          <w:color w:val="auto"/>
        </w:rPr>
      </w:pPr>
    </w:p>
    <w:p>
      <w:pPr>
        <w:jc w:val="both"/>
        <w:ind w:left="500"/>
        <w:spacing w:after="0" w:line="260"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4"/>
          <w:szCs w:val="14"/>
          <w:color w:val="auto"/>
        </w:rPr>
        <w:t>The parties agree that each party may electronically record all telephone conversations with respect to this Contract between their respective</w:t>
      </w:r>
      <w:r>
        <w:rPr>
          <w:rFonts w:ascii="Arial" w:cs="Arial" w:eastAsia="Arial" w:hAnsi="Arial"/>
          <w:sz w:val="16"/>
          <w:szCs w:val="16"/>
          <w:color w:val="auto"/>
        </w:rPr>
        <w:t xml:space="preserve"> </w:t>
      </w:r>
      <w:r>
        <w:rPr>
          <w:rFonts w:ascii="Arial" w:cs="Arial" w:eastAsia="Arial" w:hAnsi="Arial"/>
          <w:sz w:val="14"/>
          <w:szCs w:val="14"/>
          <w:color w:val="auto"/>
        </w:rPr>
        <w:t>employees, without any special or further notice to the other party. Each party shall obtain any necessary consent of its agents and employees to such recording. Where the parties have selected the Oral Transaction Procedure in Section 1.2 of the Base Contract, the parties agree not to contest the validity or enforceability of telephonic recordings entered into in accordance with the requirements of this Base Contract.</w:t>
      </w:r>
    </w:p>
    <w:p>
      <w:pPr>
        <w:spacing w:after="0" w:line="40"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17"/>
          <w:szCs w:val="17"/>
          <w:color w:val="auto"/>
        </w:rPr>
        <w:t>DEFINITIONS</w:t>
      </w:r>
    </w:p>
    <w:p>
      <w:pPr>
        <w:spacing w:after="0" w:line="38" w:lineRule="exact"/>
        <w:rPr>
          <w:sz w:val="20"/>
          <w:szCs w:val="20"/>
          <w:color w:val="auto"/>
        </w:rPr>
      </w:pPr>
    </w:p>
    <w:p>
      <w:pPr>
        <w:jc w:val="both"/>
        <w:ind w:left="500" w:right="20"/>
        <w:spacing w:after="0" w:line="233" w:lineRule="auto"/>
        <w:rPr>
          <w:sz w:val="20"/>
          <w:szCs w:val="20"/>
          <w:color w:val="auto"/>
        </w:rPr>
      </w:pPr>
      <w:r>
        <w:rPr>
          <w:rFonts w:ascii="Arial" w:cs="Arial" w:eastAsia="Arial" w:hAnsi="Arial"/>
          <w:sz w:val="15"/>
          <w:szCs w:val="15"/>
          <w:color w:val="auto"/>
        </w:rPr>
        <w:t>The terms set forth below shall have the meaning ascribed to them below. Other terms are also defined elsewhere in the Contract and shall have the meanings ascribed to them herein.</w:t>
      </w:r>
    </w:p>
    <w:p>
      <w:pPr>
        <w:spacing w:after="0" w:line="18"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4"/>
          <w:szCs w:val="14"/>
          <w:color w:val="auto"/>
        </w:rPr>
        <w:t>“Additional Event of Default” shall mean Transactional Cross Default or Indebtedness Cross Default, each as and if selected by the parties pursuant</w:t>
      </w:r>
      <w:r>
        <w:rPr>
          <w:rFonts w:ascii="Arial" w:cs="Arial" w:eastAsia="Arial" w:hAnsi="Arial"/>
          <w:sz w:val="16"/>
          <w:szCs w:val="16"/>
          <w:color w:val="auto"/>
        </w:rPr>
        <w:t xml:space="preserve"> </w:t>
      </w:r>
      <w:r>
        <w:rPr>
          <w:rFonts w:ascii="Arial" w:cs="Arial" w:eastAsia="Arial" w:hAnsi="Arial"/>
          <w:sz w:val="14"/>
          <w:szCs w:val="14"/>
          <w:color w:val="auto"/>
        </w:rPr>
        <w:t>to the Base Contract.</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100" w:type="dxa"/>
            <w:vAlign w:val="bottom"/>
          </w:tcPr>
          <w:p>
            <w:pPr>
              <w:spacing w:after="0"/>
              <w:rPr>
                <w:sz w:val="20"/>
                <w:szCs w:val="20"/>
                <w:color w:val="auto"/>
              </w:rPr>
            </w:pPr>
            <w:r>
              <w:rPr>
                <w:rFonts w:ascii="Arial" w:cs="Arial" w:eastAsia="Arial" w:hAnsi="Arial"/>
                <w:sz w:val="13"/>
                <w:szCs w:val="13"/>
                <w:color w:val="auto"/>
              </w:rPr>
              <w:t>Page 3 of</w:t>
            </w:r>
          </w:p>
        </w:tc>
        <w:tc>
          <w:tcPr>
            <w:tcW w:w="4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84" w:name="page85"/>
    <w:bookmarkEnd w:id="84"/>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356" w:lineRule="exact"/>
        <w:rPr>
          <w:sz w:val="20"/>
          <w:szCs w:val="20"/>
          <w:color w:val="auto"/>
        </w:rPr>
      </w:pPr>
    </w:p>
    <w:p>
      <w:pPr>
        <w:jc w:val="both"/>
        <w:ind w:left="500"/>
        <w:spacing w:after="0" w:line="27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4"/>
          <w:szCs w:val="14"/>
          <w:color w:val="auto"/>
        </w:rPr>
        <w:t>“Affiliate” shall mean, in relation to any person, any entity controlled, directly or indirectly, by the person, any entity that controls, directly or indirectly,</w:t>
      </w:r>
      <w:r>
        <w:rPr>
          <w:rFonts w:ascii="Arial" w:cs="Arial" w:eastAsia="Arial" w:hAnsi="Arial"/>
          <w:sz w:val="16"/>
          <w:szCs w:val="16"/>
          <w:color w:val="auto"/>
        </w:rPr>
        <w:t xml:space="preserve"> </w:t>
      </w:r>
      <w:r>
        <w:rPr>
          <w:rFonts w:ascii="Arial" w:cs="Arial" w:eastAsia="Arial" w:hAnsi="Arial"/>
          <w:sz w:val="14"/>
          <w:szCs w:val="14"/>
          <w:color w:val="auto"/>
        </w:rPr>
        <w:t>the person or any entity directly or indirectly under common control with the person. For this purpose, “control” of any entity or person means ownership of at least 50 percent of the voting power of the entity or person.</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100" w:type="dxa"/>
            <w:vAlign w:val="bottom"/>
          </w:tcPr>
          <w:p>
            <w:pPr>
              <w:spacing w:after="0"/>
              <w:rPr>
                <w:sz w:val="20"/>
                <w:szCs w:val="20"/>
                <w:color w:val="auto"/>
              </w:rPr>
            </w:pPr>
            <w:r>
              <w:rPr>
                <w:rFonts w:ascii="Arial" w:cs="Arial" w:eastAsia="Arial" w:hAnsi="Arial"/>
                <w:sz w:val="13"/>
                <w:szCs w:val="13"/>
                <w:color w:val="auto"/>
              </w:rPr>
              <w:t>Page 4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85" w:name="page86"/>
    <w:bookmarkEnd w:id="85"/>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4"/>
          <w:szCs w:val="14"/>
          <w:color w:val="auto"/>
        </w:rPr>
        <w:t>“Alternative Damages” shall mean such damages, expressed in dollars or dollars per MMBtu, as the parties shall agree upon in the Transaction</w:t>
      </w:r>
      <w:r>
        <w:rPr>
          <w:rFonts w:ascii="Arial" w:cs="Arial" w:eastAsia="Arial" w:hAnsi="Arial"/>
          <w:sz w:val="16"/>
          <w:szCs w:val="16"/>
          <w:color w:val="auto"/>
        </w:rPr>
        <w:t xml:space="preserve"> </w:t>
      </w:r>
      <w:r>
        <w:rPr>
          <w:rFonts w:ascii="Arial" w:cs="Arial" w:eastAsia="Arial" w:hAnsi="Arial"/>
          <w:sz w:val="14"/>
          <w:szCs w:val="14"/>
          <w:color w:val="auto"/>
        </w:rPr>
        <w:t>Confirmation, in the event either Seller or Buyer fails to perform a Firm obligation to deliver Gas in the case of Seller or to receive Gas in the case of Buyer.</w:t>
      </w:r>
    </w:p>
    <w:p>
      <w:pPr>
        <w:spacing w:after="0" w:line="17" w:lineRule="exact"/>
        <w:rPr>
          <w:sz w:val="20"/>
          <w:szCs w:val="20"/>
          <w:color w:val="auto"/>
        </w:rPr>
      </w:pPr>
    </w:p>
    <w:p>
      <w:pPr>
        <w:jc w:val="both"/>
        <w:ind w:left="500" w:right="20"/>
        <w:spacing w:after="0" w:line="27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4"/>
          <w:szCs w:val="14"/>
          <w:color w:val="auto"/>
        </w:rPr>
        <w:t>"Base Contract" shall mean a contract executed by the parties that incorporates these General Terms and Conditions by reference; that specifies the</w:t>
      </w:r>
      <w:r>
        <w:rPr>
          <w:rFonts w:ascii="Arial" w:cs="Arial" w:eastAsia="Arial" w:hAnsi="Arial"/>
          <w:sz w:val="16"/>
          <w:szCs w:val="16"/>
          <w:color w:val="auto"/>
        </w:rPr>
        <w:t xml:space="preserve"> </w:t>
      </w:r>
      <w:r>
        <w:rPr>
          <w:rFonts w:ascii="Arial" w:cs="Arial" w:eastAsia="Arial" w:hAnsi="Arial"/>
          <w:sz w:val="14"/>
          <w:szCs w:val="14"/>
          <w:color w:val="auto"/>
        </w:rPr>
        <w:t>agreed selections of provisions contained herein; and that sets forth other information required herein and any Special Provisions and addendum(s) as identified on page one.</w:t>
      </w:r>
    </w:p>
    <w:p>
      <w:pPr>
        <w:spacing w:after="0" w:line="201"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"British thermal unit" or "Btu" shall mean the International BTU, which is also called the Btu (IT).</w:t>
      </w:r>
    </w:p>
    <w:p>
      <w:pPr>
        <w:spacing w:after="0" w:line="38"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4"/>
          <w:szCs w:val="14"/>
          <w:color w:val="auto"/>
        </w:rPr>
        <w:t>"Business Day(s)" shall mean Monday through Friday, excluding Federal Banking Holidays for transactions in the U.S.</w:t>
      </w:r>
    </w:p>
    <w:p>
      <w:pPr>
        <w:spacing w:after="0" w:line="62"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4"/>
          <w:szCs w:val="14"/>
          <w:color w:val="auto"/>
        </w:rPr>
        <w:t>"Confirm Deadline" shall mean 5:00 p.m. in the receiving party's time zone on the second Business Day following the Day a Transaction</w:t>
      </w:r>
      <w:r>
        <w:rPr>
          <w:rFonts w:ascii="Arial" w:cs="Arial" w:eastAsia="Arial" w:hAnsi="Arial"/>
          <w:sz w:val="16"/>
          <w:szCs w:val="16"/>
          <w:color w:val="auto"/>
        </w:rPr>
        <w:t xml:space="preserve"> </w:t>
      </w:r>
      <w:r>
        <w:rPr>
          <w:rFonts w:ascii="Arial" w:cs="Arial" w:eastAsia="Arial" w:hAnsi="Arial"/>
          <w:sz w:val="14"/>
          <w:szCs w:val="14"/>
          <w:color w:val="auto"/>
        </w:rPr>
        <w:t>Confirmation is received or, if applicable, on the Business Day agreed to by the parties in the Base Contract; provided, if the Transaction Confirmation is time stamped after 5:00 p.m. in the receiving party's time zone, it shall be deemed received at the opening of the next Business Day.</w:t>
      </w:r>
    </w:p>
    <w:p>
      <w:pPr>
        <w:spacing w:after="0" w:line="54"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4"/>
          <w:szCs w:val="14"/>
          <w:color w:val="auto"/>
        </w:rPr>
        <w:t>"Confirming Party" shall mean the party designated in the Base Contract to prepare and forward Transaction Confirmations to the other party.</w:t>
      </w:r>
    </w:p>
    <w:p>
      <w:pPr>
        <w:spacing w:after="0" w:line="75" w:lineRule="exact"/>
        <w:rPr>
          <w:sz w:val="20"/>
          <w:szCs w:val="20"/>
          <w:color w:val="auto"/>
        </w:rPr>
      </w:pPr>
    </w:p>
    <w:p>
      <w:pPr>
        <w:jc w:val="both"/>
        <w:ind w:left="500"/>
        <w:spacing w:after="0" w:line="260"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4"/>
          <w:szCs w:val="14"/>
          <w:color w:val="auto"/>
        </w:rPr>
        <w:t>"Contract" shall mean the legally-binding relationship established by (i) the Base Contract, (ii) any and all binding Transaction Confirmations and (iii)</w:t>
      </w:r>
      <w:r>
        <w:rPr>
          <w:rFonts w:ascii="Arial" w:cs="Arial" w:eastAsia="Arial" w:hAnsi="Arial"/>
          <w:sz w:val="16"/>
          <w:szCs w:val="16"/>
          <w:color w:val="auto"/>
        </w:rPr>
        <w:t xml:space="preserve"> </w:t>
      </w:r>
      <w:r>
        <w:rPr>
          <w:rFonts w:ascii="Arial" w:cs="Arial" w:eastAsia="Arial" w:hAnsi="Arial"/>
          <w:sz w:val="14"/>
          <w:szCs w:val="14"/>
          <w:color w:val="auto"/>
        </w:rPr>
        <w:t>where the parties have selected the Oral Transaction Procedure in Section 1.2 of the Base Contract, any and all transactions that the parties have entered into through an EDI transmission or by telephone, but that have not been confirmed in a binding Transaction Confirmation, all of which shall form a single integrated agreement between the parties.</w:t>
      </w:r>
    </w:p>
    <w:p>
      <w:pPr>
        <w:spacing w:after="0" w:line="41"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4"/>
          <w:szCs w:val="14"/>
          <w:color w:val="auto"/>
        </w:rPr>
        <w:t>"Contract Price" shall mean the amount expressed in U.S. Dollars per MMBtu to be paid by Buyer to Seller for the purchase of Gas as agreed to by</w:t>
      </w:r>
      <w:r>
        <w:rPr>
          <w:rFonts w:ascii="Arial" w:cs="Arial" w:eastAsia="Arial" w:hAnsi="Arial"/>
          <w:sz w:val="16"/>
          <w:szCs w:val="16"/>
          <w:color w:val="auto"/>
        </w:rPr>
        <w:t xml:space="preserve"> </w:t>
      </w:r>
      <w:r>
        <w:rPr>
          <w:rFonts w:ascii="Arial" w:cs="Arial" w:eastAsia="Arial" w:hAnsi="Arial"/>
          <w:sz w:val="14"/>
          <w:szCs w:val="14"/>
          <w:color w:val="auto"/>
        </w:rPr>
        <w:t>the parties in a transaction.</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2.11. </w:t>
      </w:r>
      <w:r>
        <w:rPr>
          <w:rFonts w:ascii="Arial" w:cs="Arial" w:eastAsia="Arial" w:hAnsi="Arial"/>
          <w:sz w:val="14"/>
          <w:szCs w:val="14"/>
          <w:color w:val="auto"/>
        </w:rPr>
        <w:t>"Contract Quantity" shall mean the quantity of Gas to be delivered and taken as agreed to by the parties in a transaction.</w:t>
      </w:r>
    </w:p>
    <w:p>
      <w:pPr>
        <w:spacing w:after="0" w:line="38"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4"/>
          <w:szCs w:val="14"/>
          <w:color w:val="auto"/>
        </w:rPr>
        <w:t>"Cover Standard", as referred to in Section 3.2, shall mean that if there is an unexcused failure to take or deliver any quantity of Gas pursuant to this</w:t>
      </w:r>
    </w:p>
    <w:p>
      <w:pPr>
        <w:spacing w:after="0" w:line="3" w:lineRule="exact"/>
        <w:rPr>
          <w:sz w:val="20"/>
          <w:szCs w:val="20"/>
          <w:color w:val="auto"/>
        </w:rPr>
      </w:pPr>
    </w:p>
    <w:p>
      <w:pPr>
        <w:jc w:val="both"/>
        <w:ind w:left="500"/>
        <w:spacing w:after="0" w:line="216" w:lineRule="auto"/>
        <w:rPr>
          <w:sz w:val="20"/>
          <w:szCs w:val="20"/>
          <w:color w:val="auto"/>
        </w:rPr>
      </w:pPr>
      <w:r>
        <w:rPr>
          <w:rFonts w:ascii="Arial" w:cs="Arial" w:eastAsia="Arial" w:hAnsi="Arial"/>
          <w:sz w:val="15"/>
          <w:szCs w:val="15"/>
          <w:color w:val="auto"/>
        </w:rPr>
        <w:t>Contract, then the performing party shall use commercially reasonable efforts to (i) if Buyer is the performing party, obtain Gas, (or an alternate fuel if elected by Buyer and replacement Gas is not available), or (ii) if Seller is the performing party, sell Gas, in either case, at a price reasonable for the delivery or production area, as applicable, consistent with: the amount of notice provided by the nonperforming party; the immediacy of the Buyer's Gas consumption needs or Seller's Gas sales requirements, as applicable; the quantities involved; and the anticipated length of failure by the nonperforming party.</w:t>
      </w:r>
    </w:p>
    <w:p>
      <w:pPr>
        <w:spacing w:after="0" w:line="30" w:lineRule="exact"/>
        <w:rPr>
          <w:sz w:val="20"/>
          <w:szCs w:val="20"/>
          <w:color w:val="auto"/>
        </w:rPr>
      </w:pPr>
    </w:p>
    <w:p>
      <w:pPr>
        <w:jc w:val="both"/>
        <w:ind w:left="500"/>
        <w:spacing w:after="0" w:line="26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4"/>
          <w:szCs w:val="14"/>
          <w:color w:val="auto"/>
        </w:rPr>
        <w:t>"Credit Support Obligation(s)” shall mean any obligation(s) to provide or establish credit support for, or on behalf of, a party to this Contract such as</w:t>
      </w:r>
      <w:r>
        <w:rPr>
          <w:rFonts w:ascii="Arial" w:cs="Arial" w:eastAsia="Arial" w:hAnsi="Arial"/>
          <w:sz w:val="16"/>
          <w:szCs w:val="16"/>
          <w:color w:val="auto"/>
        </w:rPr>
        <w:t xml:space="preserve"> </w:t>
      </w:r>
      <w:r>
        <w:rPr>
          <w:rFonts w:ascii="Arial" w:cs="Arial" w:eastAsia="Arial" w:hAnsi="Arial"/>
          <w:sz w:val="14"/>
          <w:szCs w:val="14"/>
          <w:color w:val="auto"/>
        </w:rPr>
        <w:t>cash, an irrevocable standby letter of credit, a margin agreement, a prepayment, a security interest in an asset, guaranty, or other good and sufficient security of a continuing nature.</w:t>
      </w:r>
    </w:p>
    <w:p>
      <w:pPr>
        <w:spacing w:after="0" w:line="41"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4"/>
          <w:szCs w:val="14"/>
          <w:color w:val="auto"/>
        </w:rPr>
        <w:t>"Day" shall mean a period of 24 consecutive hours, coextensive with a "day" as defined by the Receiving Transporter in a particular transaction.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2.15. </w:t>
      </w:r>
      <w:r>
        <w:rPr>
          <w:rFonts w:ascii="Arial" w:cs="Arial" w:eastAsia="Arial" w:hAnsi="Arial"/>
          <w:sz w:val="14"/>
          <w:szCs w:val="14"/>
          <w:color w:val="auto"/>
        </w:rPr>
        <w:t>"Delivery Period" shall be the period during which deliveries are to be made as agreed to by the parties in a transaction.</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2.16. </w:t>
      </w:r>
      <w:r>
        <w:rPr>
          <w:rFonts w:ascii="Arial" w:cs="Arial" w:eastAsia="Arial" w:hAnsi="Arial"/>
          <w:sz w:val="14"/>
          <w:szCs w:val="14"/>
          <w:color w:val="auto"/>
        </w:rPr>
        <w:t>"Delivery Point(s)" shall mean such point(s) as are agreed to by the parties in a transaction.</w:t>
      </w:r>
    </w:p>
    <w:p>
      <w:pPr>
        <w:spacing w:after="0" w:line="50"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4"/>
          <w:szCs w:val="14"/>
          <w:color w:val="auto"/>
        </w:rPr>
        <w:t>"EDI" shall mean an electronic data interchange pursuant to an agreement entered into by the parties, specifically relating to the communication of</w:t>
      </w:r>
      <w:r>
        <w:rPr>
          <w:rFonts w:ascii="Arial" w:cs="Arial" w:eastAsia="Arial" w:hAnsi="Arial"/>
          <w:sz w:val="16"/>
          <w:szCs w:val="16"/>
          <w:color w:val="auto"/>
        </w:rPr>
        <w:t xml:space="preserve"> </w:t>
      </w:r>
      <w:r>
        <w:rPr>
          <w:rFonts w:ascii="Arial" w:cs="Arial" w:eastAsia="Arial" w:hAnsi="Arial"/>
          <w:sz w:val="14"/>
          <w:szCs w:val="14"/>
          <w:color w:val="auto"/>
        </w:rPr>
        <w:t>Transaction Confirmations under this Contract.</w:t>
      </w:r>
    </w:p>
    <w:p>
      <w:pPr>
        <w:spacing w:after="0" w:line="17"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4"/>
          <w:szCs w:val="14"/>
          <w:color w:val="auto"/>
        </w:rPr>
        <w:t>"EFP" shall mean the purchase, sale or exchange of natural Gas as the "physical" side of an exchange for physical transaction involving gas futures</w:t>
      </w:r>
      <w:r>
        <w:rPr>
          <w:rFonts w:ascii="Arial" w:cs="Arial" w:eastAsia="Arial" w:hAnsi="Arial"/>
          <w:sz w:val="16"/>
          <w:szCs w:val="16"/>
          <w:color w:val="auto"/>
        </w:rPr>
        <w:t xml:space="preserve"> </w:t>
      </w:r>
      <w:r>
        <w:rPr>
          <w:rFonts w:ascii="Arial" w:cs="Arial" w:eastAsia="Arial" w:hAnsi="Arial"/>
          <w:sz w:val="14"/>
          <w:szCs w:val="14"/>
          <w:color w:val="auto"/>
        </w:rPr>
        <w:t>contracts. EFP shall incorporate the meaning and remedies of "Firm", provided that a party’s excuse for nonperformance of its obligations to deliver or receive Gas will be governed by the rules of the relevant futures exchange re gulated under the Commodity Exchange Act.</w:t>
      </w:r>
    </w:p>
    <w:p>
      <w:pPr>
        <w:spacing w:after="0" w:line="41" w:lineRule="exact"/>
        <w:rPr>
          <w:sz w:val="20"/>
          <w:szCs w:val="20"/>
          <w:color w:val="auto"/>
        </w:rPr>
      </w:pPr>
    </w:p>
    <w:p>
      <w:pPr>
        <w:jc w:val="both"/>
        <w:ind w:left="500"/>
        <w:spacing w:after="0" w:line="264"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4"/>
          <w:szCs w:val="14"/>
          <w:color w:val="auto"/>
        </w:rPr>
        <w:t>"Firm" shall mean that either party may interrupt its performance without liability only to the extent that such performance is prevented for reasons of</w:t>
      </w:r>
      <w:r>
        <w:rPr>
          <w:rFonts w:ascii="Arial" w:cs="Arial" w:eastAsia="Arial" w:hAnsi="Arial"/>
          <w:sz w:val="16"/>
          <w:szCs w:val="16"/>
          <w:color w:val="auto"/>
        </w:rPr>
        <w:t xml:space="preserve"> </w:t>
      </w:r>
      <w:r>
        <w:rPr>
          <w:rFonts w:ascii="Arial" w:cs="Arial" w:eastAsia="Arial" w:hAnsi="Arial"/>
          <w:sz w:val="14"/>
          <w:szCs w:val="14"/>
          <w:color w:val="auto"/>
        </w:rPr>
        <w:t>Force Majeure; provided, however, that during Force Majeure interruptions, the party invoking Force Majeure may be responsible for any Imbalance Charges as set forth in Section 4.3 related to its interruption after the nomination is made to the Transporter and until the change in deliveries and/or receipts is confirmed by the Transporter.</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2.20. </w:t>
      </w:r>
      <w:r>
        <w:rPr>
          <w:rFonts w:ascii="Arial" w:cs="Arial" w:eastAsia="Arial" w:hAnsi="Arial"/>
          <w:sz w:val="14"/>
          <w:szCs w:val="14"/>
          <w:color w:val="auto"/>
        </w:rPr>
        <w:t>"Gas" shall mean any mixture of hydrocarbons and noncombustible gases in a gaseous state consisting primarily of methane.</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4"/>
          <w:szCs w:val="14"/>
          <w:color w:val="auto"/>
        </w:rPr>
        <w:t>“Guarantor” shall mean any entity that has provided a guaranty of the obligations of a party hereunder.</w:t>
      </w:r>
    </w:p>
    <w:p>
      <w:pPr>
        <w:spacing w:after="0" w:line="50"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4"/>
          <w:szCs w:val="14"/>
          <w:color w:val="auto"/>
        </w:rPr>
        <w:t>"Imbalance Charges" shall mean any fees, penalties, costs or charges (in cash or in kind) assessed by a Transporter for failure to satisfy the</w:t>
      </w:r>
      <w:r>
        <w:rPr>
          <w:rFonts w:ascii="Arial" w:cs="Arial" w:eastAsia="Arial" w:hAnsi="Arial"/>
          <w:sz w:val="16"/>
          <w:szCs w:val="16"/>
          <w:color w:val="auto"/>
        </w:rPr>
        <w:t xml:space="preserve"> </w:t>
      </w:r>
      <w:r>
        <w:rPr>
          <w:rFonts w:ascii="Arial" w:cs="Arial" w:eastAsia="Arial" w:hAnsi="Arial"/>
          <w:sz w:val="14"/>
          <w:szCs w:val="14"/>
          <w:color w:val="auto"/>
        </w:rPr>
        <w:t>Transporter's balance and/or nomination requirements.</w:t>
      </w:r>
    </w:p>
    <w:p>
      <w:pPr>
        <w:spacing w:after="0" w:line="5" w:lineRule="exact"/>
        <w:rPr>
          <w:sz w:val="20"/>
          <w:szCs w:val="20"/>
          <w:color w:val="auto"/>
        </w:rPr>
      </w:pPr>
    </w:p>
    <w:p>
      <w:pPr>
        <w:jc w:val="both"/>
        <w:ind w:left="500"/>
        <w:spacing w:after="0" w:line="230"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4"/>
          <w:szCs w:val="14"/>
          <w:color w:val="auto"/>
        </w:rPr>
        <w:t>“Indebtedness Cross Default” shall mean if selected on the Base Contract by the parties with respect to a party, that it or its Guarantor, if any,</w:t>
      </w:r>
      <w:r>
        <w:rPr>
          <w:rFonts w:ascii="Arial" w:cs="Arial" w:eastAsia="Arial" w:hAnsi="Arial"/>
          <w:sz w:val="16"/>
          <w:szCs w:val="16"/>
          <w:color w:val="auto"/>
        </w:rPr>
        <w:t xml:space="preserve"> </w:t>
      </w:r>
      <w:r>
        <w:rPr>
          <w:rFonts w:ascii="Arial" w:cs="Arial" w:eastAsia="Arial" w:hAnsi="Arial"/>
          <w:sz w:val="14"/>
          <w:szCs w:val="14"/>
          <w:color w:val="auto"/>
        </w:rPr>
        <w:t>experiences a default, or similar condition or event however therein defined, under one or more agreements or instruments, individually or collectively, relating to indebtedness (such indebtedness to include any obligation whether present or future, contingent or otherwise, as principal or surety or otherwise) for the payment or repayment of borrowed money in an aggregate amount greater than the threshold specified in the Base Contract with respect to such party or its Guarantor, if any, which results in such indebtedness becoming immediately due and payable.</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0"/>
                <w:szCs w:val="20"/>
                <w:color w:val="auto"/>
              </w:rPr>
            </w:pPr>
            <w:r>
              <w:rPr>
                <w:rFonts w:ascii="Arial" w:cs="Arial" w:eastAsia="Arial" w:hAnsi="Arial"/>
                <w:sz w:val="13"/>
                <w:szCs w:val="13"/>
                <w:color w:val="auto"/>
              </w:rPr>
              <w:t>Page 5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86" w:name="page87"/>
    <w:bookmarkEnd w:id="86"/>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356" w:lineRule="exact"/>
        <w:rPr>
          <w:sz w:val="20"/>
          <w:szCs w:val="20"/>
          <w:color w:val="auto"/>
        </w:rPr>
      </w:pPr>
    </w:p>
    <w:p>
      <w:pPr>
        <w:ind w:left="500"/>
        <w:spacing w:after="0" w:line="288"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4"/>
          <w:szCs w:val="14"/>
          <w:color w:val="auto"/>
        </w:rPr>
        <w:t>"Interruptible" shall mean that either party may interrupt its performance at any time for any reason, whether or not caused by an event of Force</w:t>
      </w:r>
      <w:r>
        <w:rPr>
          <w:rFonts w:ascii="Arial" w:cs="Arial" w:eastAsia="Arial" w:hAnsi="Arial"/>
          <w:sz w:val="16"/>
          <w:szCs w:val="16"/>
          <w:color w:val="auto"/>
        </w:rPr>
        <w:t xml:space="preserve"> </w:t>
      </w:r>
      <w:r>
        <w:rPr>
          <w:rFonts w:ascii="Arial" w:cs="Arial" w:eastAsia="Arial" w:hAnsi="Arial"/>
          <w:sz w:val="14"/>
          <w:szCs w:val="14"/>
          <w:color w:val="auto"/>
        </w:rPr>
        <w:t>Majeure, with no liability, except such interrupting party may be responsible for any Imbalance Charges as set</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100" w:type="dxa"/>
            <w:vAlign w:val="bottom"/>
          </w:tcPr>
          <w:p>
            <w:pPr>
              <w:spacing w:after="0"/>
              <w:rPr>
                <w:sz w:val="20"/>
                <w:szCs w:val="20"/>
                <w:color w:val="auto"/>
              </w:rPr>
            </w:pPr>
            <w:r>
              <w:rPr>
                <w:rFonts w:ascii="Arial" w:cs="Arial" w:eastAsia="Arial" w:hAnsi="Arial"/>
                <w:sz w:val="13"/>
                <w:szCs w:val="13"/>
                <w:color w:val="auto"/>
              </w:rPr>
              <w:t>Page 6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87" w:name="page88"/>
    <w:bookmarkEnd w:id="87"/>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385" w:lineRule="exact"/>
        <w:rPr>
          <w:sz w:val="20"/>
          <w:szCs w:val="20"/>
          <w:color w:val="auto"/>
        </w:rPr>
      </w:pPr>
    </w:p>
    <w:p>
      <w:pPr>
        <w:ind w:left="500" w:right="140"/>
        <w:spacing w:after="0" w:line="233" w:lineRule="auto"/>
        <w:rPr>
          <w:sz w:val="20"/>
          <w:szCs w:val="20"/>
          <w:color w:val="auto"/>
        </w:rPr>
      </w:pPr>
      <w:r>
        <w:rPr>
          <w:rFonts w:ascii="Arial" w:cs="Arial" w:eastAsia="Arial" w:hAnsi="Arial"/>
          <w:sz w:val="15"/>
          <w:szCs w:val="15"/>
          <w:color w:val="auto"/>
        </w:rPr>
        <w:t>forth in Section 4.3 related to its interruption after the nomination is made to the Transporter and until the change in deliveries and/or receipts is confirmed by Transporter.</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2.25. </w:t>
      </w:r>
      <w:r>
        <w:rPr>
          <w:rFonts w:ascii="Arial" w:cs="Arial" w:eastAsia="Arial" w:hAnsi="Arial"/>
          <w:sz w:val="14"/>
          <w:szCs w:val="14"/>
          <w:color w:val="auto"/>
        </w:rPr>
        <w:t>"MMBtu" shall mean one million British thermal units, which is equivalent to one dekatherm.</w:t>
      </w:r>
    </w:p>
    <w:p>
      <w:pPr>
        <w:spacing w:after="0" w:line="50" w:lineRule="exact"/>
        <w:rPr>
          <w:sz w:val="20"/>
          <w:szCs w:val="20"/>
          <w:color w:val="auto"/>
        </w:rPr>
      </w:pPr>
    </w:p>
    <w:p>
      <w:pPr>
        <w:ind w:left="500" w:right="140"/>
        <w:spacing w:after="0" w:line="288"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4"/>
          <w:szCs w:val="14"/>
          <w:color w:val="auto"/>
        </w:rPr>
        <w:t>"Month" shall mean the period beginning on the first Day of the calendar month and ending immediately prior to the commencement of the first Day</w:t>
      </w:r>
      <w:r>
        <w:rPr>
          <w:rFonts w:ascii="Arial" w:cs="Arial" w:eastAsia="Arial" w:hAnsi="Arial"/>
          <w:sz w:val="16"/>
          <w:szCs w:val="16"/>
          <w:color w:val="auto"/>
        </w:rPr>
        <w:t xml:space="preserve"> </w:t>
      </w:r>
      <w:r>
        <w:rPr>
          <w:rFonts w:ascii="Arial" w:cs="Arial" w:eastAsia="Arial" w:hAnsi="Arial"/>
          <w:sz w:val="14"/>
          <w:szCs w:val="14"/>
          <w:color w:val="auto"/>
        </w:rPr>
        <w:t>of the next calendar month.</w:t>
      </w:r>
    </w:p>
    <w:p>
      <w:pPr>
        <w:spacing w:after="0" w:line="17" w:lineRule="exact"/>
        <w:rPr>
          <w:sz w:val="20"/>
          <w:szCs w:val="20"/>
          <w:color w:val="auto"/>
        </w:rPr>
      </w:pPr>
    </w:p>
    <w:p>
      <w:pPr>
        <w:ind w:left="500" w:right="280"/>
        <w:spacing w:after="0" w:line="288"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4"/>
          <w:szCs w:val="14"/>
          <w:color w:val="auto"/>
        </w:rPr>
        <w:t>"Payment Date" shall mean a date, as indicated on the Base Contract, on or before which payment is due Seller for Gas received by Buyer in the</w:t>
      </w:r>
      <w:r>
        <w:rPr>
          <w:rFonts w:ascii="Arial" w:cs="Arial" w:eastAsia="Arial" w:hAnsi="Arial"/>
          <w:sz w:val="16"/>
          <w:szCs w:val="16"/>
          <w:color w:val="auto"/>
        </w:rPr>
        <w:t xml:space="preserve"> </w:t>
      </w:r>
      <w:r>
        <w:rPr>
          <w:rFonts w:ascii="Arial" w:cs="Arial" w:eastAsia="Arial" w:hAnsi="Arial"/>
          <w:sz w:val="14"/>
          <w:szCs w:val="14"/>
          <w:color w:val="auto"/>
        </w:rPr>
        <w:t>previous Month.</w:t>
      </w:r>
    </w:p>
    <w:p>
      <w:pPr>
        <w:spacing w:after="0" w:line="5" w:lineRule="exact"/>
        <w:rPr>
          <w:sz w:val="20"/>
          <w:szCs w:val="20"/>
          <w:color w:val="auto"/>
        </w:rPr>
      </w:pPr>
    </w:p>
    <w:p>
      <w:pPr>
        <w:ind w:left="500" w:right="640"/>
        <w:spacing w:after="0" w:line="288"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4"/>
          <w:szCs w:val="14"/>
          <w:color w:val="auto"/>
        </w:rPr>
        <w:t>"Receiving Transporter" shall mean the Transporter receiving Gas at a Delivery Point, or absent such receiving Transporter, the Transporter</w:t>
      </w:r>
      <w:r>
        <w:rPr>
          <w:rFonts w:ascii="Arial" w:cs="Arial" w:eastAsia="Arial" w:hAnsi="Arial"/>
          <w:sz w:val="16"/>
          <w:szCs w:val="16"/>
          <w:color w:val="auto"/>
        </w:rPr>
        <w:t xml:space="preserve"> </w:t>
      </w:r>
      <w:r>
        <w:rPr>
          <w:rFonts w:ascii="Arial" w:cs="Arial" w:eastAsia="Arial" w:hAnsi="Arial"/>
          <w:sz w:val="14"/>
          <w:szCs w:val="14"/>
          <w:color w:val="auto"/>
        </w:rPr>
        <w:t>delivering Gas at a Delivery Point.</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2.29. </w:t>
      </w:r>
      <w:r>
        <w:rPr>
          <w:rFonts w:ascii="Arial" w:cs="Arial" w:eastAsia="Arial" w:hAnsi="Arial"/>
          <w:sz w:val="14"/>
          <w:szCs w:val="14"/>
          <w:color w:val="auto"/>
        </w:rPr>
        <w:t>"Scheduled Gas" shall mean the quantity of Gas confirmed by Transporter(s) for movement, transportation or management.</w:t>
      </w:r>
    </w:p>
    <w:p>
      <w:pPr>
        <w:spacing w:after="0" w:line="38"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4"/>
          <w:szCs w:val="14"/>
          <w:color w:val="auto"/>
        </w:rPr>
        <w:t>“Specified Transaction(s)” shall mean any other transaction or agreement between the parties for the purchase, sale or exchange of physical Gas,</w:t>
      </w:r>
      <w:r>
        <w:rPr>
          <w:rFonts w:ascii="Arial" w:cs="Arial" w:eastAsia="Arial" w:hAnsi="Arial"/>
          <w:sz w:val="16"/>
          <w:szCs w:val="16"/>
          <w:color w:val="auto"/>
        </w:rPr>
        <w:t xml:space="preserve"> </w:t>
      </w:r>
      <w:r>
        <w:rPr>
          <w:rFonts w:ascii="Arial" w:cs="Arial" w:eastAsia="Arial" w:hAnsi="Arial"/>
          <w:sz w:val="14"/>
          <w:szCs w:val="14"/>
          <w:color w:val="auto"/>
        </w:rPr>
        <w:t>and any other transaction or agreement identified as a Specified Transaction under the Base Contract.</w:t>
      </w:r>
    </w:p>
    <w:p>
      <w:pPr>
        <w:spacing w:after="0" w:line="17" w:lineRule="exact"/>
        <w:rPr>
          <w:sz w:val="20"/>
          <w:szCs w:val="20"/>
          <w:color w:val="auto"/>
        </w:rPr>
      </w:pPr>
    </w:p>
    <w:p>
      <w:pPr>
        <w:jc w:val="both"/>
        <w:ind w:left="500"/>
        <w:spacing w:after="0" w:line="259"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4"/>
          <w:szCs w:val="14"/>
          <w:color w:val="auto"/>
        </w:rPr>
        <w:t>"Spot Price " as referred to in Section 3.2 shall mean the price listed in the publication indicated on the Base Contract, under the listing applicable to</w:t>
      </w:r>
      <w:r>
        <w:rPr>
          <w:rFonts w:ascii="Arial" w:cs="Arial" w:eastAsia="Arial" w:hAnsi="Arial"/>
          <w:sz w:val="16"/>
          <w:szCs w:val="16"/>
          <w:color w:val="auto"/>
        </w:rPr>
        <w:t xml:space="preserve"> </w:t>
      </w:r>
      <w:r>
        <w:rPr>
          <w:rFonts w:ascii="Arial" w:cs="Arial" w:eastAsia="Arial" w:hAnsi="Arial"/>
          <w:sz w:val="14"/>
          <w:szCs w:val="14"/>
          <w:color w:val="auto"/>
        </w:rPr>
        <w:t>the geographic location closest in proximity to the Delivery Point(s) for the relevant Day; provided, if there is no single price published for such location for such Day, but there is published a range of prices, then the Spot Price shall be the average of such high and low prices. If no price or range of prices is published for such Day, then the Spot Price shall be the average of the following: (i) the price (determined as stated above) for the first Day for which a price or range of prices is published that next precedes the relevant Day; and (ii) the price (determined as stated above) for the first Day for which a price or range of prices is published that next follows the relevant Day.</w:t>
      </w:r>
    </w:p>
    <w:p>
      <w:pPr>
        <w:spacing w:after="0" w:line="42" w:lineRule="exact"/>
        <w:rPr>
          <w:sz w:val="20"/>
          <w:szCs w:val="20"/>
          <w:color w:val="auto"/>
        </w:rPr>
      </w:pPr>
    </w:p>
    <w:p>
      <w:pPr>
        <w:ind w:left="500" w:right="40"/>
        <w:spacing w:after="0" w:line="288"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4"/>
          <w:szCs w:val="14"/>
          <w:color w:val="auto"/>
        </w:rPr>
        <w:t>"Transaction Confirmation" shall mean a document, similar to the form of Exhibit A, setting forth the terms of a transaction formed pursuant to</w:t>
      </w:r>
      <w:r>
        <w:rPr>
          <w:rFonts w:ascii="Arial" w:cs="Arial" w:eastAsia="Arial" w:hAnsi="Arial"/>
          <w:sz w:val="16"/>
          <w:szCs w:val="16"/>
          <w:color w:val="auto"/>
        </w:rPr>
        <w:t xml:space="preserve"> </w:t>
      </w:r>
      <w:r>
        <w:rPr>
          <w:rFonts w:ascii="Arial" w:cs="Arial" w:eastAsia="Arial" w:hAnsi="Arial"/>
          <w:sz w:val="14"/>
          <w:szCs w:val="14"/>
          <w:color w:val="auto"/>
        </w:rPr>
        <w:t>Section 1 for a particular Delivery Period.</w:t>
      </w:r>
    </w:p>
    <w:p>
      <w:pPr>
        <w:spacing w:after="0" w:line="17"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4"/>
          <w:szCs w:val="14"/>
          <w:color w:val="auto"/>
        </w:rPr>
        <w:t>“Transactional Cross Default” shall mean if selected on the Base Contract by the parties with respect to a party, that it shall be in default, however</w:t>
      </w:r>
      <w:r>
        <w:rPr>
          <w:rFonts w:ascii="Arial" w:cs="Arial" w:eastAsia="Arial" w:hAnsi="Arial"/>
          <w:sz w:val="16"/>
          <w:szCs w:val="16"/>
          <w:color w:val="auto"/>
        </w:rPr>
        <w:t xml:space="preserve"> </w:t>
      </w:r>
      <w:r>
        <w:rPr>
          <w:rFonts w:ascii="Arial" w:cs="Arial" w:eastAsia="Arial" w:hAnsi="Arial"/>
          <w:sz w:val="14"/>
          <w:szCs w:val="14"/>
          <w:color w:val="auto"/>
        </w:rPr>
        <w:t>therein defined, under any Specified Transaction.</w:t>
      </w:r>
    </w:p>
    <w:p>
      <w:pPr>
        <w:spacing w:after="0" w:line="17" w:lineRule="exact"/>
        <w:rPr>
          <w:sz w:val="20"/>
          <w:szCs w:val="20"/>
          <w:color w:val="auto"/>
        </w:rPr>
      </w:pPr>
    </w:p>
    <w:p>
      <w:pPr>
        <w:jc w:val="both"/>
        <w:ind w:left="500"/>
        <w:spacing w:after="0" w:line="261"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4"/>
          <w:szCs w:val="14"/>
          <w:color w:val="auto"/>
        </w:rPr>
        <w:t>“Termination Option” shall mean the option of either party to terminate a transaction in the event that the other party fails to perform a Firm obligation</w:t>
      </w:r>
      <w:r>
        <w:rPr>
          <w:rFonts w:ascii="Arial" w:cs="Arial" w:eastAsia="Arial" w:hAnsi="Arial"/>
          <w:sz w:val="16"/>
          <w:szCs w:val="16"/>
          <w:color w:val="auto"/>
        </w:rPr>
        <w:t xml:space="preserve"> </w:t>
      </w:r>
      <w:r>
        <w:rPr>
          <w:rFonts w:ascii="Arial" w:cs="Arial" w:eastAsia="Arial" w:hAnsi="Arial"/>
          <w:sz w:val="14"/>
          <w:szCs w:val="14"/>
          <w:color w:val="auto"/>
        </w:rPr>
        <w:t>to deliver Gas in the case of Seller or to receive Gas in the case of Buyer for a designated number of days during a period as specified on the applicable Transaction Confirmation.</w:t>
      </w:r>
    </w:p>
    <w:p>
      <w:pPr>
        <w:spacing w:after="0" w:line="54" w:lineRule="exact"/>
        <w:rPr>
          <w:sz w:val="20"/>
          <w:szCs w:val="20"/>
          <w:color w:val="auto"/>
        </w:rPr>
      </w:pPr>
    </w:p>
    <w:p>
      <w:pPr>
        <w:jc w:val="both"/>
        <w:ind w:left="500"/>
        <w:spacing w:after="0" w:line="269" w:lineRule="auto"/>
        <w:rPr>
          <w:sz w:val="20"/>
          <w:szCs w:val="20"/>
          <w:color w:val="auto"/>
        </w:rPr>
      </w:pPr>
      <w:r>
        <w:rPr>
          <w:rFonts w:ascii="Arial" w:cs="Arial" w:eastAsia="Arial" w:hAnsi="Arial"/>
          <w:sz w:val="16"/>
          <w:szCs w:val="16"/>
          <w:color w:val="auto"/>
        </w:rPr>
        <w:t xml:space="preserve">2.35. </w:t>
      </w:r>
      <w:r>
        <w:rPr>
          <w:rFonts w:ascii="Arial" w:cs="Arial" w:eastAsia="Arial" w:hAnsi="Arial"/>
          <w:sz w:val="14"/>
          <w:szCs w:val="14"/>
          <w:color w:val="auto"/>
        </w:rPr>
        <w:t>"Transporter(s)" shall mean all Gas gathering or pipeline companies, or local distribution companies, acting in the capacity of a transporter,</w:t>
      </w:r>
      <w:r>
        <w:rPr>
          <w:rFonts w:ascii="Arial" w:cs="Arial" w:eastAsia="Arial" w:hAnsi="Arial"/>
          <w:sz w:val="16"/>
          <w:szCs w:val="16"/>
          <w:color w:val="auto"/>
        </w:rPr>
        <w:t xml:space="preserve"> </w:t>
      </w:r>
      <w:r>
        <w:rPr>
          <w:rFonts w:ascii="Arial" w:cs="Arial" w:eastAsia="Arial" w:hAnsi="Arial"/>
          <w:sz w:val="14"/>
          <w:szCs w:val="14"/>
          <w:color w:val="auto"/>
        </w:rPr>
        <w:t>transporting Gas for Seller or Buyer upstream or downstream, respectively, of the Delivery Point pursuant to a particular transaction.</w:t>
      </w:r>
    </w:p>
    <w:p>
      <w:pPr>
        <w:spacing w:after="0" w:line="30"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3.</w:t>
      </w:r>
      <w:r>
        <w:rPr>
          <w:sz w:val="20"/>
          <w:szCs w:val="20"/>
          <w:color w:val="auto"/>
        </w:rPr>
        <w:tab/>
      </w:r>
      <w:r>
        <w:rPr>
          <w:rFonts w:ascii="Arial" w:cs="Arial" w:eastAsia="Arial" w:hAnsi="Arial"/>
          <w:sz w:val="17"/>
          <w:szCs w:val="17"/>
          <w:color w:val="auto"/>
        </w:rPr>
        <w:t>PERFORMANCE OBLIGATION</w:t>
      </w:r>
    </w:p>
    <w:p>
      <w:pPr>
        <w:spacing w:after="0" w:line="45" w:lineRule="exact"/>
        <w:rPr>
          <w:sz w:val="20"/>
          <w:szCs w:val="20"/>
          <w:color w:val="auto"/>
        </w:rPr>
      </w:pPr>
    </w:p>
    <w:p>
      <w:pPr>
        <w:jc w:val="both"/>
        <w:ind w:left="500" w:right="20"/>
        <w:spacing w:after="0" w:line="26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4"/>
          <w:szCs w:val="14"/>
          <w:color w:val="auto"/>
        </w:rPr>
        <w:t>Seller agrees to sell and deliver, and Buyer agrees to receive and purchase, the Contract Quantity for a particular transaction in accordance with the</w:t>
      </w:r>
      <w:r>
        <w:rPr>
          <w:rFonts w:ascii="Arial" w:cs="Arial" w:eastAsia="Arial" w:hAnsi="Arial"/>
          <w:sz w:val="16"/>
          <w:szCs w:val="16"/>
          <w:color w:val="auto"/>
        </w:rPr>
        <w:t xml:space="preserve"> </w:t>
      </w:r>
      <w:r>
        <w:rPr>
          <w:rFonts w:ascii="Arial" w:cs="Arial" w:eastAsia="Arial" w:hAnsi="Arial"/>
          <w:sz w:val="14"/>
          <w:szCs w:val="14"/>
          <w:color w:val="auto"/>
        </w:rPr>
        <w:t>terms of the Contract. Sales and purchases will be on a Firm or Interruptible basis, as agreed to by the parties in a transaction.</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100" w:type="dxa"/>
            <w:vAlign w:val="bottom"/>
          </w:tcPr>
          <w:p>
            <w:pPr>
              <w:spacing w:after="0"/>
              <w:rPr>
                <w:sz w:val="20"/>
                <w:szCs w:val="20"/>
                <w:color w:val="auto"/>
              </w:rPr>
            </w:pPr>
            <w:r>
              <w:rPr>
                <w:rFonts w:ascii="Arial" w:cs="Arial" w:eastAsia="Arial" w:hAnsi="Arial"/>
                <w:sz w:val="13"/>
                <w:szCs w:val="13"/>
                <w:color w:val="auto"/>
              </w:rPr>
              <w:t>Page 7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88" w:name="page89"/>
    <w:bookmarkEnd w:id="88"/>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337820</wp:posOffset>
            </wp:positionV>
            <wp:extent cx="6174105" cy="26060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6174105" cy="260604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The parties have selected either the “Cover Standard” or the “Spot Price Standard” as indicated on the Base Contract.</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Cover Standard:</w:t>
      </w:r>
    </w:p>
    <w:p>
      <w:pPr>
        <w:spacing w:after="0" w:line="114" w:lineRule="exact"/>
        <w:rPr>
          <w:sz w:val="20"/>
          <w:szCs w:val="20"/>
          <w:color w:val="auto"/>
        </w:rPr>
      </w:pPr>
    </w:p>
    <w:p>
      <w:pPr>
        <w:ind w:left="620"/>
        <w:spacing w:after="0" w:line="23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4"/>
          <w:szCs w:val="14"/>
          <w:color w:val="auto"/>
        </w:rPr>
        <w:t>The sole and exclusive remedy of the parties in the event of a breach of a Firm obligation to deliver or receive Gas shall be recovery of the</w:t>
      </w:r>
      <w:r>
        <w:rPr>
          <w:rFonts w:ascii="Arial" w:cs="Arial" w:eastAsia="Arial" w:hAnsi="Arial"/>
          <w:sz w:val="16"/>
          <w:szCs w:val="16"/>
          <w:color w:val="auto"/>
        </w:rPr>
        <w:t xml:space="preserve"> </w:t>
      </w:r>
      <w:r>
        <w:rPr>
          <w:rFonts w:ascii="Arial" w:cs="Arial" w:eastAsia="Arial" w:hAnsi="Arial"/>
          <w:sz w:val="14"/>
          <w:szCs w:val="14"/>
          <w:color w:val="auto"/>
        </w:rPr>
        <w:t>following: (i) in the event of a breach by Seller on any Day(s), payment by Seller to Buyer in an amount equal to the positive difference, if any, between the purchase price paid by Buyer utilizing the Cover Standard and the Contract Price, adjusted for commercially reasonable differences in transportation costs to or from the Delivery Point(s), multiplied by the difference between the Contract Quantity and the quantity actually delivered by Seller for such Day(s) excluding any quantity for which no replacement is available; or (ii) in the event of a breach by Buyer on any Day(s), payment by Buyer to Seller in the amount equal to the positive difference, if any, between the Contract Price and the price received by Seller utilizing the Cover Standard for the resale of such Gas, adjusted for commercially reasonable differences in transportation costs to or from the Delivery Point(s), multiplied by the difference between the Contract Quantity and the quantity actually taken by Buyer for such Day(s) excluding any quantity for which no sale is available; and (iii) in the event that Buyer has used commercially reasonable efforts to replace the Gas or Seller has used commercially reasonable efforts to sell the Gas to a third party, and no such replacement or sale is available for all or any portion of the Contract Quantity of Gas, then in addition to (i) or (ii) above, as applicable, the sole and exclusive remedy of the performing party with respect to the Gas not replaced or sold shall be an amount equal to any unfavorable difference between the Contract Price and the Spot Price, adjusted for such transportation to the applicable Delivery Point, multiplied by the quantity of such Gas not replaced or sold. Imbalance Charges shall not be recovered under this Section 3.2, but Seller and/or Buyer shall be responsible for Imbalance Charges, if any, as provided in Section 4.3. The amount of such unfavorable difference shall be payable five Business Days after presentation of the performing party’s invoice, which shall set forth the basis upon which such amount was calculated.</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Spot Price Standard:</w:t>
      </w:r>
    </w:p>
    <w:p>
      <w:pPr>
        <w:spacing w:after="0" w:line="119" w:lineRule="exact"/>
        <w:rPr>
          <w:sz w:val="20"/>
          <w:szCs w:val="20"/>
          <w:color w:val="auto"/>
        </w:rPr>
      </w:pPr>
    </w:p>
    <w:p>
      <w:pPr>
        <w:jc w:val="both"/>
        <w:ind w:left="620"/>
        <w:spacing w:after="0" w:line="210" w:lineRule="auto"/>
        <w:rPr>
          <w:sz w:val="20"/>
          <w:szCs w:val="20"/>
          <w:color w:val="auto"/>
        </w:rPr>
      </w:pPr>
      <w:r>
        <w:rPr>
          <w:rFonts w:ascii="Arial" w:cs="Arial" w:eastAsia="Arial" w:hAnsi="Arial"/>
          <w:sz w:val="15"/>
          <w:szCs w:val="15"/>
          <w:color w:val="auto"/>
        </w:rPr>
        <w:t>3.2. The sole and exclusive remedy of the parties in the event of a breach of a Firm obligation to deliver or receive Gas shall be recovery of the following: (i) in the event of a breach by Seller on any Day(s), payment by Seller to Buyer in an amount equal to the difference between the Contract Quantity and the actual quantity delivered by Seller and received by Buyer for such Day(s),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multiplied by the positive difference, if any, obtained by subtracting the Contract Price from the Spot Price; or (ii) in the event of a</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100" w:type="dxa"/>
            <w:vAlign w:val="bottom"/>
          </w:tcPr>
          <w:p>
            <w:pPr>
              <w:spacing w:after="0"/>
              <w:rPr>
                <w:sz w:val="20"/>
                <w:szCs w:val="20"/>
                <w:color w:val="auto"/>
              </w:rPr>
            </w:pPr>
            <w:r>
              <w:rPr>
                <w:rFonts w:ascii="Arial" w:cs="Arial" w:eastAsia="Arial" w:hAnsi="Arial"/>
                <w:sz w:val="13"/>
                <w:szCs w:val="13"/>
                <w:color w:val="auto"/>
              </w:rPr>
              <w:t>Page 8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340" w:top="173" w:right="1439" w:bottom="1440" w:gutter="0" w:footer="0" w:header="0"/>
        </w:sectPr>
      </w:pPr>
    </w:p>
    <w:bookmarkStart w:id="89" w:name="page90"/>
    <w:bookmarkEnd w:id="89"/>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619760</wp:posOffset>
            </wp:positionV>
            <wp:extent cx="6174105" cy="6184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6174105" cy="61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breach by Buyer on any Day(s), payment by Buyer to Seller in an amount equal to the difference between the Contract Quantity and the actual</w:t>
      </w:r>
    </w:p>
    <w:p>
      <w:pPr>
        <w:ind w:left="620"/>
        <w:spacing w:after="0" w:line="205" w:lineRule="auto"/>
        <w:rPr>
          <w:sz w:val="20"/>
          <w:szCs w:val="20"/>
          <w:color w:val="auto"/>
        </w:rPr>
      </w:pPr>
      <w:r>
        <w:rPr>
          <w:rFonts w:ascii="Arial" w:cs="Arial" w:eastAsia="Arial" w:hAnsi="Arial"/>
          <w:sz w:val="15"/>
          <w:szCs w:val="15"/>
          <w:color w:val="auto"/>
        </w:rPr>
        <w:t>quantity delivered by Seller and received by Buyer for such Day(s), multiplied by the positive difference, if any, obtained by subtracting the</w:t>
      </w:r>
    </w:p>
    <w:p>
      <w:pPr>
        <w:ind w:left="620"/>
        <w:spacing w:after="0" w:line="206" w:lineRule="auto"/>
        <w:rPr>
          <w:sz w:val="20"/>
          <w:szCs w:val="20"/>
          <w:color w:val="auto"/>
        </w:rPr>
      </w:pPr>
      <w:r>
        <w:rPr>
          <w:rFonts w:ascii="Arial" w:cs="Arial" w:eastAsia="Arial" w:hAnsi="Arial"/>
          <w:sz w:val="15"/>
          <w:szCs w:val="15"/>
          <w:color w:val="auto"/>
        </w:rPr>
        <w:t>applicable Spot Price from the Contract Price. Imbalance Charges shall not be recovered under this Section 3.2, but Seller and/or Buyer shall be</w:t>
      </w:r>
    </w:p>
    <w:p>
      <w:pPr>
        <w:ind w:left="620"/>
        <w:spacing w:after="0" w:line="206" w:lineRule="auto"/>
        <w:rPr>
          <w:sz w:val="20"/>
          <w:szCs w:val="20"/>
          <w:color w:val="auto"/>
        </w:rPr>
      </w:pPr>
      <w:r>
        <w:rPr>
          <w:rFonts w:ascii="Arial" w:cs="Arial" w:eastAsia="Arial" w:hAnsi="Arial"/>
          <w:sz w:val="15"/>
          <w:szCs w:val="15"/>
          <w:color w:val="auto"/>
        </w:rPr>
        <w:t>responsible for Imbalance Charges, if any, as provided in Section 4.3. The amount of such unfavorable difference shall be payable five Business</w:t>
      </w:r>
    </w:p>
    <w:p>
      <w:pPr>
        <w:ind w:left="620"/>
        <w:spacing w:after="0" w:line="206" w:lineRule="auto"/>
        <w:rPr>
          <w:sz w:val="20"/>
          <w:szCs w:val="20"/>
          <w:color w:val="auto"/>
        </w:rPr>
      </w:pPr>
      <w:r>
        <w:rPr>
          <w:rFonts w:ascii="Arial" w:cs="Arial" w:eastAsia="Arial" w:hAnsi="Arial"/>
          <w:sz w:val="15"/>
          <w:szCs w:val="15"/>
          <w:color w:val="auto"/>
        </w:rPr>
        <w:t>Days after presentation of the performing party’s invoice, which</w:t>
      </w:r>
    </w:p>
    <w:p>
      <w:pPr>
        <w:ind w:left="620"/>
        <w:spacing w:after="0"/>
        <w:rPr>
          <w:sz w:val="20"/>
          <w:szCs w:val="20"/>
          <w:color w:val="auto"/>
        </w:rPr>
      </w:pPr>
      <w:r>
        <w:rPr>
          <w:rFonts w:ascii="Arial" w:cs="Arial" w:eastAsia="Arial" w:hAnsi="Arial"/>
          <w:sz w:val="15"/>
          <w:szCs w:val="15"/>
          <w:color w:val="auto"/>
        </w:rPr>
        <w:t>shall set forth the basis upon which such amount was calculated.</w:t>
      </w:r>
    </w:p>
    <w:p>
      <w:pPr>
        <w:spacing w:after="0" w:line="170"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Notwithstanding Section 3.2, the parties may agree to Alternative Damages in a Transaction Confirmation executed in writing by both parties.</w:t>
      </w:r>
    </w:p>
    <w:p>
      <w:pPr>
        <w:spacing w:after="0" w:line="75" w:lineRule="exact"/>
        <w:rPr>
          <w:sz w:val="20"/>
          <w:szCs w:val="20"/>
          <w:color w:val="auto"/>
        </w:rPr>
      </w:pPr>
    </w:p>
    <w:p>
      <w:pPr>
        <w:jc w:val="both"/>
        <w:ind w:left="500" w:right="20"/>
        <w:spacing w:after="0" w:line="27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4"/>
          <w:szCs w:val="14"/>
          <w:color w:val="auto"/>
        </w:rPr>
        <w:t>In addition to Sections 3.2 and 3.3, the parties may provide for a Termination Option in a Transaction Confirmation executed in writing by both</w:t>
      </w:r>
      <w:r>
        <w:rPr>
          <w:rFonts w:ascii="Arial" w:cs="Arial" w:eastAsia="Arial" w:hAnsi="Arial"/>
          <w:sz w:val="16"/>
          <w:szCs w:val="16"/>
          <w:color w:val="auto"/>
        </w:rPr>
        <w:t xml:space="preserve"> </w:t>
      </w:r>
      <w:r>
        <w:rPr>
          <w:rFonts w:ascii="Arial" w:cs="Arial" w:eastAsia="Arial" w:hAnsi="Arial"/>
          <w:sz w:val="14"/>
          <w:szCs w:val="14"/>
          <w:color w:val="auto"/>
        </w:rPr>
        <w:t>parties. The Transaction Confirmation containing the Termination Option will designate the length of nonperformance triggering the Termination Option and the procedures for exercise thereof, how damages for nonperformance will be compensated, and how liquidation costs will be calculated.</w:t>
      </w:r>
    </w:p>
    <w:p>
      <w:pPr>
        <w:spacing w:after="0" w:line="20"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4.</w:t>
      </w:r>
      <w:r>
        <w:rPr>
          <w:sz w:val="20"/>
          <w:szCs w:val="20"/>
          <w:color w:val="auto"/>
        </w:rPr>
        <w:tab/>
      </w:r>
      <w:r>
        <w:rPr>
          <w:rFonts w:ascii="Arial" w:cs="Arial" w:eastAsia="Arial" w:hAnsi="Arial"/>
          <w:sz w:val="17"/>
          <w:szCs w:val="17"/>
          <w:color w:val="auto"/>
        </w:rPr>
        <w:t>TRANSPORTATION, NOMINATIONS, AND IMBALANCES</w:t>
      </w:r>
    </w:p>
    <w:p>
      <w:pPr>
        <w:spacing w:after="0" w:line="33"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4"/>
          <w:szCs w:val="14"/>
          <w:color w:val="auto"/>
        </w:rPr>
        <w:t>Seller shall have the sole responsibility for transporting the Gas to the Delivery Point(s). Buyer shall have the sole responsibility for transporting the</w:t>
      </w:r>
      <w:r>
        <w:rPr>
          <w:rFonts w:ascii="Arial" w:cs="Arial" w:eastAsia="Arial" w:hAnsi="Arial"/>
          <w:sz w:val="16"/>
          <w:szCs w:val="16"/>
          <w:color w:val="auto"/>
        </w:rPr>
        <w:t xml:space="preserve"> </w:t>
      </w:r>
      <w:r>
        <w:rPr>
          <w:rFonts w:ascii="Arial" w:cs="Arial" w:eastAsia="Arial" w:hAnsi="Arial"/>
          <w:sz w:val="14"/>
          <w:szCs w:val="14"/>
          <w:color w:val="auto"/>
        </w:rPr>
        <w:t>Gas from the Delivery Point(s).</w:t>
      </w:r>
    </w:p>
    <w:p>
      <w:pPr>
        <w:spacing w:after="0" w:line="17" w:lineRule="exact"/>
        <w:rPr>
          <w:sz w:val="20"/>
          <w:szCs w:val="20"/>
          <w:color w:val="auto"/>
        </w:rPr>
      </w:pPr>
    </w:p>
    <w:p>
      <w:pPr>
        <w:jc w:val="both"/>
        <w:ind w:left="500"/>
        <w:spacing w:after="0" w:line="26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4"/>
          <w:szCs w:val="14"/>
          <w:color w:val="auto"/>
        </w:rPr>
        <w:t>The parties shall coordinate their nomination activities, giving sufficient time to meet the deadlines of the affected Transporter(s). Each party shall</w:t>
      </w:r>
      <w:r>
        <w:rPr>
          <w:rFonts w:ascii="Arial" w:cs="Arial" w:eastAsia="Arial" w:hAnsi="Arial"/>
          <w:sz w:val="16"/>
          <w:szCs w:val="16"/>
          <w:color w:val="auto"/>
        </w:rPr>
        <w:t xml:space="preserve"> </w:t>
      </w:r>
      <w:r>
        <w:rPr>
          <w:rFonts w:ascii="Arial" w:cs="Arial" w:eastAsia="Arial" w:hAnsi="Arial"/>
          <w:sz w:val="14"/>
          <w:szCs w:val="14"/>
          <w:color w:val="auto"/>
        </w:rPr>
        <w:t>give the other party timely prior Notice, sufficient to meet the requirements of all Transporter(s) involved in the transaction, of the quantities of Gas to be delivered and purchased each Day. Should either party become aware that actual deliveries at the Delivery Point(s) are greater or lesser than the Scheduled Gas, such party shall promptly notify the other party.</w:t>
      </w:r>
    </w:p>
    <w:p>
      <w:pPr>
        <w:spacing w:after="0" w:line="37" w:lineRule="exact"/>
        <w:rPr>
          <w:sz w:val="20"/>
          <w:szCs w:val="20"/>
          <w:color w:val="auto"/>
        </w:rPr>
      </w:pPr>
    </w:p>
    <w:p>
      <w:pPr>
        <w:jc w:val="both"/>
        <w:ind w:left="500"/>
        <w:spacing w:after="0" w:line="25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4"/>
          <w:szCs w:val="14"/>
          <w:color w:val="auto"/>
        </w:rPr>
        <w:t>The parties shall use commercially reasonable efforts to avoid imposition of any Imbalance Charges. If Buyer or Seller receives an invoice from a</w:t>
      </w:r>
      <w:r>
        <w:rPr>
          <w:rFonts w:ascii="Arial" w:cs="Arial" w:eastAsia="Arial" w:hAnsi="Arial"/>
          <w:sz w:val="16"/>
          <w:szCs w:val="16"/>
          <w:color w:val="auto"/>
        </w:rPr>
        <w:t xml:space="preserve"> </w:t>
      </w:r>
      <w:r>
        <w:rPr>
          <w:rFonts w:ascii="Arial" w:cs="Arial" w:eastAsia="Arial" w:hAnsi="Arial"/>
          <w:sz w:val="14"/>
          <w:szCs w:val="14"/>
          <w:color w:val="auto"/>
        </w:rPr>
        <w:t>Transporter that includes Imbalance Charges, the parties shall determine the validity as well as the cause of such Imbalance Charges. If the Imbalance Charges were incurred as a result of Buyer’s receipt of quantities of Gas greater than or less than the Scheduled Gas, then Buyer shall pay for such Imbalance Charges or reimburse Seller for such Imbalance Charges paid by Seller. If the Imbalance Charges were incurred as a result of Seller’s delivery of quantities of Gas greater than or less than the Scheduled Gas, then Seller shall pay for such Imbalance Charges or reimburse Buyer for such Imbalance Charges paid by Buyer.</w:t>
      </w:r>
    </w:p>
    <w:p>
      <w:pPr>
        <w:spacing w:after="0" w:line="217"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5.</w:t>
      </w:r>
      <w:r>
        <w:rPr>
          <w:sz w:val="20"/>
          <w:szCs w:val="20"/>
          <w:color w:val="auto"/>
        </w:rPr>
        <w:tab/>
      </w:r>
      <w:r>
        <w:rPr>
          <w:rFonts w:ascii="Arial" w:cs="Arial" w:eastAsia="Arial" w:hAnsi="Arial"/>
          <w:sz w:val="18"/>
          <w:szCs w:val="18"/>
          <w:color w:val="auto"/>
        </w:rPr>
        <w:t>QUALITY AND MEASUREMENT</w:t>
      </w:r>
    </w:p>
    <w:p>
      <w:pPr>
        <w:spacing w:after="0" w:line="38" w:lineRule="exact"/>
        <w:rPr>
          <w:sz w:val="20"/>
          <w:szCs w:val="20"/>
          <w:color w:val="auto"/>
        </w:rPr>
      </w:pPr>
    </w:p>
    <w:p>
      <w:pPr>
        <w:jc w:val="both"/>
        <w:ind w:left="500" w:right="20"/>
        <w:spacing w:after="0" w:line="224" w:lineRule="auto"/>
        <w:rPr>
          <w:sz w:val="20"/>
          <w:szCs w:val="20"/>
          <w:color w:val="auto"/>
        </w:rPr>
      </w:pPr>
      <w:r>
        <w:rPr>
          <w:rFonts w:ascii="Arial" w:cs="Arial" w:eastAsia="Arial" w:hAnsi="Arial"/>
          <w:sz w:val="15"/>
          <w:szCs w:val="15"/>
          <w:color w:val="auto"/>
        </w:rPr>
        <w:t>All Gas delivered by Seller shall meet the pressure, quality and heat content requirements of the Receiving Transporter. The unit of quantity measurement for purposes of this Contract shall be one MMBtu dry. Measurement of Gas quantities hereunder shall be in accordance with the established procedures of the Receiving Transporter.</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23"/>
          <w:szCs w:val="23"/>
          <w:color w:val="auto"/>
        </w:rPr>
        <w:t xml:space="preserve">SECTION 6. </w:t>
      </w:r>
      <w:r>
        <w:rPr>
          <w:rFonts w:ascii="Arial" w:cs="Arial" w:eastAsia="Arial" w:hAnsi="Arial"/>
          <w:sz w:val="18"/>
          <w:szCs w:val="18"/>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21590</wp:posOffset>
            </wp:positionV>
            <wp:extent cx="6174105" cy="1705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6174105" cy="1705610"/>
                    </a:xfrm>
                    <a:prstGeom prst="rect">
                      <a:avLst/>
                    </a:prstGeom>
                    <a:noFill/>
                  </pic:spPr>
                </pic:pic>
              </a:graphicData>
            </a:graphic>
          </wp:anchor>
        </w:drawing>
      </w:r>
    </w:p>
    <w:p>
      <w:pPr>
        <w:spacing w:after="0" w:line="71" w:lineRule="exact"/>
        <w:rPr>
          <w:sz w:val="20"/>
          <w:szCs w:val="20"/>
          <w:color w:val="auto"/>
        </w:rPr>
      </w:pPr>
    </w:p>
    <w:p>
      <w:pPr>
        <w:ind w:left="620" w:right="780"/>
        <w:spacing w:after="0" w:line="252" w:lineRule="auto"/>
        <w:rPr>
          <w:sz w:val="20"/>
          <w:szCs w:val="20"/>
          <w:color w:val="auto"/>
        </w:rPr>
      </w:pPr>
      <w:r>
        <w:rPr>
          <w:rFonts w:ascii="Arial" w:cs="Arial" w:eastAsia="Arial" w:hAnsi="Arial"/>
          <w:sz w:val="15"/>
          <w:szCs w:val="15"/>
          <w:b w:val="1"/>
          <w:bCs w:val="1"/>
          <w:color w:val="auto"/>
        </w:rPr>
        <w:t>The parties have selected either “Buyer Pays At and After Delivery Point” or “Seller Pays Before and At Delivery Point” as indicated on the Base Contract.</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Buyer Pays At and After Delivery Point:</w:t>
      </w:r>
    </w:p>
    <w:p>
      <w:pPr>
        <w:spacing w:after="0" w:line="119" w:lineRule="exact"/>
        <w:rPr>
          <w:sz w:val="20"/>
          <w:szCs w:val="20"/>
          <w:color w:val="auto"/>
        </w:rPr>
      </w:pPr>
    </w:p>
    <w:p>
      <w:pPr>
        <w:jc w:val="both"/>
        <w:ind w:left="620" w:right="740"/>
        <w:spacing w:after="0" w:line="216" w:lineRule="auto"/>
        <w:rPr>
          <w:sz w:val="20"/>
          <w:szCs w:val="20"/>
          <w:color w:val="auto"/>
        </w:rPr>
      </w:pPr>
      <w:r>
        <w:rPr>
          <w:rFonts w:ascii="Arial" w:cs="Arial" w:eastAsia="Arial" w:hAnsi="Arial"/>
          <w:sz w:val="15"/>
          <w:szCs w:val="15"/>
          <w:color w:val="auto"/>
        </w:rPr>
        <w:t>Seller shall pay or cause to be paid all taxes, fees, levies, penalties, licenses or charges imposed by any government authority (“Taxes”) on or with respect to the Gas prior to the Delivery Point(s). Buyer shall pay or cause to be paid all Taxes on or with respect to the Gas at the Delivery Point(s) and all Taxes after the Delivery Point(s). If a party is required to remit or pay Taxes that are the other party’s responsibility hereunder, the party responsible for such Taxes shall promptly reimburse the other party for such Taxes. Any party entitled to an exemption from any such Taxes or charges shall furnish the other party any necessary documentation thereof.</w:t>
      </w:r>
    </w:p>
    <w:p>
      <w:pPr>
        <w:spacing w:after="0" w:line="66"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Seller Pays Before and At Delivery Point:</w:t>
      </w:r>
    </w:p>
    <w:p>
      <w:pPr>
        <w:spacing w:after="0" w:line="119" w:lineRule="exact"/>
        <w:rPr>
          <w:sz w:val="20"/>
          <w:szCs w:val="20"/>
          <w:color w:val="auto"/>
        </w:rPr>
      </w:pPr>
    </w:p>
    <w:p>
      <w:pPr>
        <w:jc w:val="both"/>
        <w:ind w:left="620" w:right="760"/>
        <w:spacing w:after="0" w:line="216" w:lineRule="auto"/>
        <w:rPr>
          <w:sz w:val="20"/>
          <w:szCs w:val="20"/>
          <w:color w:val="auto"/>
        </w:rPr>
      </w:pPr>
      <w:r>
        <w:rPr>
          <w:rFonts w:ascii="Arial" w:cs="Arial" w:eastAsia="Arial" w:hAnsi="Arial"/>
          <w:sz w:val="15"/>
          <w:szCs w:val="15"/>
          <w:color w:val="auto"/>
        </w:rPr>
        <w:t>Seller shall pay or cause to be paid all taxes, fees, levies, penalties, licenses or charges imposed by any government authority (“Taxes”) on or with respect to the Gas prior to the Delivery Point(s) and all Taxes at the Delivery Point(s). Buyer shall pay or cause to be paid all Taxes on or with respect to the Gas after the Delivery Point(s). If a party is required to remit or pay Taxes that are the other party’s responsibility hereunder, the party responsible for such Taxes shall promptly reimburse the other party for such Taxes. Any party entitled to an exemption from any such Taxes or charges shall furnish the other party any necessary documentation thereof.</w:t>
      </w:r>
    </w:p>
    <w:p>
      <w:pPr>
        <w:spacing w:after="0" w:line="129"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7.</w:t>
      </w:r>
      <w:r>
        <w:rPr>
          <w:sz w:val="20"/>
          <w:szCs w:val="20"/>
          <w:color w:val="auto"/>
        </w:rPr>
        <w:tab/>
      </w:r>
      <w:r>
        <w:rPr>
          <w:rFonts w:ascii="Arial" w:cs="Arial" w:eastAsia="Arial" w:hAnsi="Arial"/>
          <w:sz w:val="17"/>
          <w:szCs w:val="17"/>
          <w:color w:val="auto"/>
        </w:rPr>
        <w:t>BILLING, PAYMENT, AND AUDIT</w:t>
      </w:r>
    </w:p>
    <w:p>
      <w:pPr>
        <w:spacing w:after="0" w:line="45" w:lineRule="exact"/>
        <w:rPr>
          <w:sz w:val="20"/>
          <w:szCs w:val="20"/>
          <w:color w:val="auto"/>
        </w:rPr>
      </w:pPr>
    </w:p>
    <w:p>
      <w:pPr>
        <w:jc w:val="both"/>
        <w:ind w:left="500"/>
        <w:spacing w:after="0" w:line="26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4"/>
          <w:szCs w:val="14"/>
          <w:color w:val="auto"/>
        </w:rPr>
        <w:t>Seller shall invoice Buyer for Gas delivered and received in the preceding Month and for any other applicable charges, providing supporting</w:t>
      </w:r>
      <w:r>
        <w:rPr>
          <w:rFonts w:ascii="Arial" w:cs="Arial" w:eastAsia="Arial" w:hAnsi="Arial"/>
          <w:sz w:val="16"/>
          <w:szCs w:val="16"/>
          <w:color w:val="auto"/>
        </w:rPr>
        <w:t xml:space="preserve"> </w:t>
      </w:r>
      <w:r>
        <w:rPr>
          <w:rFonts w:ascii="Arial" w:cs="Arial" w:eastAsia="Arial" w:hAnsi="Arial"/>
          <w:sz w:val="14"/>
          <w:szCs w:val="14"/>
          <w:color w:val="auto"/>
        </w:rPr>
        <w:t>documentation acceptable in industry practice to support the amount charged. If the actual quantity delivered is not known by the billing date, billing will be prepared based on the quantity of Scheduled Gas. The invoiced quantity will then be adjusted to the actual quantity on the following Month's billing or as soon thereafter as actual delivery information is available.</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100" w:type="dxa"/>
            <w:vAlign w:val="bottom"/>
          </w:tcPr>
          <w:p>
            <w:pPr>
              <w:spacing w:after="0"/>
              <w:rPr>
                <w:sz w:val="20"/>
                <w:szCs w:val="20"/>
                <w:color w:val="auto"/>
              </w:rPr>
            </w:pPr>
            <w:r>
              <w:rPr>
                <w:rFonts w:ascii="Arial" w:cs="Arial" w:eastAsia="Arial" w:hAnsi="Arial"/>
                <w:sz w:val="13"/>
                <w:szCs w:val="13"/>
                <w:color w:val="auto"/>
              </w:rPr>
              <w:t>Page 9 of</w:t>
            </w:r>
          </w:p>
        </w:tc>
        <w:tc>
          <w:tcPr>
            <w:tcW w:w="4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90" w:name="page91"/>
    <w:bookmarkEnd w:id="90"/>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356" w:lineRule="exact"/>
        <w:rPr>
          <w:sz w:val="20"/>
          <w:szCs w:val="20"/>
          <w:color w:val="auto"/>
        </w:rPr>
      </w:pPr>
    </w:p>
    <w:p>
      <w:pPr>
        <w:jc w:val="both"/>
        <w:ind w:left="500"/>
        <w:spacing w:after="0" w:line="26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4"/>
          <w:szCs w:val="14"/>
          <w:color w:val="auto"/>
        </w:rPr>
        <w:t>Buyer shall remit the amount due under Section 7.1 in the manner specified in the Base Contract, in immediately available funds, on or before the</w:t>
      </w:r>
      <w:r>
        <w:rPr>
          <w:rFonts w:ascii="Arial" w:cs="Arial" w:eastAsia="Arial" w:hAnsi="Arial"/>
          <w:sz w:val="16"/>
          <w:szCs w:val="16"/>
          <w:color w:val="auto"/>
        </w:rPr>
        <w:t xml:space="preserve"> </w:t>
      </w:r>
      <w:r>
        <w:rPr>
          <w:rFonts w:ascii="Arial" w:cs="Arial" w:eastAsia="Arial" w:hAnsi="Arial"/>
          <w:sz w:val="14"/>
          <w:szCs w:val="14"/>
          <w:color w:val="auto"/>
        </w:rPr>
        <w:t>later of the Payment Date or 10 Days after receipt of the invoice by Buyer; provided that if the Payment Date is not a Business Day, payment is due on the next Business Day following that date. In the event any payments are due Buyer hereunder, payment to Buyer shall be made in accordance with this Section 7.2.</w:t>
      </w: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100" w:type="dxa"/>
            <w:vAlign w:val="bottom"/>
          </w:tcPr>
          <w:p>
            <w:pPr>
              <w:spacing w:after="0"/>
              <w:rPr>
                <w:sz w:val="20"/>
                <w:szCs w:val="20"/>
                <w:color w:val="auto"/>
              </w:rPr>
            </w:pPr>
            <w:r>
              <w:rPr>
                <w:rFonts w:ascii="Arial" w:cs="Arial" w:eastAsia="Arial" w:hAnsi="Arial"/>
                <w:sz w:val="13"/>
                <w:szCs w:val="13"/>
                <w:color w:val="auto"/>
              </w:rPr>
              <w:t>Page 10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91" w:name="page92"/>
    <w:bookmarkEnd w:id="91"/>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500" w:right="20"/>
        <w:spacing w:after="0" w:line="27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4"/>
          <w:szCs w:val="14"/>
          <w:color w:val="auto"/>
        </w:rPr>
        <w:t>In the event payments become due pursuant to Sections 3.2 or 3.3, the performing party may submit an invoice to the nonperforming party for an</w:t>
      </w:r>
      <w:r>
        <w:rPr>
          <w:rFonts w:ascii="Arial" w:cs="Arial" w:eastAsia="Arial" w:hAnsi="Arial"/>
          <w:sz w:val="16"/>
          <w:szCs w:val="16"/>
          <w:color w:val="auto"/>
        </w:rPr>
        <w:t xml:space="preserve"> </w:t>
      </w:r>
      <w:r>
        <w:rPr>
          <w:rFonts w:ascii="Arial" w:cs="Arial" w:eastAsia="Arial" w:hAnsi="Arial"/>
          <w:sz w:val="14"/>
          <w:szCs w:val="14"/>
          <w:color w:val="auto"/>
        </w:rPr>
        <w:t>accelerated payment setting forth the basis upon which the invoiced amount was calculated. Payment from the nonperforming party will be due five Business Days after receipt of invoice.</w:t>
      </w:r>
    </w:p>
    <w:p>
      <w:pPr>
        <w:spacing w:after="0" w:line="35" w:lineRule="exact"/>
        <w:rPr>
          <w:sz w:val="20"/>
          <w:szCs w:val="20"/>
          <w:color w:val="auto"/>
        </w:rPr>
      </w:pPr>
    </w:p>
    <w:p>
      <w:pPr>
        <w:jc w:val="both"/>
        <w:ind w:left="500"/>
        <w:spacing w:after="0" w:line="26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4"/>
          <w:szCs w:val="14"/>
          <w:color w:val="auto"/>
        </w:rPr>
        <w:t>If the invoiced party, in good faith, disputes the amount of any such invoice or any part thereof, such invoiced party will pay such amount as it</w:t>
      </w:r>
      <w:r>
        <w:rPr>
          <w:rFonts w:ascii="Arial" w:cs="Arial" w:eastAsia="Arial" w:hAnsi="Arial"/>
          <w:sz w:val="16"/>
          <w:szCs w:val="16"/>
          <w:color w:val="auto"/>
        </w:rPr>
        <w:t xml:space="preserve"> </w:t>
      </w:r>
      <w:r>
        <w:rPr>
          <w:rFonts w:ascii="Arial" w:cs="Arial" w:eastAsia="Arial" w:hAnsi="Arial"/>
          <w:sz w:val="14"/>
          <w:szCs w:val="14"/>
          <w:color w:val="auto"/>
        </w:rPr>
        <w:t>concedes to be correct; provided, however, if the invoiced party disputes the amount due, it must provide supporting documentation acceptable in industry practice to support the amount paid or disputed without undue delay. In the event the parties are unable to resolve such dispute, either party may pursue any remedy available at law or in equity to enforce its rights pursuant to this Section.</w:t>
      </w:r>
    </w:p>
    <w:p>
      <w:pPr>
        <w:spacing w:after="0" w:line="37" w:lineRule="exact"/>
        <w:rPr>
          <w:sz w:val="20"/>
          <w:szCs w:val="20"/>
          <w:color w:val="auto"/>
        </w:rPr>
      </w:pPr>
    </w:p>
    <w:p>
      <w:pPr>
        <w:jc w:val="both"/>
        <w:ind w:left="500"/>
        <w:spacing w:after="0" w:line="26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4"/>
          <w:szCs w:val="14"/>
          <w:color w:val="auto"/>
        </w:rPr>
        <w:t>If the invoiced party fails to remit the full amount payable when due, interest on the unpaid portion shall accrue from the date due until the date of</w:t>
      </w:r>
      <w:r>
        <w:rPr>
          <w:rFonts w:ascii="Arial" w:cs="Arial" w:eastAsia="Arial" w:hAnsi="Arial"/>
          <w:sz w:val="16"/>
          <w:szCs w:val="16"/>
          <w:color w:val="auto"/>
        </w:rPr>
        <w:t xml:space="preserve"> </w:t>
      </w:r>
      <w:r>
        <w:rPr>
          <w:rFonts w:ascii="Arial" w:cs="Arial" w:eastAsia="Arial" w:hAnsi="Arial"/>
          <w:sz w:val="14"/>
          <w:szCs w:val="14"/>
          <w:color w:val="auto"/>
        </w:rPr>
        <w:t>payment at a rate equal to the lower of (i) the then-effective prime rate of interest published under "Money Rates" by The Wall Street Journal, plus two percent per annum; or (ii) the maximum applicable lawful interest rate.</w:t>
      </w:r>
    </w:p>
    <w:p>
      <w:pPr>
        <w:spacing w:after="0" w:line="2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5"/>
          <w:szCs w:val="15"/>
          <w:color w:val="auto"/>
        </w:rPr>
        <w:t>A party shall have the right, at its own expense, upon reasonable Notice and at reasonable times, to examine and audit and to obtain copies of the</w:t>
      </w:r>
    </w:p>
    <w:p>
      <w:pPr>
        <w:spacing w:after="0" w:line="3" w:lineRule="exact"/>
        <w:rPr>
          <w:sz w:val="20"/>
          <w:szCs w:val="20"/>
          <w:color w:val="auto"/>
        </w:rPr>
      </w:pPr>
    </w:p>
    <w:p>
      <w:pPr>
        <w:jc w:val="both"/>
        <w:ind w:left="500"/>
        <w:spacing w:after="0" w:line="212" w:lineRule="auto"/>
        <w:rPr>
          <w:sz w:val="20"/>
          <w:szCs w:val="20"/>
          <w:color w:val="auto"/>
        </w:rPr>
      </w:pPr>
      <w:r>
        <w:rPr>
          <w:rFonts w:ascii="Arial" w:cs="Arial" w:eastAsia="Arial" w:hAnsi="Arial"/>
          <w:sz w:val="15"/>
          <w:szCs w:val="15"/>
          <w:color w:val="auto"/>
        </w:rPr>
        <w:t>relevant portion of the books, records, and telephone recordings of the other party only to the extent reasonably necessary to verify the accuracy of any statement, charge, payment, or computation made under the Contract. This right to examine, audit, and to obtain copies shall not be available with respect to proprietary information not directly relevant to transactions under this Contract. All invoices and billings shall be conclusively presumed final and accurate and all associated claims for under- or overpayments shall be deemed waived unless such invoices or billings are objected to in writing, with adequate explanation and/or documentation, within two years after the Month of Gas delivery. All retroactive adjustments under Section 7 shall be paid in full by the party owing payment within 30 Days of Notice and substantiation of such inaccuracy.</w:t>
      </w:r>
    </w:p>
    <w:p>
      <w:pPr>
        <w:spacing w:after="0" w:line="20" w:lineRule="exact"/>
        <w:rPr>
          <w:sz w:val="20"/>
          <w:szCs w:val="20"/>
          <w:color w:val="auto"/>
        </w:rPr>
      </w:pPr>
    </w:p>
    <w:p>
      <w:pPr>
        <w:jc w:val="both"/>
        <w:ind w:left="500" w:right="20"/>
        <w:spacing w:after="0" w:line="230"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4"/>
          <w:szCs w:val="14"/>
          <w:color w:val="auto"/>
        </w:rPr>
        <w:t>Unless the parties have elected on the Base Contract not to make this Section 7.7 applicable to this Contract, the parties shall net all undisputed</w:t>
      </w:r>
      <w:r>
        <w:rPr>
          <w:rFonts w:ascii="Arial" w:cs="Arial" w:eastAsia="Arial" w:hAnsi="Arial"/>
          <w:sz w:val="16"/>
          <w:szCs w:val="16"/>
          <w:color w:val="auto"/>
        </w:rPr>
        <w:t xml:space="preserve"> </w:t>
      </w:r>
      <w:r>
        <w:rPr>
          <w:rFonts w:ascii="Arial" w:cs="Arial" w:eastAsia="Arial" w:hAnsi="Arial"/>
          <w:sz w:val="14"/>
          <w:szCs w:val="14"/>
          <w:color w:val="auto"/>
        </w:rPr>
        <w:t>amounts due and owing, and/or past due, arising under the Contract such that the party owing the greater amount shall make a single payment of the net amount to the other party in accordance with Section 7; provided that no payment required to be made pursuant to the terms of any Credit Support Obligation or pursuant to Section 7.3 shall be subject to netting under this Section. If the parties have executed a separate netting agreement, the terms and conditions therein shall prevail to the extent inconsistent herewith.</w:t>
      </w:r>
    </w:p>
    <w:p>
      <w:pPr>
        <w:spacing w:after="0" w:line="18"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8.</w:t>
      </w:r>
      <w:r>
        <w:rPr>
          <w:sz w:val="20"/>
          <w:szCs w:val="20"/>
          <w:color w:val="auto"/>
        </w:rPr>
        <w:tab/>
      </w:r>
      <w:r>
        <w:rPr>
          <w:rFonts w:ascii="Arial" w:cs="Arial" w:eastAsia="Arial" w:hAnsi="Arial"/>
          <w:sz w:val="17"/>
          <w:szCs w:val="17"/>
          <w:color w:val="auto"/>
        </w:rPr>
        <w:t>TITLE, WARRANTY, AND INDEMNITY</w:t>
      </w:r>
    </w:p>
    <w:p>
      <w:pPr>
        <w:spacing w:after="0" w:line="45" w:lineRule="exact"/>
        <w:rPr>
          <w:sz w:val="20"/>
          <w:szCs w:val="20"/>
          <w:color w:val="auto"/>
        </w:rPr>
      </w:pPr>
    </w:p>
    <w:p>
      <w:pPr>
        <w:jc w:val="both"/>
        <w:ind w:left="500" w:right="20"/>
        <w:spacing w:after="0" w:line="27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4"/>
          <w:szCs w:val="14"/>
          <w:color w:val="auto"/>
        </w:rPr>
        <w:t>Unless otherwise specifically agreed, title to the Gas shall pass from Seller to Buyer at the Delivery Point(s). Seller shall have responsibility for and</w:t>
      </w:r>
      <w:r>
        <w:rPr>
          <w:rFonts w:ascii="Arial" w:cs="Arial" w:eastAsia="Arial" w:hAnsi="Arial"/>
          <w:sz w:val="16"/>
          <w:szCs w:val="16"/>
          <w:color w:val="auto"/>
        </w:rPr>
        <w:t xml:space="preserve"> </w:t>
      </w:r>
      <w:r>
        <w:rPr>
          <w:rFonts w:ascii="Arial" w:cs="Arial" w:eastAsia="Arial" w:hAnsi="Arial"/>
          <w:sz w:val="14"/>
          <w:szCs w:val="14"/>
          <w:color w:val="auto"/>
        </w:rPr>
        <w:t>assume any liability with respect to the Gas prior to its delivery to Buyer at the specified Delivery Point(s). Buyer shall have responsibility for and assume any liability with respect to said Gas after its delivery to Buyer at the Delivery Point(s).</w:t>
      </w:r>
    </w:p>
    <w:p>
      <w:pPr>
        <w:spacing w:after="0" w:line="35" w:lineRule="exact"/>
        <w:rPr>
          <w:sz w:val="20"/>
          <w:szCs w:val="20"/>
          <w:color w:val="auto"/>
        </w:rPr>
      </w:pPr>
    </w:p>
    <w:p>
      <w:pPr>
        <w:jc w:val="both"/>
        <w:ind w:left="500"/>
        <w:spacing w:after="0" w:line="26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4"/>
          <w:szCs w:val="14"/>
          <w:color w:val="auto"/>
        </w:rPr>
        <w:t>Seller warrants that it will have the right to convey and will transfer good and merchantable title to all Gas sold hereunder and delivered by it to</w:t>
      </w:r>
      <w:r>
        <w:rPr>
          <w:rFonts w:ascii="Arial" w:cs="Arial" w:eastAsia="Arial" w:hAnsi="Arial"/>
          <w:sz w:val="16"/>
          <w:szCs w:val="16"/>
          <w:color w:val="auto"/>
        </w:rPr>
        <w:t xml:space="preserve"> </w:t>
      </w:r>
      <w:r>
        <w:rPr>
          <w:rFonts w:ascii="Arial" w:cs="Arial" w:eastAsia="Arial" w:hAnsi="Arial"/>
          <w:sz w:val="14"/>
          <w:szCs w:val="14"/>
          <w:color w:val="auto"/>
        </w:rPr>
        <w:t>Buyer, free and clear of all liens, encumbrances, and claims. EXCEPT AS PROVIDED IN THIS SECTION 8.2 AND IN SECTION 15.8, ALL OTHER WARRANTIES, EXPRESS OR IMPLIED, INCLUDING ANY WARRANTY OF MERCHANTABILITY OR OF FITNESS FOR ANY PARTICULAR PURPOSE, ARE DISCLAIMED.</w:t>
      </w:r>
    </w:p>
    <w:p>
      <w:pPr>
        <w:spacing w:after="0" w:line="220" w:lineRule="exact"/>
        <w:rPr>
          <w:sz w:val="20"/>
          <w:szCs w:val="20"/>
          <w:color w:val="auto"/>
        </w:rPr>
      </w:pPr>
    </w:p>
    <w:p>
      <w:pPr>
        <w:jc w:val="both"/>
        <w:ind w:left="500"/>
        <w:spacing w:after="0" w:line="25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4"/>
          <w:szCs w:val="14"/>
          <w:color w:val="auto"/>
        </w:rPr>
        <w:t>Seller agrees to indemnify Buyer and save it harmless from all losses, liabilities or claims including reasonable attorneys' fees and costs of court</w:t>
      </w:r>
      <w:r>
        <w:rPr>
          <w:rFonts w:ascii="Arial" w:cs="Arial" w:eastAsia="Arial" w:hAnsi="Arial"/>
          <w:sz w:val="16"/>
          <w:szCs w:val="16"/>
          <w:color w:val="auto"/>
        </w:rPr>
        <w:t xml:space="preserve"> </w:t>
      </w:r>
      <w:r>
        <w:rPr>
          <w:rFonts w:ascii="Arial" w:cs="Arial" w:eastAsia="Arial" w:hAnsi="Arial"/>
          <w:sz w:val="14"/>
          <w:szCs w:val="14"/>
          <w:color w:val="auto"/>
        </w:rPr>
        <w:t>("Claims"), from any and all persons, arising from or out of claims of title, personal injury (including death) or property damage from said Gas or other charges thereon which attach before title passes to Buyer. Buyer agrees to indemnify Seller and save it harmless from all Claims, from any and all persons, arising from or out of claims regarding payment, personal injury (including death) or property damage from said Gas or other charges thereon which attach after title passes to Buyer.</w:t>
      </w:r>
    </w:p>
    <w:p>
      <w:pPr>
        <w:spacing w:after="0" w:line="20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color w:val="auto"/>
        </w:rPr>
        <w:t>The parties agree that the delivery of and the transfer of title to all Gas under this Contract shall take place within the Customs Territory of the United</w:t>
      </w:r>
    </w:p>
    <w:p>
      <w:pPr>
        <w:spacing w:after="0" w:line="3" w:lineRule="exact"/>
        <w:rPr>
          <w:sz w:val="20"/>
          <w:szCs w:val="20"/>
          <w:color w:val="auto"/>
        </w:rPr>
      </w:pPr>
    </w:p>
    <w:p>
      <w:pPr>
        <w:jc w:val="both"/>
        <w:ind w:left="500"/>
        <w:spacing w:after="0" w:line="216" w:lineRule="auto"/>
        <w:rPr>
          <w:sz w:val="20"/>
          <w:szCs w:val="20"/>
          <w:color w:val="auto"/>
        </w:rPr>
      </w:pPr>
      <w:r>
        <w:rPr>
          <w:rFonts w:ascii="Arial" w:cs="Arial" w:eastAsia="Arial" w:hAnsi="Arial"/>
          <w:sz w:val="15"/>
          <w:szCs w:val="15"/>
          <w:color w:val="auto"/>
        </w:rPr>
        <w:t>States (as defined in general note 2 of the Harmonized Tariff Schedule of the United States 19 U.S.C. §1202, General Notes, page 3); provided, however, that in the event Seller took title to the Gas outside the Customs Territory of the United States, Seller represents and warrants that it is the importer of record for all Gas entered and delivered into the United States, and shall be responsible for entry and entry summary filings as well as the payment of duties, taxes and fees, if any, and all applicable record keeping requirements.</w:t>
      </w:r>
    </w:p>
    <w:p>
      <w:pPr>
        <w:spacing w:after="0" w:line="18"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4"/>
          <w:szCs w:val="14"/>
          <w:color w:val="auto"/>
        </w:rPr>
        <w:t>Notwithstanding the other provisions of this Section 8, as between Seller and Buyer, Seller will be liable for all Claims to the extent that such arise</w:t>
      </w:r>
      <w:r>
        <w:rPr>
          <w:rFonts w:ascii="Arial" w:cs="Arial" w:eastAsia="Arial" w:hAnsi="Arial"/>
          <w:sz w:val="16"/>
          <w:szCs w:val="16"/>
          <w:color w:val="auto"/>
        </w:rPr>
        <w:t xml:space="preserve"> </w:t>
      </w:r>
      <w:r>
        <w:rPr>
          <w:rFonts w:ascii="Arial" w:cs="Arial" w:eastAsia="Arial" w:hAnsi="Arial"/>
          <w:sz w:val="14"/>
          <w:szCs w:val="14"/>
          <w:color w:val="auto"/>
        </w:rPr>
        <w:t>from the failure of Gas delivered by Seller to meet the quality requirements of Section 5.</w:t>
      </w:r>
    </w:p>
    <w:p>
      <w:pPr>
        <w:spacing w:after="0" w:line="3"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9.</w:t>
      </w:r>
      <w:r>
        <w:rPr>
          <w:sz w:val="20"/>
          <w:szCs w:val="20"/>
          <w:color w:val="auto"/>
        </w:rPr>
        <w:tab/>
      </w:r>
      <w:r>
        <w:rPr>
          <w:rFonts w:ascii="Arial" w:cs="Arial" w:eastAsia="Arial" w:hAnsi="Arial"/>
          <w:sz w:val="17"/>
          <w:szCs w:val="17"/>
          <w:color w:val="auto"/>
        </w:rPr>
        <w:t>NOTICES</w:t>
      </w:r>
    </w:p>
    <w:p>
      <w:pPr>
        <w:spacing w:after="0" w:line="45"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4"/>
          <w:szCs w:val="14"/>
          <w:color w:val="auto"/>
        </w:rPr>
        <w:t>All Transaction Confirmations, invoices, payment instructions, and other communications made pursuant to the Base Contract ("Notices") shall be</w:t>
      </w:r>
      <w:r>
        <w:rPr>
          <w:rFonts w:ascii="Arial" w:cs="Arial" w:eastAsia="Arial" w:hAnsi="Arial"/>
          <w:sz w:val="16"/>
          <w:szCs w:val="16"/>
          <w:color w:val="auto"/>
        </w:rPr>
        <w:t xml:space="preserve"> </w:t>
      </w:r>
      <w:r>
        <w:rPr>
          <w:rFonts w:ascii="Arial" w:cs="Arial" w:eastAsia="Arial" w:hAnsi="Arial"/>
          <w:sz w:val="14"/>
          <w:szCs w:val="14"/>
          <w:color w:val="auto"/>
        </w:rPr>
        <w:t>made to the addresses specified in writing by the respective parties from time to time.</w:t>
      </w:r>
    </w:p>
    <w:p>
      <w:pPr>
        <w:spacing w:after="0" w:line="17"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4"/>
          <w:szCs w:val="14"/>
          <w:color w:val="auto"/>
        </w:rPr>
        <w:t>All Notices required hereunder shall be in writing and may be sent by facsimile or mutually acceptable electronic means, a nationally recognized</w:t>
      </w:r>
      <w:r>
        <w:rPr>
          <w:rFonts w:ascii="Arial" w:cs="Arial" w:eastAsia="Arial" w:hAnsi="Arial"/>
          <w:sz w:val="16"/>
          <w:szCs w:val="16"/>
          <w:color w:val="auto"/>
        </w:rPr>
        <w:t xml:space="preserve"> </w:t>
      </w:r>
      <w:r>
        <w:rPr>
          <w:rFonts w:ascii="Arial" w:cs="Arial" w:eastAsia="Arial" w:hAnsi="Arial"/>
          <w:sz w:val="14"/>
          <w:szCs w:val="14"/>
          <w:color w:val="auto"/>
        </w:rPr>
        <w:t>overnight courier service, first class mail or hand delivered.</w:t>
      </w:r>
    </w:p>
    <w:p>
      <w:pPr>
        <w:spacing w:after="0" w:line="17" w:lineRule="exact"/>
        <w:rPr>
          <w:sz w:val="20"/>
          <w:szCs w:val="20"/>
          <w:color w:val="auto"/>
        </w:rPr>
      </w:pPr>
    </w:p>
    <w:p>
      <w:pPr>
        <w:jc w:val="both"/>
        <w:ind w:left="500"/>
        <w:spacing w:after="0" w:line="26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4"/>
          <w:szCs w:val="14"/>
          <w:color w:val="auto"/>
        </w:rPr>
        <w:t>Notice shall be given when received on a Business Day by the addressee. In the absence of proof of the actual receipt date, the following</w:t>
      </w:r>
      <w:r>
        <w:rPr>
          <w:rFonts w:ascii="Arial" w:cs="Arial" w:eastAsia="Arial" w:hAnsi="Arial"/>
          <w:sz w:val="16"/>
          <w:szCs w:val="16"/>
          <w:color w:val="auto"/>
        </w:rPr>
        <w:t xml:space="preserve"> </w:t>
      </w:r>
      <w:r>
        <w:rPr>
          <w:rFonts w:ascii="Arial" w:cs="Arial" w:eastAsia="Arial" w:hAnsi="Arial"/>
          <w:sz w:val="14"/>
          <w:szCs w:val="14"/>
          <w:color w:val="auto"/>
        </w:rPr>
        <w:t>presumptions will apply. Notices sent by facsimile shall be deemed to have been received upon the sending party's receipt of its facsimile machine's confirmation of successful transmission. If the day on which such facsimile is received is not a Business Day or is after five p.m. on a Business Day, then such facsimile shall be deemed to have been received on the next</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0"/>
                <w:szCs w:val="20"/>
                <w:color w:val="auto"/>
              </w:rPr>
            </w:pPr>
            <w:r>
              <w:rPr>
                <w:rFonts w:ascii="Arial" w:cs="Arial" w:eastAsia="Arial" w:hAnsi="Arial"/>
                <w:sz w:val="13"/>
                <w:szCs w:val="13"/>
                <w:color w:val="auto"/>
              </w:rPr>
              <w:t>Page 11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92" w:name="page93"/>
    <w:bookmarkEnd w:id="92"/>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348" w:lineRule="exact"/>
        <w:rPr>
          <w:sz w:val="20"/>
          <w:szCs w:val="20"/>
          <w:color w:val="auto"/>
        </w:rPr>
      </w:pPr>
    </w:p>
    <w:p>
      <w:pPr>
        <w:ind w:left="500"/>
        <w:spacing w:after="0" w:line="261" w:lineRule="auto"/>
        <w:rPr>
          <w:sz w:val="20"/>
          <w:szCs w:val="20"/>
          <w:color w:val="auto"/>
        </w:rPr>
      </w:pPr>
      <w:r>
        <w:rPr>
          <w:rFonts w:ascii="Arial" w:cs="Arial" w:eastAsia="Arial" w:hAnsi="Arial"/>
          <w:sz w:val="15"/>
          <w:szCs w:val="15"/>
          <w:color w:val="auto"/>
        </w:rPr>
        <w:t>following Business Day. Notice by overnight mail or courier shall be deemed to have been received on the next Business Day after it was sent or such earlier time as is confirmed by the receiving party. Notice via first class mail shall be considered delivered five Business Days after mailing.</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100" w:type="dxa"/>
            <w:vAlign w:val="bottom"/>
          </w:tcPr>
          <w:p>
            <w:pPr>
              <w:spacing w:after="0"/>
              <w:rPr>
                <w:sz w:val="20"/>
                <w:szCs w:val="20"/>
                <w:color w:val="auto"/>
              </w:rPr>
            </w:pPr>
            <w:r>
              <w:rPr>
                <w:rFonts w:ascii="Arial" w:cs="Arial" w:eastAsia="Arial" w:hAnsi="Arial"/>
                <w:sz w:val="13"/>
                <w:szCs w:val="13"/>
                <w:color w:val="auto"/>
              </w:rPr>
              <w:t>Page 12 of</w:t>
            </w:r>
          </w:p>
        </w:tc>
        <w:tc>
          <w:tcPr>
            <w:tcW w:w="4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93" w:name="page94"/>
    <w:bookmarkEnd w:id="93"/>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500" w:right="20"/>
        <w:spacing w:after="0" w:line="269"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4"/>
          <w:szCs w:val="14"/>
          <w:color w:val="auto"/>
        </w:rPr>
        <w:t>The party receiving a commercially acceptable Notice of change in payment instructions or other payment information shall not be obligated to</w:t>
      </w:r>
      <w:r>
        <w:rPr>
          <w:rFonts w:ascii="Arial" w:cs="Arial" w:eastAsia="Arial" w:hAnsi="Arial"/>
          <w:sz w:val="16"/>
          <w:szCs w:val="16"/>
          <w:color w:val="auto"/>
        </w:rPr>
        <w:t xml:space="preserve"> </w:t>
      </w:r>
      <w:r>
        <w:rPr>
          <w:rFonts w:ascii="Arial" w:cs="Arial" w:eastAsia="Arial" w:hAnsi="Arial"/>
          <w:sz w:val="14"/>
          <w:szCs w:val="14"/>
          <w:color w:val="auto"/>
        </w:rPr>
        <w:t>implement such change until ten Business Days after receipt of such Notice.</w:t>
      </w:r>
    </w:p>
    <w:p>
      <w:pPr>
        <w:spacing w:after="0" w:line="18" w:lineRule="exact"/>
        <w:rPr>
          <w:sz w:val="20"/>
          <w:szCs w:val="20"/>
          <w:color w:val="auto"/>
        </w:rPr>
      </w:pPr>
    </w:p>
    <w:p>
      <w:pPr>
        <w:ind w:left="500"/>
        <w:spacing w:after="0"/>
        <w:tabs>
          <w:tab w:leader="none" w:pos="2140" w:val="left"/>
        </w:tabs>
        <w:rPr>
          <w:sz w:val="20"/>
          <w:szCs w:val="20"/>
          <w:color w:val="auto"/>
        </w:rPr>
      </w:pPr>
      <w:r>
        <w:rPr>
          <w:rFonts w:ascii="Arial" w:cs="Arial" w:eastAsia="Arial" w:hAnsi="Arial"/>
          <w:sz w:val="23"/>
          <w:szCs w:val="23"/>
          <w:color w:val="auto"/>
        </w:rPr>
        <w:t>SECTION 10.</w:t>
      </w:r>
      <w:r>
        <w:rPr>
          <w:sz w:val="20"/>
          <w:szCs w:val="20"/>
          <w:color w:val="auto"/>
        </w:rPr>
        <w:tab/>
      </w:r>
      <w:r>
        <w:rPr>
          <w:rFonts w:ascii="Arial" w:cs="Arial" w:eastAsia="Arial" w:hAnsi="Arial"/>
          <w:sz w:val="18"/>
          <w:szCs w:val="18"/>
          <w:color w:val="auto"/>
        </w:rPr>
        <w:t>FINANCIAL RESPONSIBILITY</w:t>
      </w:r>
    </w:p>
    <w:p>
      <w:pPr>
        <w:spacing w:after="0" w:line="33"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If either party (“X”) has reasonable grounds for insecurity regarding the performance of any obligation under this Contract (whether or not then due)</w:t>
      </w:r>
    </w:p>
    <w:p>
      <w:pPr>
        <w:spacing w:after="0" w:line="3" w:lineRule="exact"/>
        <w:rPr>
          <w:sz w:val="20"/>
          <w:szCs w:val="20"/>
          <w:color w:val="auto"/>
        </w:rPr>
      </w:pPr>
    </w:p>
    <w:p>
      <w:pPr>
        <w:jc w:val="both"/>
        <w:ind w:left="500"/>
        <w:spacing w:after="0" w:line="211" w:lineRule="auto"/>
        <w:rPr>
          <w:sz w:val="20"/>
          <w:szCs w:val="20"/>
          <w:color w:val="auto"/>
        </w:rPr>
      </w:pPr>
      <w:r>
        <w:rPr>
          <w:rFonts w:ascii="Arial" w:cs="Arial" w:eastAsia="Arial" w:hAnsi="Arial"/>
          <w:sz w:val="15"/>
          <w:szCs w:val="15"/>
          <w:color w:val="auto"/>
        </w:rPr>
        <w:t>by the other party (“Y”) (including, without limitation, the occurrence of a material change in the creditworthiness of Y or its Guarantor, if applicable), X may demand Adequate Assurance of Performance. “Adequate Assurance of Performance” shall mean sufficient security in the form, amount, for a term, and from an issuer, all as reasonably acceptable to X, including, but not limited to cash, a standby irrevocable letter of credit, a prepayment, a security interest in an asset or guaranty. Y hereby grants to X a continuing first priority security interest in, lien on, and right of setoff against all Adequate Assurance of Performance in the form of cash transferred by Y to X pursuant to this Section 10.1. Upon the return by X to Y of such Adequate Assurance of Performance, the security interest and lien granted hereunder on that Adequate Assurance of Performance shall be released automatically and, to the extent possible, without any further action by either party.</w:t>
      </w:r>
    </w:p>
    <w:p>
      <w:pPr>
        <w:spacing w:after="0" w:line="21" w:lineRule="exact"/>
        <w:rPr>
          <w:sz w:val="20"/>
          <w:szCs w:val="20"/>
          <w:color w:val="auto"/>
        </w:rPr>
      </w:pPr>
    </w:p>
    <w:p>
      <w:pPr>
        <w:jc w:val="both"/>
        <w:ind w:left="500"/>
        <w:spacing w:after="0" w:line="22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4"/>
          <w:szCs w:val="14"/>
          <w:color w:val="auto"/>
        </w:rPr>
        <w:t>In the event (each an "Event of Default") either party (the "Defaulting Party") or its Guarantor shall: (i) make an assignment or any general</w:t>
      </w:r>
      <w:r>
        <w:rPr>
          <w:rFonts w:ascii="Arial" w:cs="Arial" w:eastAsia="Arial" w:hAnsi="Arial"/>
          <w:sz w:val="16"/>
          <w:szCs w:val="16"/>
          <w:color w:val="auto"/>
        </w:rPr>
        <w:t xml:space="preserve"> </w:t>
      </w:r>
      <w:r>
        <w:rPr>
          <w:rFonts w:ascii="Arial" w:cs="Arial" w:eastAsia="Arial" w:hAnsi="Arial"/>
          <w:sz w:val="14"/>
          <w:szCs w:val="14"/>
          <w:color w:val="auto"/>
        </w:rPr>
        <w:t>arrangement for the benefit of creditors; (ii) file a petition or otherwise commence, authorize, or acquiesce in the commencement of a proceeding or case under any bankruptcy or similar law for the protection of creditors or have such petition filed or proceeding commenced against it; (iii) otherwise become bankrupt or insolvent (however evidenced); (iv) be unable to pay its debts as they fall due; (v) have a receiver, provisional liquidator, conservator, custodian, trustee or other similar official appointed with respect to it or substantially all of its assets; (vi) fail to perform any obligation to the other party with respect to any Credit Support Obligations relating to the Contract; (vii) fail to give Adequate Assurance of Performance under Section 10.1 within 48 hours but at least one Business Day of a written request by the other party; (viii) not have paid any amount due the other party hereunder on or before the second Business Day following written Notice that such payment is due; or ix) be the affected party with respect to any Additional Event of Default; then the other party (the "Non-Defaulting Party") shall have the right, at its sole election, to immediately withhold and/or suspend deliveries or payments upon Notice and/or to terminate and liquidate the transactions under the Contract, in the manner provided in Section 10.3, in addition to any and all other remedies available hereunder.</w:t>
      </w:r>
    </w:p>
    <w:p>
      <w:pPr>
        <w:spacing w:after="0" w:line="22" w:lineRule="exact"/>
        <w:rPr>
          <w:sz w:val="20"/>
          <w:szCs w:val="20"/>
          <w:color w:val="auto"/>
        </w:rPr>
      </w:pPr>
    </w:p>
    <w:p>
      <w:pPr>
        <w:jc w:val="both"/>
        <w:ind w:left="500"/>
        <w:spacing w:after="0" w:line="227"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4"/>
          <w:szCs w:val="14"/>
          <w:color w:val="auto"/>
        </w:rPr>
        <w:t>If an Event of Default has occurred and is continuing, the Non-Defaulting Party shall have the right, by Notice to the Defaulting Party, to designate a</w:t>
      </w:r>
      <w:r>
        <w:rPr>
          <w:rFonts w:ascii="Arial" w:cs="Arial" w:eastAsia="Arial" w:hAnsi="Arial"/>
          <w:sz w:val="16"/>
          <w:szCs w:val="16"/>
          <w:color w:val="auto"/>
        </w:rPr>
        <w:t xml:space="preserve"> </w:t>
      </w:r>
      <w:r>
        <w:rPr>
          <w:rFonts w:ascii="Arial" w:cs="Arial" w:eastAsia="Arial" w:hAnsi="Arial"/>
          <w:sz w:val="14"/>
          <w:szCs w:val="14"/>
          <w:color w:val="auto"/>
        </w:rPr>
        <w:t>Day, no earlier than the Day such Notice is given and no later than 20 Days after such Notice is given, as an early termination date (the “Early Termination Date”) for the liquidation and termination pursuant to Section 10.3.1 of all transactions under the Contract, each a “Terminated Transaction”. On the Early Termination Date, all transactions will terminate, other than those transactions, if any, that may not be liquidated and terminated under applicable law (“Excluded Transactions”), which Excluded Transactions must be liquidated and terminated as soon thereafter as is legally permissible, and upon termination shall be a Terminated Transaction and be valued consistent with Section 10.3.1 below. With respect to each Excluded Transaction, its actual termination date shall be the Early Termination Date for purposes of Section 10.3.1.</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100" w:type="dxa"/>
            <w:vAlign w:val="bottom"/>
          </w:tcPr>
          <w:p>
            <w:pPr>
              <w:spacing w:after="0"/>
              <w:rPr>
                <w:sz w:val="20"/>
                <w:szCs w:val="20"/>
                <w:color w:val="auto"/>
              </w:rPr>
            </w:pPr>
            <w:r>
              <w:rPr>
                <w:rFonts w:ascii="Arial" w:cs="Arial" w:eastAsia="Arial" w:hAnsi="Arial"/>
                <w:sz w:val="13"/>
                <w:szCs w:val="13"/>
                <w:color w:val="auto"/>
              </w:rPr>
              <w:t>Page 13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94" w:name="page95"/>
    <w:bookmarkEnd w:id="94"/>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337820</wp:posOffset>
            </wp:positionV>
            <wp:extent cx="6174105" cy="28721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6174105" cy="28721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20" w:right="20"/>
        <w:spacing w:after="0" w:line="269" w:lineRule="auto"/>
        <w:rPr>
          <w:sz w:val="20"/>
          <w:szCs w:val="20"/>
          <w:color w:val="auto"/>
        </w:rPr>
      </w:pPr>
      <w:r>
        <w:rPr>
          <w:rFonts w:ascii="Arial" w:cs="Arial" w:eastAsia="Arial" w:hAnsi="Arial"/>
          <w:sz w:val="15"/>
          <w:szCs w:val="15"/>
          <w:b w:val="1"/>
          <w:bCs w:val="1"/>
          <w:color w:val="auto"/>
        </w:rPr>
        <w:t>The parties have selected either “Early Termination Damages Apply” or “Early Termination Damages Do Not Apply” as indicated on the Base Contract.</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Early Termination Damages Apply: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10.3.1. </w:t>
      </w:r>
      <w:r>
        <w:rPr>
          <w:rFonts w:ascii="Arial" w:cs="Arial" w:eastAsia="Arial" w:hAnsi="Arial"/>
          <w:sz w:val="14"/>
          <w:szCs w:val="14"/>
          <w:color w:val="auto"/>
        </w:rPr>
        <w:t>As of the Early Termination Date, the Non-Defaulting Party shall determine, in good faith and in a commercially reasonable manner,</w:t>
      </w:r>
    </w:p>
    <w:p>
      <w:pPr>
        <w:jc w:val="both"/>
        <w:ind w:left="620" w:firstLine="9"/>
        <w:spacing w:after="0" w:line="209" w:lineRule="auto"/>
        <w:tabs>
          <w:tab w:leader="none" w:pos="793"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amount owed (whether or not then due) by each party with respect to all Gas delivered and received between the parties under Terminated Transactions and Excluded Transactions on and before the Early Termination Date and all other applicable charges relating to such deliveries and receipts (including without limitation any amounts owed under Section 3.2), for which payment has not yet been made by the party that owes such payment under this Contract and (ii) the Market Value, as defined below, of each Terminated Transaction. The Non-Defaulting Party shall (x) liquidate and accelerate each Terminated Transaction at its Market Value, so that each amount equal to the difference between such Market Value and the Contract Value, as defined below, of such Terminated Transaction(s) shall be due to the Buyer under the Terminated Transaction(s) if such Market Value exceeds the Contract Value and to the Seller if the opposite is the case; and (y) where appropriate, discount each amount then due under clause (x) above to present value in a commercially reasonable manner as of the Early Termination Date (to take account of the period between the date of liquidation and the date on which such amount would have otherwise been due pursuant to the relevant Terminated Transactions).</w:t>
      </w:r>
    </w:p>
    <w:p>
      <w:pPr>
        <w:spacing w:after="0" w:line="28" w:lineRule="exact"/>
        <w:rPr>
          <w:sz w:val="20"/>
          <w:szCs w:val="20"/>
          <w:color w:val="auto"/>
        </w:rPr>
      </w:pPr>
    </w:p>
    <w:p>
      <w:pPr>
        <w:jc w:val="both"/>
        <w:ind w:left="620" w:right="20"/>
        <w:spacing w:after="0" w:line="222" w:lineRule="auto"/>
        <w:rPr>
          <w:sz w:val="20"/>
          <w:szCs w:val="20"/>
          <w:color w:val="auto"/>
        </w:rPr>
      </w:pPr>
      <w:r>
        <w:rPr>
          <w:rFonts w:ascii="Arial" w:cs="Arial" w:eastAsia="Arial" w:hAnsi="Arial"/>
          <w:sz w:val="14"/>
          <w:szCs w:val="14"/>
          <w:color w:val="auto"/>
        </w:rPr>
        <w:t>For purposes of this Section 10.3.1, “Contract Value” means the amount of Gas remaining to be delivered or purchased under a transaction multiplied by the Contract Price, and “Market Value” means the amount of Gas remaining to be delivered or purchased under a transaction multiplied by the market price for a similar transaction at the Delivery Point determined by the Non-Defaulting Party in a commercially reasonable manner. To ascertain the Market Value, the Non-Defaulting Party may consider, among other valuations, any or all of the settlement prices of NYMEX Gas futures contracts, quotations from leading dealers in energy swap contracts or physical gas trading markets, similar sales or purchases and any other bona fide third-party offers, all adjusted for the length of the term and differences in transportation costs. A party shall not be required to enter into a replacement transaction(s) in order to determine the Market Value. Any extension(s) of the term of a transaction to which parties are not bound as of the Early Termination Date (including but not limited to “evergreen provisions”) shall not be considered in determining Contract Values and Market Values. For the avoidance of doubt, any option pursuant to which one party has the right to extend</w:t>
      </w:r>
    </w:p>
    <w:p>
      <w:pPr>
        <w:spacing w:after="0" w:line="1" w:lineRule="exact"/>
        <w:rPr>
          <w:sz w:val="20"/>
          <w:szCs w:val="20"/>
          <w:color w:val="auto"/>
        </w:rPr>
      </w:pPr>
    </w:p>
    <w:p>
      <w:pPr>
        <w:jc w:val="both"/>
        <w:ind w:left="620" w:right="20"/>
        <w:spacing w:after="0" w:line="247" w:lineRule="auto"/>
        <w:rPr>
          <w:sz w:val="20"/>
          <w:szCs w:val="20"/>
          <w:color w:val="auto"/>
        </w:rPr>
      </w:pPr>
      <w:r>
        <w:rPr>
          <w:rFonts w:ascii="Arial" w:cs="Arial" w:eastAsia="Arial" w:hAnsi="Arial"/>
          <w:sz w:val="15"/>
          <w:szCs w:val="15"/>
          <w:color w:val="auto"/>
        </w:rPr>
        <w:t>the term of a transaction shall be considered in determining Contract Values and Market Values. The rate of interest used in calculating net present value shall be determined by the Non-Defaulting Party in a commercially reasonable manner.</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Early Termination Damages Do Not Apply:</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100" w:type="dxa"/>
            <w:vAlign w:val="bottom"/>
          </w:tcPr>
          <w:p>
            <w:pPr>
              <w:spacing w:after="0"/>
              <w:rPr>
                <w:sz w:val="20"/>
                <w:szCs w:val="20"/>
                <w:color w:val="auto"/>
              </w:rPr>
            </w:pPr>
            <w:r>
              <w:rPr>
                <w:rFonts w:ascii="Arial" w:cs="Arial" w:eastAsia="Arial" w:hAnsi="Arial"/>
                <w:sz w:val="13"/>
                <w:szCs w:val="13"/>
                <w:color w:val="auto"/>
              </w:rPr>
              <w:t>Page 14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340" w:top="173" w:right="1419" w:bottom="1440" w:gutter="0" w:footer="0" w:header="0"/>
        </w:sectPr>
      </w:pPr>
    </w:p>
    <w:bookmarkStart w:id="95" w:name="page96"/>
    <w:bookmarkEnd w:id="95"/>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619760</wp:posOffset>
            </wp:positionV>
            <wp:extent cx="6174105" cy="399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6174105" cy="399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620" w:right="760" w:firstLine="296"/>
        <w:spacing w:after="0" w:line="209" w:lineRule="auto"/>
        <w:rPr>
          <w:sz w:val="20"/>
          <w:szCs w:val="20"/>
          <w:color w:val="auto"/>
        </w:rPr>
      </w:pPr>
      <w:r>
        <w:rPr>
          <w:rFonts w:ascii="Arial" w:cs="Arial" w:eastAsia="Arial" w:hAnsi="Arial"/>
          <w:sz w:val="15"/>
          <w:szCs w:val="15"/>
          <w:color w:val="auto"/>
        </w:rPr>
        <w:t>10.3.1. As of the Early Termination Date, the Non-Defaulting Party shall determine, in good faith and in a commercially reasonable manner, the amount owed (whether or not then due) by each party with respect to all Gas delivered and received between the parties under Terminated Transactions and Excluded Transactions on and before the Early Termination Date and all other applicable charges relating to such deliveries and receipts (including without limitation any amounts owed under Section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3.2), for which payment has not yet been made by the party that owes such payment under this Contract.</w:t>
      </w:r>
    </w:p>
    <w:p>
      <w:pPr>
        <w:spacing w:after="0" w:line="81" w:lineRule="exact"/>
        <w:rPr>
          <w:sz w:val="20"/>
          <w:szCs w:val="20"/>
          <w:color w:val="auto"/>
        </w:rPr>
      </w:pPr>
    </w:p>
    <w:p>
      <w:pPr>
        <w:jc w:val="both"/>
        <w:ind w:left="620" w:right="740"/>
        <w:spacing w:after="0" w:line="286" w:lineRule="auto"/>
        <w:rPr>
          <w:sz w:val="20"/>
          <w:szCs w:val="20"/>
          <w:color w:val="auto"/>
        </w:rPr>
      </w:pPr>
      <w:r>
        <w:rPr>
          <w:rFonts w:ascii="Arial" w:cs="Arial" w:eastAsia="Arial" w:hAnsi="Arial"/>
          <w:sz w:val="15"/>
          <w:szCs w:val="15"/>
          <w:b w:val="1"/>
          <w:bCs w:val="1"/>
          <w:color w:val="auto"/>
        </w:rPr>
        <w:t>The parties have selected either “Other Agreement Setoffs Apply” or “Other Agreement Setoffs Do Not Apply” as indicated on the Base Contract.</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Other Agreement Setoffs Apply:</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Bilateral Setoff Option:</w:t>
      </w:r>
    </w:p>
    <w:p>
      <w:pPr>
        <w:spacing w:after="0" w:line="77" w:lineRule="exact"/>
        <w:rPr>
          <w:sz w:val="20"/>
          <w:szCs w:val="20"/>
          <w:color w:val="auto"/>
        </w:rPr>
      </w:pPr>
    </w:p>
    <w:p>
      <w:pPr>
        <w:jc w:val="both"/>
        <w:ind w:left="620" w:right="740" w:firstLine="296"/>
        <w:spacing w:after="0" w:line="259" w:lineRule="auto"/>
        <w:rPr>
          <w:sz w:val="20"/>
          <w:szCs w:val="20"/>
          <w:color w:val="auto"/>
        </w:rPr>
      </w:pPr>
      <w:r>
        <w:rPr>
          <w:rFonts w:ascii="Arial" w:cs="Arial" w:eastAsia="Arial" w:hAnsi="Arial"/>
          <w:sz w:val="16"/>
          <w:szCs w:val="16"/>
          <w:color w:val="auto"/>
        </w:rPr>
        <w:t xml:space="preserve">10.3.2. </w:t>
      </w:r>
      <w:r>
        <w:rPr>
          <w:rFonts w:ascii="Arial" w:cs="Arial" w:eastAsia="Arial" w:hAnsi="Arial"/>
          <w:sz w:val="14"/>
          <w:szCs w:val="14"/>
          <w:color w:val="auto"/>
        </w:rPr>
        <w:t>The Non-Defaulting Party shall net or aggregate, as appropriate, any and all amounts owing between the parties under Section</w:t>
      </w:r>
      <w:r>
        <w:rPr>
          <w:rFonts w:ascii="Arial" w:cs="Arial" w:eastAsia="Arial" w:hAnsi="Arial"/>
          <w:sz w:val="16"/>
          <w:szCs w:val="16"/>
          <w:color w:val="auto"/>
        </w:rPr>
        <w:t xml:space="preserve"> </w:t>
      </w:r>
      <w:r>
        <w:rPr>
          <w:rFonts w:ascii="Arial" w:cs="Arial" w:eastAsia="Arial" w:hAnsi="Arial"/>
          <w:sz w:val="14"/>
          <w:szCs w:val="14"/>
          <w:color w:val="auto"/>
        </w:rPr>
        <w:t>10.3.1, so that all such amounts are netted or aggregated to a single liquidated amount payable by one party to the other (the “Net Settlement Amount”). At its sole option and without prior Notice to the Defaulting Party, the Non-Defaulting Party is hereby authorized to setoff any Net Settlement Amount against (i) any margin or other collateral held by a party in connection with any Credit Support Obligation relating to the Contract; and (ii) any amount(s) (including any excess cash margin or excess cash collateral) owed or held by the party that is entitled to the Net Settlement Amount under any other agreement or arrangement between the parties.</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Triangular Setoff Option:</w:t>
      </w:r>
    </w:p>
    <w:p>
      <w:pPr>
        <w:spacing w:after="0" w:line="70" w:lineRule="exact"/>
        <w:rPr>
          <w:sz w:val="20"/>
          <w:szCs w:val="20"/>
          <w:color w:val="auto"/>
        </w:rPr>
      </w:pPr>
    </w:p>
    <w:p>
      <w:pPr>
        <w:ind w:left="620" w:right="760" w:firstLine="286"/>
        <w:spacing w:after="0" w:line="210" w:lineRule="auto"/>
        <w:rPr>
          <w:sz w:val="20"/>
          <w:szCs w:val="20"/>
          <w:color w:val="auto"/>
        </w:rPr>
      </w:pPr>
      <w:r>
        <w:rPr>
          <w:rFonts w:ascii="Arial" w:cs="Arial" w:eastAsia="Arial" w:hAnsi="Arial"/>
          <w:sz w:val="15"/>
          <w:szCs w:val="15"/>
          <w:color w:val="auto"/>
        </w:rPr>
        <w:t>10.3.2. The Non-Defaulting Party shall net or aggregate, as appropriate, any and all amounts owing between the parties under Section 10.3.1, so that all such amounts are netted or aggregated to a single liquidated amount payable by one party to the other (the “Net Settlement Amount”). At its sole option, and without prior Notice to the Defaulting Party, the Non-Defaulting Party is hereby authorized to setoff (i) any Net Settlement Amount against any margin or other collateral held by a party in connection with any Credit Support Obligation relating to the Contract; (ii) any Net Settlement Amount against any amount(s) (including any excess cash margin or excess cash collateral) owed by or to a party under any other agreement or arrangement between the parties; (iii) any Net Settlement Amount owed to the Non-Defaulting Party against any amount(s) (including any excess cash margin or excess cash collateral) owed by the Non-Defaulting Party or its Affiliates to the Defaulting Party under any other agreement or arrangement; (iv) any Net Settlement Amount owed to the Defaulting Party against any amount(s) (including any excess cash margin or excess cash collateral) owed by the Defaulting Party to the Non-Defaulting Party or its Affiliates under any other agreement or arrangement; and/or (v) any Net Settlement Amount owed to the Defaulting Party against any amount(s) (including any excess cash margin or excess cash collateral) owed by the Defaulting Party or its Affiliates to the Non-Defaulting Party under any other agreement or arrangement.</w:t>
      </w:r>
    </w:p>
    <w:p>
      <w:pPr>
        <w:spacing w:after="0" w:line="79"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Other Agreement Setoffs Do Not Apply:</w:t>
      </w:r>
    </w:p>
    <w:p>
      <w:pPr>
        <w:spacing w:after="0" w:line="119" w:lineRule="exact"/>
        <w:rPr>
          <w:sz w:val="20"/>
          <w:szCs w:val="20"/>
          <w:color w:val="auto"/>
        </w:rPr>
      </w:pPr>
    </w:p>
    <w:p>
      <w:pPr>
        <w:jc w:val="both"/>
        <w:ind w:left="620" w:right="760" w:firstLine="296"/>
        <w:spacing w:after="0" w:line="210" w:lineRule="auto"/>
        <w:rPr>
          <w:sz w:val="20"/>
          <w:szCs w:val="20"/>
          <w:color w:val="auto"/>
        </w:rPr>
      </w:pPr>
      <w:r>
        <w:rPr>
          <w:rFonts w:ascii="Arial" w:cs="Arial" w:eastAsia="Arial" w:hAnsi="Arial"/>
          <w:sz w:val="15"/>
          <w:szCs w:val="15"/>
          <w:color w:val="auto"/>
        </w:rPr>
        <w:t>10.3.2. The Non-Defaulting Party shall net or aggregate, as appropriate, any and all amounts owing between the parties under Section 10.3.1, so that all such amounts are netted or aggregated to a single liquidated amount payable by one party to the other (the “Net Settlement Amount”). At its sole option and without prior Notice to the Defaulting Party, the Non-Defaulting Party</w:t>
      </w:r>
    </w:p>
    <w:p>
      <w:pPr>
        <w:spacing w:after="0" w:line="1" w:lineRule="exact"/>
        <w:rPr>
          <w:sz w:val="20"/>
          <w:szCs w:val="20"/>
          <w:color w:val="auto"/>
        </w:rPr>
      </w:pPr>
    </w:p>
    <w:p>
      <w:pPr>
        <w:jc w:val="both"/>
        <w:ind w:left="620" w:right="760"/>
        <w:spacing w:after="0" w:line="247" w:lineRule="auto"/>
        <w:rPr>
          <w:sz w:val="20"/>
          <w:szCs w:val="20"/>
          <w:color w:val="auto"/>
        </w:rPr>
      </w:pPr>
      <w:r>
        <w:rPr>
          <w:rFonts w:ascii="Arial" w:cs="Arial" w:eastAsia="Arial" w:hAnsi="Arial"/>
          <w:sz w:val="15"/>
          <w:szCs w:val="15"/>
          <w:color w:val="auto"/>
        </w:rPr>
        <w:t>may setoff any Net Settlement Amount against any margin or other collateral held by a party in connection with any Credit Support Obligation relating to the Contract.</w:t>
      </w:r>
    </w:p>
    <w:p>
      <w:pPr>
        <w:spacing w:after="0" w:line="173" w:lineRule="exact"/>
        <w:rPr>
          <w:sz w:val="20"/>
          <w:szCs w:val="20"/>
          <w:color w:val="auto"/>
        </w:rPr>
      </w:pPr>
    </w:p>
    <w:p>
      <w:pPr>
        <w:jc w:val="both"/>
        <w:ind w:left="500" w:firstLine="296"/>
        <w:spacing w:after="0" w:line="266" w:lineRule="auto"/>
        <w:rPr>
          <w:sz w:val="20"/>
          <w:szCs w:val="20"/>
          <w:color w:val="auto"/>
        </w:rPr>
      </w:pPr>
      <w:r>
        <w:rPr>
          <w:rFonts w:ascii="Arial" w:cs="Arial" w:eastAsia="Arial" w:hAnsi="Arial"/>
          <w:sz w:val="16"/>
          <w:szCs w:val="16"/>
          <w:color w:val="auto"/>
        </w:rPr>
        <w:t xml:space="preserve">10.3.3. </w:t>
      </w:r>
      <w:r>
        <w:rPr>
          <w:rFonts w:ascii="Arial" w:cs="Arial" w:eastAsia="Arial" w:hAnsi="Arial"/>
          <w:sz w:val="14"/>
          <w:szCs w:val="14"/>
          <w:color w:val="auto"/>
        </w:rPr>
        <w:t>If any obligation that is to be included in any netting, aggregation or setoff pursuant to Section 10.3.2 is unascertained, the Non-Defaulting Party</w:t>
      </w:r>
      <w:r>
        <w:rPr>
          <w:rFonts w:ascii="Arial" w:cs="Arial" w:eastAsia="Arial" w:hAnsi="Arial"/>
          <w:sz w:val="16"/>
          <w:szCs w:val="16"/>
          <w:color w:val="auto"/>
        </w:rPr>
        <w:t xml:space="preserve"> </w:t>
      </w:r>
      <w:r>
        <w:rPr>
          <w:rFonts w:ascii="Arial" w:cs="Arial" w:eastAsia="Arial" w:hAnsi="Arial"/>
          <w:sz w:val="14"/>
          <w:szCs w:val="14"/>
          <w:color w:val="auto"/>
        </w:rPr>
        <w:t>may in good faith estimate that obligation and net, aggregate or setoff, as applicable, in respect of the estimate, subject to the Non-Defaulting Party accounting to the Defaulting Party when the obligation is ascertained. Any amount not then due which is included in any netting, aggregation or setoff pursuant to Section 10.3.2 shall be discounted to net present value in a commercially reasonable manner determined by the Non-Defaulting Party.</w:t>
      </w:r>
    </w:p>
    <w:p>
      <w:pPr>
        <w:spacing w:after="0" w:line="25" w:lineRule="exact"/>
        <w:rPr>
          <w:sz w:val="20"/>
          <w:szCs w:val="20"/>
          <w:color w:val="auto"/>
        </w:rPr>
      </w:pPr>
    </w:p>
    <w:p>
      <w:pPr>
        <w:jc w:val="both"/>
        <w:ind w:left="500"/>
        <w:spacing w:after="0"/>
        <w:rPr>
          <w:sz w:val="20"/>
          <w:szCs w:val="20"/>
          <w:color w:val="auto"/>
        </w:rPr>
      </w:pPr>
      <w:r>
        <w:rPr>
          <w:rFonts w:ascii="Arial" w:cs="Arial" w:eastAsia="Arial" w:hAnsi="Arial"/>
          <w:sz w:val="16"/>
          <w:szCs w:val="16"/>
          <w:color w:val="auto"/>
        </w:rPr>
        <w:t xml:space="preserve">10.4. </w:t>
      </w:r>
      <w:r>
        <w:rPr>
          <w:rFonts w:ascii="Arial" w:cs="Arial" w:eastAsia="Arial" w:hAnsi="Arial"/>
          <w:sz w:val="14"/>
          <w:szCs w:val="14"/>
          <w:color w:val="auto"/>
        </w:rPr>
        <w:t>As soon as practicable after a liquidation, Notice shall be given by the Non-Defaulting Party to the Defaulting Party of the Net Settlement Amount,</w:t>
      </w:r>
      <w:r>
        <w:rPr>
          <w:rFonts w:ascii="Arial" w:cs="Arial" w:eastAsia="Arial" w:hAnsi="Arial"/>
          <w:sz w:val="16"/>
          <w:szCs w:val="16"/>
          <w:color w:val="auto"/>
        </w:rPr>
        <w:t xml:space="preserve"> </w:t>
      </w:r>
      <w:r>
        <w:rPr>
          <w:rFonts w:ascii="Arial" w:cs="Arial" w:eastAsia="Arial" w:hAnsi="Arial"/>
          <w:sz w:val="14"/>
          <w:szCs w:val="14"/>
          <w:color w:val="auto"/>
        </w:rPr>
        <w:t>and whether the Net Settlement Amount is due to or due from the Non-Defaulting Party. The Notice shall include a written statement explaining in reasonable detail the calculation of the Net Settlement Amount, provided that failure to give such Notice shall not affect the validity or enforceability of the liquidation or give rise to any claim by the Defaulting Party against the Non- Defaulting Party. The Net Settlement Amount as well as any setoffs applied against such amount pursuant to Section 10.3. 2, shall be paid by the close of business on the second Business Day following such Notice, which date shall not be earlier than the Early Termination Date. Interest on any unpaid portion of the Net Settlement Amount as adjusted by setoffs, shall accrue from the date due until the date of payment at a rate equal to the lower of (i) the then-effective prime rate of interest published under "Money Rates" by The Wall Street Journal, plus two percent per annum; or (ii) the maximum applicable lawful interest rate.</w:t>
      </w:r>
    </w:p>
    <w:p>
      <w:pPr>
        <w:spacing w:after="0" w:line="119" w:lineRule="exact"/>
        <w:rPr>
          <w:sz w:val="20"/>
          <w:szCs w:val="20"/>
          <w:color w:val="auto"/>
        </w:rPr>
      </w:pPr>
    </w:p>
    <w:p>
      <w:pPr>
        <w:ind w:left="500" w:right="20"/>
        <w:spacing w:after="0" w:line="288"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4"/>
          <w:szCs w:val="14"/>
          <w:color w:val="auto"/>
        </w:rPr>
        <w:t>The parties agree that the transactions hereunder constitute a "forward contract" within the meaning of the United States Bankruptcy Code and that</w:t>
      </w:r>
      <w:r>
        <w:rPr>
          <w:rFonts w:ascii="Arial" w:cs="Arial" w:eastAsia="Arial" w:hAnsi="Arial"/>
          <w:sz w:val="16"/>
          <w:szCs w:val="16"/>
          <w:color w:val="auto"/>
        </w:rPr>
        <w:t xml:space="preserve"> </w:t>
      </w:r>
      <w:r>
        <w:rPr>
          <w:rFonts w:ascii="Arial" w:cs="Arial" w:eastAsia="Arial" w:hAnsi="Arial"/>
          <w:sz w:val="14"/>
          <w:szCs w:val="14"/>
          <w:color w:val="auto"/>
        </w:rPr>
        <w:t>Buyer and Seller are each "forward contract merchants" within the meaning of the United States Bankruptcy Code.</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100" w:type="dxa"/>
            <w:vAlign w:val="bottom"/>
          </w:tcPr>
          <w:p>
            <w:pPr>
              <w:spacing w:after="0"/>
              <w:rPr>
                <w:sz w:val="20"/>
                <w:szCs w:val="20"/>
                <w:color w:val="auto"/>
              </w:rPr>
            </w:pPr>
            <w:r>
              <w:rPr>
                <w:rFonts w:ascii="Arial" w:cs="Arial" w:eastAsia="Arial" w:hAnsi="Arial"/>
                <w:sz w:val="13"/>
                <w:szCs w:val="13"/>
                <w:color w:val="auto"/>
              </w:rPr>
              <w:t>Page 15 of</w:t>
            </w:r>
          </w:p>
        </w:tc>
        <w:tc>
          <w:tcPr>
            <w:tcW w:w="4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96" w:name="page97"/>
    <w:bookmarkEnd w:id="96"/>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356" w:lineRule="exact"/>
        <w:rPr>
          <w:sz w:val="20"/>
          <w:szCs w:val="20"/>
          <w:color w:val="auto"/>
        </w:rPr>
      </w:pPr>
    </w:p>
    <w:p>
      <w:pPr>
        <w:jc w:val="both"/>
        <w:ind w:left="500"/>
        <w:spacing w:after="0" w:line="270"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4"/>
          <w:szCs w:val="14"/>
          <w:color w:val="auto"/>
        </w:rPr>
        <w:t>The Non-Defaulting Party's remedies under this Section 10 are the sole and exclusive remedies of the Non-Defaulting Party with respect to the</w:t>
      </w:r>
      <w:r>
        <w:rPr>
          <w:rFonts w:ascii="Arial" w:cs="Arial" w:eastAsia="Arial" w:hAnsi="Arial"/>
          <w:sz w:val="16"/>
          <w:szCs w:val="16"/>
          <w:color w:val="auto"/>
        </w:rPr>
        <w:t xml:space="preserve"> </w:t>
      </w:r>
      <w:r>
        <w:rPr>
          <w:rFonts w:ascii="Arial" w:cs="Arial" w:eastAsia="Arial" w:hAnsi="Arial"/>
          <w:sz w:val="14"/>
          <w:szCs w:val="14"/>
          <w:color w:val="auto"/>
        </w:rPr>
        <w:t>occurrence of any Early Termination Date. Each party reserves to itself all other rights, setoffs, counterclaims and other defenses that it is or may be entitled to arising from the Contract.</w:t>
      </w:r>
    </w:p>
    <w:p>
      <w:pPr>
        <w:spacing w:after="0" w:line="22"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4"/>
          <w:szCs w:val="14"/>
          <w:color w:val="auto"/>
        </w:rPr>
        <w:t>With respect to this Section 10, if the parties have executed a separate netting agreement with close-out netting provisions, the terms and conditions</w:t>
      </w:r>
      <w:r>
        <w:rPr>
          <w:rFonts w:ascii="Arial" w:cs="Arial" w:eastAsia="Arial" w:hAnsi="Arial"/>
          <w:sz w:val="16"/>
          <w:szCs w:val="16"/>
          <w:color w:val="auto"/>
        </w:rPr>
        <w:t xml:space="preserve"> </w:t>
      </w:r>
      <w:r>
        <w:rPr>
          <w:rFonts w:ascii="Arial" w:cs="Arial" w:eastAsia="Arial" w:hAnsi="Arial"/>
          <w:sz w:val="14"/>
          <w:szCs w:val="14"/>
          <w:color w:val="auto"/>
        </w:rPr>
        <w:t>therein shall prevail to the extent inconsistent herewith.</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100" w:type="dxa"/>
            <w:vAlign w:val="bottom"/>
          </w:tcPr>
          <w:p>
            <w:pPr>
              <w:spacing w:after="0"/>
              <w:rPr>
                <w:sz w:val="20"/>
                <w:szCs w:val="20"/>
                <w:color w:val="auto"/>
              </w:rPr>
            </w:pPr>
            <w:r>
              <w:rPr>
                <w:rFonts w:ascii="Arial" w:cs="Arial" w:eastAsia="Arial" w:hAnsi="Arial"/>
                <w:sz w:val="13"/>
                <w:szCs w:val="13"/>
                <w:color w:val="auto"/>
              </w:rPr>
              <w:t>Page 16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40" w:top="173" w:right="699" w:bottom="1440" w:gutter="0" w:footer="0" w:header="0"/>
        </w:sectPr>
      </w:pPr>
    </w:p>
    <w:bookmarkStart w:id="97" w:name="page98"/>
    <w:bookmarkEnd w:id="97"/>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0"/>
        <w:spacing w:after="0"/>
        <w:tabs>
          <w:tab w:leader="none" w:pos="2120" w:val="left"/>
        </w:tabs>
        <w:rPr>
          <w:sz w:val="20"/>
          <w:szCs w:val="20"/>
          <w:color w:val="auto"/>
        </w:rPr>
      </w:pPr>
      <w:r>
        <w:rPr>
          <w:rFonts w:ascii="Arial" w:cs="Arial" w:eastAsia="Arial" w:hAnsi="Arial"/>
          <w:sz w:val="23"/>
          <w:szCs w:val="23"/>
          <w:color w:val="auto"/>
        </w:rPr>
        <w:t>SECTION 11.</w:t>
      </w:r>
      <w:r>
        <w:rPr>
          <w:sz w:val="20"/>
          <w:szCs w:val="20"/>
          <w:color w:val="auto"/>
        </w:rPr>
        <w:tab/>
      </w:r>
      <w:r>
        <w:rPr>
          <w:rFonts w:ascii="Arial" w:cs="Arial" w:eastAsia="Arial" w:hAnsi="Arial"/>
          <w:sz w:val="18"/>
          <w:szCs w:val="18"/>
          <w:color w:val="auto"/>
        </w:rPr>
        <w:t>FORCE MAJEURE</w:t>
      </w:r>
    </w:p>
    <w:p>
      <w:pPr>
        <w:spacing w:after="0" w:line="45" w:lineRule="exact"/>
        <w:rPr>
          <w:sz w:val="20"/>
          <w:szCs w:val="20"/>
          <w:color w:val="auto"/>
        </w:rPr>
      </w:pPr>
    </w:p>
    <w:p>
      <w:pPr>
        <w:jc w:val="both"/>
        <w:ind w:left="500" w:right="20"/>
        <w:spacing w:after="0" w:line="270"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4"/>
          <w:szCs w:val="14"/>
          <w:color w:val="auto"/>
        </w:rPr>
        <w:t>Except with regard to a party's obligation to make payment(s) due under Section 7, Section 10.4, and Imbalance Charges under Section 4, neither</w:t>
      </w:r>
      <w:r>
        <w:rPr>
          <w:rFonts w:ascii="Arial" w:cs="Arial" w:eastAsia="Arial" w:hAnsi="Arial"/>
          <w:sz w:val="16"/>
          <w:szCs w:val="16"/>
          <w:color w:val="auto"/>
        </w:rPr>
        <w:t xml:space="preserve"> </w:t>
      </w:r>
      <w:r>
        <w:rPr>
          <w:rFonts w:ascii="Arial" w:cs="Arial" w:eastAsia="Arial" w:hAnsi="Arial"/>
          <w:sz w:val="14"/>
          <w:szCs w:val="14"/>
          <w:color w:val="auto"/>
        </w:rPr>
        <w:t>party shall be liable to the other for failure to perform a Firm obligation, to the extent such failure was caused by Force Majeure. The term "Force Majeure" as employed herein means any cause not reasonably within the control of the party claiming suspension, as further defined in Section 11.2.</w:t>
      </w:r>
    </w:p>
    <w:p>
      <w:pPr>
        <w:spacing w:after="0" w:line="35" w:lineRule="exact"/>
        <w:rPr>
          <w:sz w:val="20"/>
          <w:szCs w:val="20"/>
          <w:color w:val="auto"/>
        </w:rPr>
      </w:pPr>
    </w:p>
    <w:p>
      <w:pPr>
        <w:jc w:val="both"/>
        <w:ind w:left="500"/>
        <w:spacing w:after="0" w:line="25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4"/>
          <w:szCs w:val="14"/>
          <w:color w:val="auto"/>
        </w:rPr>
        <w:t>Force Majeure shall include, but not be limited to, the following: (i) physical events such as acts of God, landslides, lightning, earthquakes, fires,</w:t>
      </w:r>
      <w:r>
        <w:rPr>
          <w:rFonts w:ascii="Arial" w:cs="Arial" w:eastAsia="Arial" w:hAnsi="Arial"/>
          <w:sz w:val="16"/>
          <w:szCs w:val="16"/>
          <w:color w:val="auto"/>
        </w:rPr>
        <w:t xml:space="preserve"> </w:t>
      </w:r>
      <w:r>
        <w:rPr>
          <w:rFonts w:ascii="Arial" w:cs="Arial" w:eastAsia="Arial" w:hAnsi="Arial"/>
          <w:sz w:val="14"/>
          <w:szCs w:val="14"/>
          <w:color w:val="auto"/>
        </w:rPr>
        <w:t>storms or storm warnings, such as hurricanes, which result in evacuation of the affected area, floods, washouts, explosions, breakage or accident or necessity of repairs to machinery or equipment or lines of pipe; (ii) weather related events affecting an entire geographic region, such as low temperatures which cause freezing or failure of wells or lines of pipe;</w:t>
      </w:r>
    </w:p>
    <w:p>
      <w:pPr>
        <w:spacing w:after="0" w:line="2" w:lineRule="exact"/>
        <w:rPr>
          <w:sz w:val="20"/>
          <w:szCs w:val="20"/>
          <w:color w:val="auto"/>
        </w:rPr>
      </w:pPr>
    </w:p>
    <w:p>
      <w:pPr>
        <w:jc w:val="both"/>
        <w:ind w:left="500" w:firstLine="4"/>
        <w:spacing w:after="0" w:line="214" w:lineRule="auto"/>
        <w:tabs>
          <w:tab w:leader="none" w:pos="7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interruption and/or curtailment of Firm transportation and/or storage by Transporters; (iv) acts of others such as strikes, lockouts or other industrial disturbances, riots, sabotage, insurrections or wars, or acts of terror; and (v) governmental actions such as necessity for compliance with any court order, law, statute, ordinance, regulation, or policy having the effect of law promulgated by a governmental authority having jurisdiction. Seller and Buyer shall make reasonable efforts to avoid the adverse impacts of a Force Majeure and to resolve the event or occurrence once it has occurred in order to resume performance.</w:t>
      </w:r>
    </w:p>
    <w:p>
      <w:pPr>
        <w:spacing w:after="0" w:line="30" w:lineRule="exact"/>
        <w:rPr>
          <w:sz w:val="20"/>
          <w:szCs w:val="20"/>
          <w:color w:val="auto"/>
        </w:rPr>
      </w:pPr>
    </w:p>
    <w:p>
      <w:pPr>
        <w:jc w:val="both"/>
        <w:ind w:left="500"/>
        <w:spacing w:after="0" w:line="22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4"/>
          <w:szCs w:val="14"/>
          <w:color w:val="auto"/>
        </w:rPr>
        <w:t>Neither party shall be entitled to the benefit of the provisions of Force Majeure to the extent performance is affected by any or all of the following</w:t>
      </w:r>
      <w:r>
        <w:rPr>
          <w:rFonts w:ascii="Arial" w:cs="Arial" w:eastAsia="Arial" w:hAnsi="Arial"/>
          <w:sz w:val="16"/>
          <w:szCs w:val="16"/>
          <w:color w:val="auto"/>
        </w:rPr>
        <w:t xml:space="preserve"> </w:t>
      </w:r>
      <w:r>
        <w:rPr>
          <w:rFonts w:ascii="Arial" w:cs="Arial" w:eastAsia="Arial" w:hAnsi="Arial"/>
          <w:sz w:val="14"/>
          <w:szCs w:val="14"/>
          <w:color w:val="auto"/>
        </w:rPr>
        <w:t>circumstances: (i) the curtailment of interruptible or secondary Firm transportation unless primary, in-path, Firm transportation is also curtailed; (ii) the party claiming excuse failed to remedy the condition and to resume the performance of such covenants or obligations with reasonable dispatch; or (iii) economic hardship, to include, without limitation, Seller’s ability to sell Gas at a higher or more advantageous price than the Contract Price, Buyer’s ability to purchase Gas at a lower or more advantageous price than the Contract Price, or a regulatory agency disallowing, in whole or in part, the pass through of costs resulting from this Contract; (iv) the loss of Buyer’s market(s) or Buyer’s inability to use or resell Gas purchased hereunder, except, in either case, as provided in Section 11.2; or (v) the loss or failure of Seller’s gas supply or depletion of reserves, except, in either case, as provided in Section 11.2. The party claiming Force Majeure shall not be excused from its responsibility for Imbalance Charges.</w:t>
      </w:r>
    </w:p>
    <w:p>
      <w:pPr>
        <w:spacing w:after="0" w:line="35"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4"/>
          <w:szCs w:val="14"/>
          <w:color w:val="auto"/>
        </w:rPr>
        <w:t>Notwithstanding anything to the contrary herein, the parties agree that the settlement of strikes, lockouts or other industrial disturbances shall be</w:t>
      </w:r>
      <w:r>
        <w:rPr>
          <w:rFonts w:ascii="Arial" w:cs="Arial" w:eastAsia="Arial" w:hAnsi="Arial"/>
          <w:sz w:val="16"/>
          <w:szCs w:val="16"/>
          <w:color w:val="auto"/>
        </w:rPr>
        <w:t xml:space="preserve"> </w:t>
      </w:r>
      <w:r>
        <w:rPr>
          <w:rFonts w:ascii="Arial" w:cs="Arial" w:eastAsia="Arial" w:hAnsi="Arial"/>
          <w:sz w:val="14"/>
          <w:szCs w:val="14"/>
          <w:color w:val="auto"/>
        </w:rPr>
        <w:t>within the sole discretion of the party experiencing such disturbance.</w:t>
      </w:r>
    </w:p>
    <w:p>
      <w:pPr>
        <w:spacing w:after="0" w:line="17" w:lineRule="exact"/>
        <w:rPr>
          <w:sz w:val="20"/>
          <w:szCs w:val="20"/>
          <w:color w:val="auto"/>
        </w:rPr>
      </w:pPr>
    </w:p>
    <w:p>
      <w:pPr>
        <w:jc w:val="both"/>
        <w:ind w:left="500"/>
        <w:spacing w:after="0" w:line="258"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4"/>
          <w:szCs w:val="14"/>
          <w:color w:val="auto"/>
        </w:rPr>
        <w:t>The party whose performance is prevented by Force Majeure must provide Notice to the other party. Initial Notice may be given orally; however,</w:t>
      </w:r>
      <w:r>
        <w:rPr>
          <w:rFonts w:ascii="Arial" w:cs="Arial" w:eastAsia="Arial" w:hAnsi="Arial"/>
          <w:sz w:val="16"/>
          <w:szCs w:val="16"/>
          <w:color w:val="auto"/>
        </w:rPr>
        <w:t xml:space="preserve"> </w:t>
      </w:r>
      <w:r>
        <w:rPr>
          <w:rFonts w:ascii="Arial" w:cs="Arial" w:eastAsia="Arial" w:hAnsi="Arial"/>
          <w:sz w:val="14"/>
          <w:szCs w:val="14"/>
          <w:color w:val="auto"/>
        </w:rPr>
        <w:t>written Notice with reasonably full particulars of the event or occurrence is required as soon as reasonably possible. Upon providing written Notice of Force Majeure to the other party, the affected party will be relieved of its obligation, from the onset of the Force Majeure event, to make or accept delivery of Gas, as applicable, to the extent and for the duration of Force Majeure, and neither party shall be deemed to have failed in such obligations to the other during such occurrence or event.</w:t>
      </w:r>
    </w:p>
    <w:p>
      <w:pPr>
        <w:spacing w:after="0" w:line="220"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4"/>
          <w:szCs w:val="14"/>
          <w:color w:val="auto"/>
        </w:rPr>
        <w:t>Notwithstanding Sections 11.2 and 11.3, the parties may agree to alternative Force Majeure provisions in a Transaction Confirmation executed in</w:t>
      </w:r>
      <w:r>
        <w:rPr>
          <w:rFonts w:ascii="Arial" w:cs="Arial" w:eastAsia="Arial" w:hAnsi="Arial"/>
          <w:sz w:val="16"/>
          <w:szCs w:val="16"/>
          <w:color w:val="auto"/>
        </w:rPr>
        <w:t xml:space="preserve"> </w:t>
      </w:r>
      <w:r>
        <w:rPr>
          <w:rFonts w:ascii="Arial" w:cs="Arial" w:eastAsia="Arial" w:hAnsi="Arial"/>
          <w:sz w:val="14"/>
          <w:szCs w:val="14"/>
          <w:color w:val="auto"/>
        </w:rPr>
        <w:t>writing by both parties.</w:t>
      </w:r>
    </w:p>
    <w:p>
      <w:pPr>
        <w:spacing w:after="0" w:line="3" w:lineRule="exact"/>
        <w:rPr>
          <w:sz w:val="20"/>
          <w:szCs w:val="20"/>
          <w:color w:val="auto"/>
        </w:rPr>
      </w:pPr>
    </w:p>
    <w:p>
      <w:pPr>
        <w:ind w:left="500"/>
        <w:spacing w:after="0"/>
        <w:tabs>
          <w:tab w:leader="none" w:pos="2140" w:val="left"/>
        </w:tabs>
        <w:rPr>
          <w:sz w:val="20"/>
          <w:szCs w:val="20"/>
          <w:color w:val="auto"/>
        </w:rPr>
      </w:pPr>
      <w:r>
        <w:rPr>
          <w:rFonts w:ascii="Arial" w:cs="Arial" w:eastAsia="Arial" w:hAnsi="Arial"/>
          <w:sz w:val="23"/>
          <w:szCs w:val="23"/>
          <w:color w:val="auto"/>
        </w:rPr>
        <w:t>SECTION 12.</w:t>
      </w:r>
      <w:r>
        <w:rPr>
          <w:sz w:val="20"/>
          <w:szCs w:val="20"/>
          <w:color w:val="auto"/>
        </w:rPr>
        <w:tab/>
      </w:r>
      <w:r>
        <w:rPr>
          <w:rFonts w:ascii="Arial" w:cs="Arial" w:eastAsia="Arial" w:hAnsi="Arial"/>
          <w:sz w:val="18"/>
          <w:szCs w:val="18"/>
          <w:color w:val="auto"/>
        </w:rPr>
        <w:t>TERM</w:t>
      </w:r>
    </w:p>
    <w:p>
      <w:pPr>
        <w:spacing w:after="0" w:line="38" w:lineRule="exact"/>
        <w:rPr>
          <w:sz w:val="20"/>
          <w:szCs w:val="20"/>
          <w:color w:val="auto"/>
        </w:rPr>
      </w:pPr>
    </w:p>
    <w:p>
      <w:pPr>
        <w:jc w:val="both"/>
        <w:ind w:left="500"/>
        <w:spacing w:after="0" w:line="224" w:lineRule="auto"/>
        <w:rPr>
          <w:sz w:val="20"/>
          <w:szCs w:val="20"/>
          <w:color w:val="auto"/>
        </w:rPr>
      </w:pPr>
      <w:r>
        <w:rPr>
          <w:rFonts w:ascii="Arial" w:cs="Arial" w:eastAsia="Arial" w:hAnsi="Arial"/>
          <w:sz w:val="15"/>
          <w:szCs w:val="15"/>
          <w:color w:val="auto"/>
        </w:rPr>
        <w:t>This Contract may be terminated on 30 Day’s written Notice, but shall remain in effect until the expiration of the latest Delivery Period of any transaction(s). The rights of either party pursuant to Section 7.6, Section 10, Section 13, the obligations to make payment hereunder, and the obligation of either party to indemnify the other, pursuant hereto shall survive the termination of the Base Contract or any transaction.</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23"/>
          <w:szCs w:val="23"/>
          <w:color w:val="auto"/>
        </w:rPr>
        <w:t xml:space="preserve">SECTION 13. </w:t>
      </w:r>
      <w:r>
        <w:rPr>
          <w:rFonts w:ascii="Arial" w:cs="Arial" w:eastAsia="Arial" w:hAnsi="Arial"/>
          <w:sz w:val="18"/>
          <w:szCs w:val="18"/>
          <w:color w:val="auto"/>
        </w:rPr>
        <w:t>LIMITATIONS</w:t>
      </w:r>
    </w:p>
    <w:p>
      <w:pPr>
        <w:spacing w:after="0" w:line="38" w:lineRule="exact"/>
        <w:rPr>
          <w:sz w:val="20"/>
          <w:szCs w:val="20"/>
          <w:color w:val="auto"/>
        </w:rPr>
      </w:pPr>
    </w:p>
    <w:p>
      <w:pPr>
        <w:jc w:val="both"/>
        <w:ind w:left="500"/>
        <w:spacing w:after="0" w:line="210" w:lineRule="auto"/>
        <w:rPr>
          <w:sz w:val="20"/>
          <w:szCs w:val="20"/>
          <w:color w:val="auto"/>
        </w:rPr>
      </w:pPr>
      <w:r>
        <w:rPr>
          <w:rFonts w:ascii="Arial" w:cs="Arial" w:eastAsia="Arial" w:hAnsi="Arial"/>
          <w:sz w:val="15"/>
          <w:szCs w:val="15"/>
          <w:color w:val="auto"/>
        </w:rPr>
        <w:t>FOR BREACH OF ANY PROVISION FOR WHICH AN EXPRESS REMEDY OR MEASURE OF DAMAGES IS PROVIDED, SUCH EXPRESS REMEDY OR MEASURE OF DAMAGES SHALL BE THE SOLE AND EXCLUSIVE REMEDY. A PARTY’S LIABILITY HEREUNDER SHALL BE LIMITED AS SET FORTH IN SUCH PROVISION, AND ALL OTHER REMEDIES OR DAMAGES AT LAW OR IN EQUITY ARE WAIVED. IF NO REMEDY OR MEASURE OF DAMAGES IS EXPRESSLY PROVIDED HEREIN OR IN A TRANSACTION, A PARTY’S LIABILITY SHALL BE LIMITED TO DIRECT ACTUAL DAMAGES ONLY. SUCH DIRECT ACTUAL DAMAGES SHALL BE THE SOLE AND EXCLUSIVE REMEDY, AND ALL OTHER REMEDIES OR DAMAGES AT LAW OR IN EQUITY ARE WAIVED. UNLESS EXPRESSLY HEREIN PROVIDED, NEITHER PARTY SHALL BE LIABLE FOR CONSEQUENTIAL, INCIDENTAL, PUNITIVE, EXEMPLARY OR INDIRECT DAMAGES, LOST PROFITS OR OTHER BUSINESS INTERRUPTION DAMAGES, BY STATUTE, IN TORT OR CONTRACT, UNDER ANY INDEMNITY PROVISION OR OTHERWISE. IT IS THE INTENT OF THE PARTIES THAT THE LIMITATIONS HEREIN IMPOSED ON REMEDIES AND THE MEASURE OF DAMAGES BE WITHOUT REGARD TO THE CAUSE OR CAUSES RELATED THERETO, INCLUDING THE NEGLIGENCE OF ANY PARTY, WHETHER SUCH NEGLIGENCE BE SOLE, JOINT OR CONCURRENT, OR ACTIVE OR PASSIVE. TO THE EXTENT ANY DAMAGES REQUIRED TO BE PAID HEREUNDER ARE LIQUIDATED, THE PARTIES ACKNOWLEDGE THAT THE DAMAGES ARE DIFFICULT OR IMPOSSIBLE TO DETERMINE, OR OTHERWISE OBTAINING AN ADEQUATE REMEDY IS INCONVENIENT AND THE DAMAGES CALCULATED HEREUNDER CONSTITUTE A REASONABLE APPROXIMATION OF THE HARM OR LOSS.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100" w:type="dxa"/>
            <w:vAlign w:val="bottom"/>
          </w:tcPr>
          <w:p>
            <w:pPr>
              <w:spacing w:after="0"/>
              <w:rPr>
                <w:sz w:val="20"/>
                <w:szCs w:val="20"/>
                <w:color w:val="auto"/>
              </w:rPr>
            </w:pPr>
            <w:r>
              <w:rPr>
                <w:rFonts w:ascii="Arial" w:cs="Arial" w:eastAsia="Arial" w:hAnsi="Arial"/>
                <w:sz w:val="13"/>
                <w:szCs w:val="13"/>
                <w:color w:val="auto"/>
              </w:rPr>
              <w:t>Page 17 of</w:t>
            </w:r>
          </w:p>
        </w:tc>
        <w:tc>
          <w:tcPr>
            <w:tcW w:w="4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98" w:name="page99"/>
    <w:bookmarkEnd w:id="98"/>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0"/>
        <w:spacing w:after="0"/>
        <w:rPr>
          <w:sz w:val="20"/>
          <w:szCs w:val="20"/>
          <w:color w:val="auto"/>
        </w:rPr>
      </w:pPr>
      <w:r>
        <w:rPr>
          <w:rFonts w:ascii="Arial" w:cs="Arial" w:eastAsia="Arial" w:hAnsi="Arial"/>
          <w:sz w:val="23"/>
          <w:szCs w:val="23"/>
          <w:color w:val="auto"/>
        </w:rPr>
        <w:t xml:space="preserve">SECTION 14. </w:t>
      </w:r>
      <w:r>
        <w:rPr>
          <w:rFonts w:ascii="Arial" w:cs="Arial" w:eastAsia="Arial" w:hAnsi="Arial"/>
          <w:sz w:val="18"/>
          <w:szCs w:val="18"/>
          <w:color w:val="auto"/>
        </w:rPr>
        <w:t>MARKET DISRUPTION</w:t>
      </w:r>
    </w:p>
    <w:p>
      <w:pPr>
        <w:spacing w:after="0" w:line="38" w:lineRule="exact"/>
        <w:rPr>
          <w:sz w:val="20"/>
          <w:szCs w:val="20"/>
          <w:color w:val="auto"/>
        </w:rPr>
      </w:pPr>
    </w:p>
    <w:p>
      <w:pPr>
        <w:jc w:val="both"/>
        <w:ind w:left="500"/>
        <w:spacing w:after="0" w:line="225" w:lineRule="auto"/>
        <w:rPr>
          <w:sz w:val="20"/>
          <w:szCs w:val="20"/>
          <w:color w:val="auto"/>
        </w:rPr>
      </w:pPr>
      <w:r>
        <w:rPr>
          <w:rFonts w:ascii="Arial" w:cs="Arial" w:eastAsia="Arial" w:hAnsi="Arial"/>
          <w:sz w:val="14"/>
          <w:szCs w:val="14"/>
          <w:color w:val="auto"/>
        </w:rPr>
        <w:t>If a Market Disruption Event has occurred then the parties shall negotiate in good faith to agree on a replacement price for the Floating Price (or on a method for determining a replacement price for the Floating Price) for the affected Day, and if the parties have not so agreed on or before the second Business Day following the affected Day then the replacement price for the Floating Price shall be determined within the next two following Business Days with each party obtaining, in good faith and from non-affiliated market participants in the relevant market, two quotes for prices of Gas for the affected Day of a similar quality and quantity in the geographical location closest in proximity to the Delivery Point and averaging the four quotes. If either party fails to provide two quotes then the average of the other party’s two quotes shall determine the replacement price for the Floating Price. "Floating Price" means the price or a factor of the price agreed to in the transaction as being based upon a specified index. "Market Disruption Event" means, with respect to an index specified for a transaction, any of the following events: (a) the failure of the index to announce or publish information necessary for determining the Floating Price; (b) the failure of trading to commence or the permanent discontinuation or material suspension of trading on the exchange or market acting as the index; (c) the temporary or permanent discontinuance or unavailability of the index; (d) the temporary or permanent closing of any exchange acting as the index; or (e) both parties agree that a material change in the formula for or the method of determining the Floating Price has occurred. For the purposes of the calculation of a replacement price for the Floating Price, all numbers shall be rounded to three decimal places. If the fourth decimal number is five or greater, then the third decimal number shall be increased by one and if the fourth decimal number is less than five, then the third decimal number shall remain unchanged.</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23"/>
          <w:szCs w:val="23"/>
          <w:color w:val="auto"/>
        </w:rPr>
        <w:t xml:space="preserve">SECTION 15. </w:t>
      </w:r>
      <w:r>
        <w:rPr>
          <w:rFonts w:ascii="Arial" w:cs="Arial" w:eastAsia="Arial" w:hAnsi="Arial"/>
          <w:sz w:val="18"/>
          <w:szCs w:val="18"/>
          <w:color w:val="auto"/>
        </w:rPr>
        <w:t>MISCELLANEOUS</w:t>
      </w:r>
    </w:p>
    <w:p>
      <w:pPr>
        <w:spacing w:after="0" w:line="45" w:lineRule="exact"/>
        <w:rPr>
          <w:sz w:val="20"/>
          <w:szCs w:val="20"/>
          <w:color w:val="auto"/>
        </w:rPr>
      </w:pPr>
    </w:p>
    <w:p>
      <w:pPr>
        <w:jc w:val="both"/>
        <w:ind w:left="500" w:right="20"/>
        <w:spacing w:after="0" w:line="253"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4"/>
          <w:szCs w:val="14"/>
          <w:color w:val="auto"/>
        </w:rPr>
        <w:t>This Contract shall be binding upon and inure to the benefit of the successors, assigns, personal representatives, and heirs of the respective parties</w:t>
      </w:r>
      <w:r>
        <w:rPr>
          <w:rFonts w:ascii="Arial" w:cs="Arial" w:eastAsia="Arial" w:hAnsi="Arial"/>
          <w:sz w:val="16"/>
          <w:szCs w:val="16"/>
          <w:color w:val="auto"/>
        </w:rPr>
        <w:t xml:space="preserve"> </w:t>
      </w:r>
      <w:r>
        <w:rPr>
          <w:rFonts w:ascii="Arial" w:cs="Arial" w:eastAsia="Arial" w:hAnsi="Arial"/>
          <w:sz w:val="14"/>
          <w:szCs w:val="14"/>
          <w:color w:val="auto"/>
        </w:rPr>
        <w:t>hereto, and the covenants, conditions, rights and obligations of this Contract shall run for the full term of this Contract. No assignment of this Contract, in whole or in part, will be made without the prior written consent of the non-assigning party (and shall not relieve the assigning party from liability hereunder), which consent will not be unreasonably withheld or delayed; provided, either party may</w:t>
      </w:r>
    </w:p>
    <w:p>
      <w:pPr>
        <w:spacing w:after="0" w:line="2" w:lineRule="exact"/>
        <w:rPr>
          <w:sz w:val="20"/>
          <w:szCs w:val="20"/>
          <w:color w:val="auto"/>
        </w:rPr>
      </w:pPr>
    </w:p>
    <w:p>
      <w:pPr>
        <w:jc w:val="both"/>
        <w:ind w:left="500" w:firstLine="4"/>
        <w:spacing w:after="0" w:line="216" w:lineRule="auto"/>
        <w:tabs>
          <w:tab w:leader="none" w:pos="683" w:val="left"/>
        </w:tabs>
        <w:numPr>
          <w:ilvl w:val="0"/>
          <w:numId w:val="41"/>
        </w:numPr>
        <w:rPr>
          <w:rFonts w:ascii="Arial" w:cs="Arial" w:eastAsia="Arial" w:hAnsi="Arial"/>
          <w:sz w:val="15"/>
          <w:szCs w:val="15"/>
          <w:color w:val="auto"/>
        </w:rPr>
      </w:pPr>
      <w:r>
        <w:rPr>
          <w:rFonts w:ascii="Arial" w:cs="Arial" w:eastAsia="Arial" w:hAnsi="Arial"/>
          <w:sz w:val="15"/>
          <w:szCs w:val="15"/>
          <w:color w:val="auto"/>
        </w:rPr>
        <w:t>transfer, sell, pledge, encumber, or assign this Contract or the accounts, revenues, or proceeds hereof in connection with any financing or other financial arrangements, or (ii) transfer its interest to any parent or Affiliate by assignment, merger or otherwise without the prior approval of the other party. Upon any such assignment, transfer and assumption, the transferor shall remain principally liable for and shall not be relieved of or discharged from any obligations hereunder.</w:t>
      </w:r>
    </w:p>
    <w:p>
      <w:pPr>
        <w:spacing w:after="0" w:line="42" w:lineRule="exact"/>
        <w:rPr>
          <w:sz w:val="20"/>
          <w:szCs w:val="20"/>
          <w:color w:val="auto"/>
        </w:rPr>
      </w:pPr>
    </w:p>
    <w:p>
      <w:pPr>
        <w:jc w:val="both"/>
        <w:ind w:left="500" w:right="20"/>
        <w:spacing w:after="0" w:line="269"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4"/>
          <w:szCs w:val="14"/>
          <w:color w:val="auto"/>
        </w:rPr>
        <w:t>If any provision in this Contract is determined to be invalid, void or unenforceable by any court having jurisdiction, such determination shall not</w:t>
      </w:r>
      <w:r>
        <w:rPr>
          <w:rFonts w:ascii="Arial" w:cs="Arial" w:eastAsia="Arial" w:hAnsi="Arial"/>
          <w:sz w:val="16"/>
          <w:szCs w:val="16"/>
          <w:color w:val="auto"/>
        </w:rPr>
        <w:t xml:space="preserve"> </w:t>
      </w:r>
      <w:r>
        <w:rPr>
          <w:rFonts w:ascii="Arial" w:cs="Arial" w:eastAsia="Arial" w:hAnsi="Arial"/>
          <w:sz w:val="14"/>
          <w:szCs w:val="14"/>
          <w:color w:val="auto"/>
        </w:rPr>
        <w:t>invalidate, void, or make unenforceable any other provision, agreement or covenant of this Contract.</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15.3. </w:t>
      </w:r>
      <w:r>
        <w:rPr>
          <w:rFonts w:ascii="Arial" w:cs="Arial" w:eastAsia="Arial" w:hAnsi="Arial"/>
          <w:sz w:val="14"/>
          <w:szCs w:val="14"/>
          <w:color w:val="auto"/>
        </w:rPr>
        <w:t>No waiver of any breach of this Contract shall be held to be a waiver of any other or subsequent breach.</w:t>
      </w:r>
    </w:p>
    <w:p>
      <w:pPr>
        <w:spacing w:after="0" w:line="62" w:lineRule="exact"/>
        <w:rPr>
          <w:sz w:val="20"/>
          <w:szCs w:val="20"/>
          <w:color w:val="auto"/>
        </w:rPr>
      </w:pPr>
    </w:p>
    <w:p>
      <w:pPr>
        <w:jc w:val="both"/>
        <w:ind w:left="500"/>
        <w:spacing w:after="0" w:line="261"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4"/>
          <w:szCs w:val="14"/>
          <w:color w:val="auto"/>
        </w:rPr>
        <w:t>This Contract sets forth all understandings between the parties respecting each transaction subject hereto, and any prior contracts, understandings</w:t>
      </w:r>
      <w:r>
        <w:rPr>
          <w:rFonts w:ascii="Arial" w:cs="Arial" w:eastAsia="Arial" w:hAnsi="Arial"/>
          <w:sz w:val="16"/>
          <w:szCs w:val="16"/>
          <w:color w:val="auto"/>
        </w:rPr>
        <w:t xml:space="preserve"> </w:t>
      </w:r>
      <w:r>
        <w:rPr>
          <w:rFonts w:ascii="Arial" w:cs="Arial" w:eastAsia="Arial" w:hAnsi="Arial"/>
          <w:sz w:val="14"/>
          <w:szCs w:val="14"/>
          <w:color w:val="auto"/>
        </w:rPr>
        <w:t>and representations, whether oral or written, relating to such transactions are merged into and superseded by this Contract and any effective transaction(s). This Contract may be amended only by a writing executed by both parties.</w:t>
      </w:r>
    </w:p>
    <w:p>
      <w:pPr>
        <w:spacing w:after="0" w:line="41"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4"/>
          <w:szCs w:val="14"/>
          <w:color w:val="auto"/>
        </w:rPr>
        <w:t>The interpretation and performance of this Contract shall be governed by the laws of the jurisdiction as indicated on the Base Contract, excluding,</w:t>
      </w:r>
      <w:r>
        <w:rPr>
          <w:rFonts w:ascii="Arial" w:cs="Arial" w:eastAsia="Arial" w:hAnsi="Arial"/>
          <w:sz w:val="16"/>
          <w:szCs w:val="16"/>
          <w:color w:val="auto"/>
        </w:rPr>
        <w:t xml:space="preserve"> </w:t>
      </w:r>
      <w:r>
        <w:rPr>
          <w:rFonts w:ascii="Arial" w:cs="Arial" w:eastAsia="Arial" w:hAnsi="Arial"/>
          <w:sz w:val="14"/>
          <w:szCs w:val="14"/>
          <w:color w:val="auto"/>
        </w:rPr>
        <w:t>however, any conflict of laws rule which would apply the law of another jurisdiction.</w:t>
      </w:r>
    </w:p>
    <w:p>
      <w:pPr>
        <w:spacing w:after="0" w:line="17" w:lineRule="exact"/>
        <w:rPr>
          <w:sz w:val="20"/>
          <w:szCs w:val="20"/>
          <w:color w:val="auto"/>
        </w:rPr>
      </w:pPr>
    </w:p>
    <w:p>
      <w:pPr>
        <w:jc w:val="both"/>
        <w:ind w:left="500" w:right="20"/>
        <w:spacing w:after="0" w:line="269" w:lineRule="auto"/>
        <w:rPr>
          <w:sz w:val="20"/>
          <w:szCs w:val="20"/>
          <w:color w:val="auto"/>
        </w:rPr>
      </w:pPr>
      <w:r>
        <w:rPr>
          <w:rFonts w:ascii="Arial" w:cs="Arial" w:eastAsia="Arial" w:hAnsi="Arial"/>
          <w:sz w:val="16"/>
          <w:szCs w:val="16"/>
          <w:color w:val="auto"/>
        </w:rPr>
        <w:t xml:space="preserve">15.6. </w:t>
      </w:r>
      <w:r>
        <w:rPr>
          <w:rFonts w:ascii="Arial" w:cs="Arial" w:eastAsia="Arial" w:hAnsi="Arial"/>
          <w:sz w:val="14"/>
          <w:szCs w:val="14"/>
          <w:color w:val="auto"/>
        </w:rPr>
        <w:t>This Contract and all provisions herein will be subject to all applicable and valid statutes, rules, orders and regulations of any governmental authority</w:t>
      </w:r>
      <w:r>
        <w:rPr>
          <w:rFonts w:ascii="Arial" w:cs="Arial" w:eastAsia="Arial" w:hAnsi="Arial"/>
          <w:sz w:val="16"/>
          <w:szCs w:val="16"/>
          <w:color w:val="auto"/>
        </w:rPr>
        <w:t xml:space="preserve"> </w:t>
      </w:r>
      <w:r>
        <w:rPr>
          <w:rFonts w:ascii="Arial" w:cs="Arial" w:eastAsia="Arial" w:hAnsi="Arial"/>
          <w:sz w:val="14"/>
          <w:szCs w:val="14"/>
          <w:color w:val="auto"/>
        </w:rPr>
        <w:t>having jurisdiction over the parties, their facilities, or Gas supply, this Contract or transaction or any provisions thereof.</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15.7. </w:t>
      </w:r>
      <w:r>
        <w:rPr>
          <w:rFonts w:ascii="Arial" w:cs="Arial" w:eastAsia="Arial" w:hAnsi="Arial"/>
          <w:sz w:val="14"/>
          <w:szCs w:val="14"/>
          <w:color w:val="auto"/>
        </w:rPr>
        <w:t>There is no third party beneficiary to this Contract.</w:t>
      </w:r>
    </w:p>
    <w:p>
      <w:pPr>
        <w:spacing w:after="0" w:line="62" w:lineRule="exact"/>
        <w:rPr>
          <w:sz w:val="20"/>
          <w:szCs w:val="20"/>
          <w:color w:val="auto"/>
        </w:rPr>
      </w:pPr>
    </w:p>
    <w:p>
      <w:pPr>
        <w:jc w:val="both"/>
        <w:ind w:left="500" w:right="20"/>
        <w:spacing w:after="0" w:line="259" w:lineRule="auto"/>
        <w:rPr>
          <w:sz w:val="20"/>
          <w:szCs w:val="20"/>
          <w:color w:val="auto"/>
        </w:rPr>
      </w:pPr>
      <w:r>
        <w:rPr>
          <w:rFonts w:ascii="Arial" w:cs="Arial" w:eastAsia="Arial" w:hAnsi="Arial"/>
          <w:sz w:val="16"/>
          <w:szCs w:val="16"/>
          <w:color w:val="auto"/>
        </w:rPr>
        <w:t xml:space="preserve">15.8. </w:t>
      </w:r>
      <w:r>
        <w:rPr>
          <w:rFonts w:ascii="Arial" w:cs="Arial" w:eastAsia="Arial" w:hAnsi="Arial"/>
          <w:sz w:val="14"/>
          <w:szCs w:val="14"/>
          <w:color w:val="auto"/>
        </w:rPr>
        <w:t>Each party to this Contract represents and warrants that it has full and complete authority to enter into and perform this Contract. Each person who</w:t>
      </w:r>
      <w:r>
        <w:rPr>
          <w:rFonts w:ascii="Arial" w:cs="Arial" w:eastAsia="Arial" w:hAnsi="Arial"/>
          <w:sz w:val="16"/>
          <w:szCs w:val="16"/>
          <w:color w:val="auto"/>
        </w:rPr>
        <w:t xml:space="preserve"> </w:t>
      </w:r>
      <w:r>
        <w:rPr>
          <w:rFonts w:ascii="Arial" w:cs="Arial" w:eastAsia="Arial" w:hAnsi="Arial"/>
          <w:sz w:val="14"/>
          <w:szCs w:val="14"/>
          <w:color w:val="auto"/>
        </w:rPr>
        <w:t>executes this Contract on behalf of either party represents and warrants that it has full and complete authority to do so and that such party will be bound thereby.</w:t>
      </w:r>
    </w:p>
    <w:p>
      <w:pPr>
        <w:spacing w:after="0" w:line="219"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15.9. </w:t>
      </w:r>
      <w:r>
        <w:rPr>
          <w:rFonts w:ascii="Arial" w:cs="Arial" w:eastAsia="Arial" w:hAnsi="Arial"/>
          <w:sz w:val="14"/>
          <w:szCs w:val="14"/>
          <w:color w:val="auto"/>
        </w:rPr>
        <w:t>The headings and subheadings contained in this Contract are used solely for convenience and do not constitute a part of this Contract between the</w:t>
      </w:r>
      <w:r>
        <w:rPr>
          <w:rFonts w:ascii="Arial" w:cs="Arial" w:eastAsia="Arial" w:hAnsi="Arial"/>
          <w:sz w:val="16"/>
          <w:szCs w:val="16"/>
          <w:color w:val="auto"/>
        </w:rPr>
        <w:t xml:space="preserve"> </w:t>
      </w:r>
      <w:r>
        <w:rPr>
          <w:rFonts w:ascii="Arial" w:cs="Arial" w:eastAsia="Arial" w:hAnsi="Arial"/>
          <w:sz w:val="14"/>
          <w:szCs w:val="14"/>
          <w:color w:val="auto"/>
        </w:rPr>
        <w:t>parties and shall not be used to construe or interpret the provisions of this Contract.</w:t>
      </w:r>
    </w:p>
    <w:p>
      <w:pPr>
        <w:spacing w:after="0" w:line="5" w:lineRule="exact"/>
        <w:rPr>
          <w:sz w:val="20"/>
          <w:szCs w:val="20"/>
          <w:color w:val="auto"/>
        </w:rPr>
      </w:pPr>
    </w:p>
    <w:p>
      <w:pPr>
        <w:jc w:val="both"/>
        <w:ind w:left="500"/>
        <w:spacing w:after="0" w:line="222"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4"/>
          <w:szCs w:val="14"/>
          <w:color w:val="auto"/>
        </w:rPr>
        <w:t>Unless the parties have elected on the Base Contract not to make this Section 15.10 applicable to this Contract, neither party shall disclose directly</w:t>
      </w:r>
      <w:r>
        <w:rPr>
          <w:rFonts w:ascii="Arial" w:cs="Arial" w:eastAsia="Arial" w:hAnsi="Arial"/>
          <w:sz w:val="16"/>
          <w:szCs w:val="16"/>
          <w:color w:val="auto"/>
        </w:rPr>
        <w:t xml:space="preserve"> </w:t>
      </w:r>
      <w:r>
        <w:rPr>
          <w:rFonts w:ascii="Arial" w:cs="Arial" w:eastAsia="Arial" w:hAnsi="Arial"/>
          <w:sz w:val="14"/>
          <w:szCs w:val="14"/>
          <w:color w:val="auto"/>
        </w:rPr>
        <w:t>or indirectly without the prior written consent of the other party the terms of any transaction to a third party (other than the employees, lenders, royalty owners, counsel, accountants and other agents of the party, or prospective purchasers of all or substantially all of a party’s assets or of any rights under this Contract, provided such persons shall have agreed to keep such terms confidential) except (i) in order to comply with any applicable law, order, regulation, or exchange rule, (ii) to the extent necessary for the enforcement of this Contract</w:t>
      </w:r>
    </w:p>
    <w:p>
      <w:pPr>
        <w:jc w:val="both"/>
        <w:ind w:left="500" w:firstLine="4"/>
        <w:spacing w:after="0" w:line="211" w:lineRule="auto"/>
        <w:tabs>
          <w:tab w:leader="none" w:pos="589" w:val="left"/>
        </w:tabs>
        <w:numPr>
          <w:ilvl w:val="0"/>
          <w:numId w:val="42"/>
        </w:numPr>
        <w:rPr>
          <w:rFonts w:ascii="Arial" w:cs="Arial" w:eastAsia="Arial" w:hAnsi="Arial"/>
          <w:sz w:val="15"/>
          <w:szCs w:val="15"/>
          <w:color w:val="auto"/>
        </w:rPr>
      </w:pPr>
      <w:r>
        <w:rPr>
          <w:rFonts w:ascii="Arial" w:cs="Arial" w:eastAsia="Arial" w:hAnsi="Arial"/>
          <w:sz w:val="15"/>
          <w:szCs w:val="15"/>
          <w:color w:val="auto"/>
        </w:rPr>
        <w:t>(iii) to the extent necessary to implement any transaction, (iv) to the extent necessary to comply with a regulatory agency’s reporting requirements including but not limited to gas cost recovery proceedings; or (v) to the extent such information is delivered to such third party for the sole purpose of calculating a published index. Each party shall notify the other party of any proceeding of which it is aware which may result in disclosure of the terms of any transaction (other than as permitted hereunder) and use reasonable efforts to prevent or limit the disclosure. The existence of this Contract is not subject to this confidentiality obligation. Subject to Section 13, the parties shall be entitled to all remedies available at law or in equity to enforce, or seek relief in connection with this confidentiality obligation. The terms of any transaction hereunder shall be kept confidential by the parties hereto for one year from the expiration of the transaction.</w:t>
      </w:r>
    </w:p>
    <w:p>
      <w:pPr>
        <w:spacing w:after="0" w:line="25" w:lineRule="exact"/>
        <w:rPr>
          <w:sz w:val="20"/>
          <w:szCs w:val="20"/>
          <w:color w:val="auto"/>
        </w:rPr>
      </w:pPr>
    </w:p>
    <w:p>
      <w:pPr>
        <w:ind w:left="500" w:right="20"/>
        <w:spacing w:after="0" w:line="233" w:lineRule="auto"/>
        <w:rPr>
          <w:sz w:val="20"/>
          <w:szCs w:val="20"/>
          <w:color w:val="auto"/>
        </w:rPr>
      </w:pPr>
      <w:r>
        <w:rPr>
          <w:rFonts w:ascii="Arial" w:cs="Arial" w:eastAsia="Arial" w:hAnsi="Arial"/>
          <w:sz w:val="15"/>
          <w:szCs w:val="15"/>
          <w:color w:val="auto"/>
        </w:rPr>
        <w:t>In the event that disclosure is required by a governmental body or applicable law, the party subject to such requirement may disclose the material terms of this Contract to the extent so required, but shall promptly notify the other party, prior to disclosure ,</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0"/>
                <w:szCs w:val="20"/>
                <w:color w:val="auto"/>
              </w:rPr>
            </w:pPr>
            <w:r>
              <w:rPr>
                <w:rFonts w:ascii="Arial" w:cs="Arial" w:eastAsia="Arial" w:hAnsi="Arial"/>
                <w:sz w:val="13"/>
                <w:szCs w:val="13"/>
                <w:color w:val="auto"/>
              </w:rPr>
              <w:t>Page 18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99" w:name="page100"/>
    <w:bookmarkEnd w:id="99"/>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348" w:lineRule="exact"/>
        <w:rPr>
          <w:sz w:val="20"/>
          <w:szCs w:val="20"/>
          <w:color w:val="auto"/>
        </w:rPr>
      </w:pPr>
    </w:p>
    <w:p>
      <w:pPr>
        <w:ind w:left="500"/>
        <w:spacing w:after="0" w:line="233" w:lineRule="auto"/>
        <w:rPr>
          <w:sz w:val="20"/>
          <w:szCs w:val="20"/>
          <w:color w:val="auto"/>
        </w:rPr>
      </w:pPr>
      <w:r>
        <w:rPr>
          <w:rFonts w:ascii="Arial" w:cs="Arial" w:eastAsia="Arial" w:hAnsi="Arial"/>
          <w:sz w:val="15"/>
          <w:szCs w:val="15"/>
          <w:color w:val="auto"/>
        </w:rPr>
        <w:t>and shall cooperate (consistent with the disclosing party’s legal obligations) with the other party’s efforts to obtain protective orders or similar restraints with respect to such disclosure at the expense of the other party.</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100" w:type="dxa"/>
            <w:vAlign w:val="bottom"/>
          </w:tcPr>
          <w:p>
            <w:pPr>
              <w:spacing w:after="0"/>
              <w:rPr>
                <w:sz w:val="20"/>
                <w:szCs w:val="20"/>
                <w:color w:val="auto"/>
              </w:rPr>
            </w:pPr>
            <w:r>
              <w:rPr>
                <w:rFonts w:ascii="Arial" w:cs="Arial" w:eastAsia="Arial" w:hAnsi="Arial"/>
                <w:sz w:val="13"/>
                <w:szCs w:val="13"/>
                <w:color w:val="auto"/>
              </w:rPr>
              <w:t>Page 19 of</w:t>
            </w:r>
          </w:p>
        </w:tc>
        <w:tc>
          <w:tcPr>
            <w:tcW w:w="4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40" w:top="173" w:right="69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500" w:right="20"/>
        <w:spacing w:after="0" w:line="269" w:lineRule="auto"/>
        <w:rPr>
          <w:sz w:val="20"/>
          <w:szCs w:val="20"/>
          <w:color w:val="auto"/>
        </w:rPr>
      </w:pPr>
      <w:r>
        <w:rPr>
          <w:rFonts w:ascii="Arial" w:cs="Arial" w:eastAsia="Arial" w:hAnsi="Arial"/>
          <w:sz w:val="16"/>
          <w:szCs w:val="16"/>
          <w:color w:val="auto"/>
        </w:rPr>
        <w:t xml:space="preserve">15.11. </w:t>
      </w:r>
      <w:r>
        <w:rPr>
          <w:rFonts w:ascii="Arial" w:cs="Arial" w:eastAsia="Arial" w:hAnsi="Arial"/>
          <w:sz w:val="14"/>
          <w:szCs w:val="14"/>
          <w:color w:val="auto"/>
        </w:rPr>
        <w:t>The parties may agree to dispute resolution procedures in Special Provisions attached to the Base Contract or in a Transaction Confirmation</w:t>
      </w:r>
      <w:r>
        <w:rPr>
          <w:rFonts w:ascii="Arial" w:cs="Arial" w:eastAsia="Arial" w:hAnsi="Arial"/>
          <w:sz w:val="16"/>
          <w:szCs w:val="16"/>
          <w:color w:val="auto"/>
        </w:rPr>
        <w:t xml:space="preserve"> </w:t>
      </w:r>
      <w:r>
        <w:rPr>
          <w:rFonts w:ascii="Arial" w:cs="Arial" w:eastAsia="Arial" w:hAnsi="Arial"/>
          <w:sz w:val="14"/>
          <w:szCs w:val="14"/>
          <w:color w:val="auto"/>
        </w:rPr>
        <w:t>executed in writing by both parties</w:t>
      </w:r>
    </w:p>
    <w:p>
      <w:pPr>
        <w:spacing w:after="0" w:line="20" w:lineRule="exact"/>
        <w:rPr>
          <w:sz w:val="20"/>
          <w:szCs w:val="20"/>
          <w:color w:val="auto"/>
        </w:rPr>
      </w:pPr>
    </w:p>
    <w:p>
      <w:pPr>
        <w:jc w:val="both"/>
        <w:ind w:left="500"/>
        <w:spacing w:after="0" w:line="227"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4"/>
          <w:szCs w:val="14"/>
          <w:color w:val="auto"/>
        </w:rPr>
        <w:t>Any original executed Base Contract, Transaction Confirmation or other related document may be digitally copied, photocopied, or stored on</w:t>
      </w:r>
      <w:r>
        <w:rPr>
          <w:rFonts w:ascii="Arial" w:cs="Arial" w:eastAsia="Arial" w:hAnsi="Arial"/>
          <w:sz w:val="16"/>
          <w:szCs w:val="16"/>
          <w:color w:val="auto"/>
        </w:rPr>
        <w:t xml:space="preserve"> </w:t>
      </w:r>
      <w:r>
        <w:rPr>
          <w:rFonts w:ascii="Arial" w:cs="Arial" w:eastAsia="Arial" w:hAnsi="Arial"/>
          <w:sz w:val="14"/>
          <w:szCs w:val="14"/>
          <w:color w:val="auto"/>
        </w:rPr>
        <w:t>computer tapes and disks (the “Imaged Agreement”). The Imaged Agreement, if introduced as evidence on paper, the Transaction Confirmation, if introduced as evidence in automated facsimile form, the recording, if introduced as evidence in its original form, and all computer records of the foregoing, if introduced as evidence in printed format, in any judicial, arbitration, mediation or administrative proceedings will be admissible as between the parties to the same extent and under the same conditions as other business records originated and maintained in documentary form. Neither Party shall object to the admissibility of the recording, the Transaction Confirmation, or the Imaged Agreement on the basis that such were not originated or maintained in documentary form. However, nothing herein shall be construed as a waiver of any other objection to the admissibility of such evidence.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421005</wp:posOffset>
            </wp:positionV>
            <wp:extent cx="5563870" cy="128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5563870" cy="128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0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NAESB Standard 6.3.1</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4440" w:type="dxa"/>
            <w:vAlign w:val="bottom"/>
          </w:tcPr>
          <w:p>
            <w:pPr>
              <w:jc w:val="right"/>
              <w:ind w:right="314"/>
              <w:spacing w:after="0"/>
              <w:rPr>
                <w:sz w:val="20"/>
                <w:szCs w:val="20"/>
                <w:color w:val="auto"/>
              </w:rPr>
            </w:pPr>
            <w:r>
              <w:rPr>
                <w:rFonts w:ascii="Arial" w:cs="Arial" w:eastAsia="Arial" w:hAnsi="Arial"/>
                <w:sz w:val="13"/>
                <w:szCs w:val="13"/>
                <w:color w:val="auto"/>
              </w:rPr>
              <w:t>September 5, 2006 (Revised by R15003/R15007, April 4, 2016)</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100" w:type="dxa"/>
            <w:vAlign w:val="bottom"/>
          </w:tcPr>
          <w:p>
            <w:pPr>
              <w:spacing w:after="0"/>
              <w:rPr>
                <w:sz w:val="20"/>
                <w:szCs w:val="20"/>
                <w:color w:val="auto"/>
              </w:rPr>
            </w:pPr>
            <w:r>
              <w:rPr>
                <w:rFonts w:ascii="Arial" w:cs="Arial" w:eastAsia="Arial" w:hAnsi="Arial"/>
                <w:sz w:val="13"/>
                <w:szCs w:val="13"/>
                <w:color w:val="auto"/>
              </w:rPr>
              <w:t>Page 20 of</w:t>
            </w:r>
          </w:p>
        </w:tc>
        <w:tc>
          <w:tcPr>
            <w:tcW w:w="4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20"/>
                <w:szCs w:val="20"/>
                <w:color w:val="auto"/>
              </w:rPr>
            </w:pPr>
            <w:r>
              <w:rPr>
                <w:rFonts w:ascii="Arial" w:cs="Arial" w:eastAsia="Arial" w:hAnsi="Arial"/>
                <w:sz w:val="13"/>
                <w:szCs w:val="13"/>
                <w:color w:val="auto"/>
              </w:rPr>
              <w:t>#NUM_PAGES#</w:t>
            </w: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73" w:right="67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color w:val="auto"/>
        </w:rPr>
        <w:t>DocuSign Envelope ID: 3B7EF782-2D4B-4907-8852-773EE4FC4166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60" w:type="dxa"/>
            <w:vAlign w:val="bottom"/>
            <w:gridSpan w:val="35"/>
          </w:tcPr>
          <w:p>
            <w:pPr>
              <w:spacing w:after="0"/>
              <w:rPr>
                <w:sz w:val="20"/>
                <w:szCs w:val="20"/>
                <w:color w:val="auto"/>
              </w:rPr>
            </w:pPr>
            <w:r>
              <w:rPr>
                <w:rFonts w:ascii="Arial" w:cs="Arial" w:eastAsia="Arial" w:hAnsi="Arial"/>
                <w:sz w:val="15"/>
                <w:szCs w:val="15"/>
                <w:color w:val="auto"/>
              </w:rPr>
              <w:t>TRANSACTION CONFIRMATION  EXHIBIT A FOR IMMEDIATE DELIVERY</w:t>
            </w:r>
          </w:p>
        </w:tc>
        <w:tc>
          <w:tcPr>
            <w:tcW w:w="0" w:type="dxa"/>
            <w:vAlign w:val="bottom"/>
          </w:tcPr>
          <w:p>
            <w:pPr>
              <w:spacing w:after="0"/>
              <w:rPr>
                <w:sz w:val="1"/>
                <w:szCs w:val="1"/>
                <w:color w:val="auto"/>
              </w:rPr>
            </w:pPr>
          </w:p>
        </w:tc>
      </w:tr>
      <w:tr>
        <w:trPr>
          <w:trHeight w:val="449"/>
        </w:trPr>
        <w:tc>
          <w:tcPr>
            <w:tcW w:w="540" w:type="dxa"/>
            <w:vAlign w:val="bottom"/>
          </w:tcPr>
          <w:p>
            <w:pPr>
              <w:spacing w:after="0"/>
              <w:rPr>
                <w:sz w:val="24"/>
                <w:szCs w:val="24"/>
                <w:color w:val="auto"/>
              </w:rPr>
            </w:pPr>
          </w:p>
        </w:tc>
        <w:tc>
          <w:tcPr>
            <w:tcW w:w="3980" w:type="dxa"/>
            <w:vAlign w:val="bottom"/>
            <w:tcBorders>
              <w:bottom w:val="single" w:sz="8" w:color="auto"/>
            </w:tcBorders>
            <w:gridSpan w:val="28"/>
          </w:tcPr>
          <w:p>
            <w:pPr>
              <w:spacing w:after="0"/>
              <w:rPr>
                <w:sz w:val="24"/>
                <w:szCs w:val="24"/>
                <w:color w:val="auto"/>
              </w:rPr>
            </w:pPr>
          </w:p>
        </w:tc>
        <w:tc>
          <w:tcPr>
            <w:tcW w:w="1600" w:type="dxa"/>
            <w:vAlign w:val="bottom"/>
            <w:gridSpan w:val="8"/>
          </w:tcPr>
          <w:p>
            <w:pPr>
              <w:spacing w:after="0"/>
              <w:rPr>
                <w:sz w:val="24"/>
                <w:szCs w:val="24"/>
                <w:color w:val="auto"/>
              </w:rPr>
            </w:pPr>
          </w:p>
        </w:tc>
        <w:tc>
          <w:tcPr>
            <w:tcW w:w="4240" w:type="dxa"/>
            <w:vAlign w:val="bottom"/>
            <w:tcBorders>
              <w:bottom w:val="single" w:sz="8" w:color="auto"/>
            </w:tcBorders>
            <w:gridSpan w:val="24"/>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15"/>
          </w:tcPr>
          <w:p>
            <w:pPr>
              <w:ind w:left="20"/>
              <w:spacing w:after="0"/>
              <w:rPr>
                <w:sz w:val="20"/>
                <w:szCs w:val="20"/>
                <w:color w:val="auto"/>
              </w:rPr>
            </w:pPr>
            <w:r>
              <w:rPr>
                <w:rFonts w:ascii="Arial" w:cs="Arial" w:eastAsia="Arial" w:hAnsi="Arial"/>
                <w:sz w:val="15"/>
                <w:szCs w:val="15"/>
                <w:color w:val="auto"/>
              </w:rPr>
              <w:t>Letterhead/Logo</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80" w:type="dxa"/>
            <w:vAlign w:val="bottom"/>
            <w:gridSpan w:val="5"/>
          </w:tcPr>
          <w:p>
            <w:pPr>
              <w:jc w:val="center"/>
              <w:ind w:left="126"/>
              <w:spacing w:after="0"/>
              <w:rPr>
                <w:sz w:val="20"/>
                <w:szCs w:val="20"/>
                <w:color w:val="auto"/>
              </w:rPr>
            </w:pPr>
            <w:r>
              <w:rPr>
                <w:rFonts w:ascii="Arial" w:cs="Arial" w:eastAsia="Arial" w:hAnsi="Arial"/>
                <w:sz w:val="15"/>
                <w:szCs w:val="15"/>
                <w:color w:val="auto"/>
              </w:rPr>
              <w:t>Date:</w:t>
            </w:r>
          </w:p>
        </w:tc>
        <w:tc>
          <w:tcPr>
            <w:tcW w:w="200" w:type="dxa"/>
            <w:vAlign w:val="bottom"/>
            <w:gridSpan w:val="4"/>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Borders>
              <w:right w:val="single" w:sz="8" w:color="auto"/>
            </w:tcBorders>
            <w:gridSpan w:val="10"/>
          </w:tcPr>
          <w:p>
            <w:pPr>
              <w:ind w:left="40"/>
              <w:spacing w:after="0"/>
              <w:rPr>
                <w:sz w:val="20"/>
                <w:szCs w:val="20"/>
                <w:color w:val="auto"/>
              </w:rPr>
            </w:pPr>
            <w:r>
              <w:rPr>
                <w:rFonts w:ascii="Arial" w:cs="Arial" w:eastAsia="Arial" w:hAnsi="Arial"/>
                <w:sz w:val="15"/>
                <w:szCs w:val="15"/>
                <w:color w:val="auto"/>
              </w:rPr>
              <w:t>Transaction Confirmation #:</w:t>
            </w: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3980" w:type="dxa"/>
            <w:vAlign w:val="bottom"/>
            <w:tcBorders>
              <w:bottom w:val="single" w:sz="8" w:color="auto"/>
              <w:right w:val="single" w:sz="8" w:color="auto"/>
            </w:tcBorders>
            <w:gridSpan w:val="28"/>
          </w:tcPr>
          <w:p>
            <w:pPr>
              <w:spacing w:after="0" w:line="20" w:lineRule="exact"/>
              <w:rPr>
                <w:sz w:val="1"/>
                <w:szCs w:val="1"/>
                <w:color w:val="auto"/>
              </w:rPr>
            </w:pPr>
          </w:p>
        </w:tc>
        <w:tc>
          <w:tcPr>
            <w:tcW w:w="1600" w:type="dxa"/>
            <w:vAlign w:val="bottom"/>
            <w:tcBorders>
              <w:left w:val="single" w:sz="8" w:color="auto"/>
              <w:bottom w:val="single" w:sz="8" w:color="auto"/>
              <w:right w:val="single" w:sz="8" w:color="auto"/>
            </w:tcBorders>
            <w:gridSpan w:val="8"/>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4"/>
          </w:tcPr>
          <w:p>
            <w:pPr>
              <w:spacing w:after="0" w:line="20" w:lineRule="exact"/>
              <w:rPr>
                <w:sz w:val="1"/>
                <w:szCs w:val="1"/>
                <w:color w:val="auto"/>
              </w:rPr>
            </w:pPr>
          </w:p>
        </w:tc>
        <w:tc>
          <w:tcPr>
            <w:tcW w:w="1900" w:type="dxa"/>
            <w:vAlign w:val="bottom"/>
            <w:tcBorders>
              <w:bottom w:val="single" w:sz="8" w:color="auto"/>
            </w:tcBorders>
            <w:gridSpan w:val="6"/>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 w:type="dxa"/>
            <w:vAlign w:val="bottom"/>
            <w:tcBorders>
              <w:right w:val="single" w:sz="8" w:color="auto"/>
            </w:tcBorders>
          </w:tcPr>
          <w:p>
            <w:pPr>
              <w:spacing w:after="0"/>
              <w:rPr>
                <w:sz w:val="20"/>
                <w:szCs w:val="20"/>
                <w:color w:val="auto"/>
              </w:rPr>
            </w:pPr>
          </w:p>
        </w:tc>
        <w:tc>
          <w:tcPr>
            <w:tcW w:w="6260" w:type="dxa"/>
            <w:vAlign w:val="bottom"/>
            <w:gridSpan w:val="41"/>
          </w:tcPr>
          <w:p>
            <w:pPr>
              <w:ind w:left="100"/>
              <w:spacing w:after="0"/>
              <w:rPr>
                <w:sz w:val="20"/>
                <w:szCs w:val="20"/>
                <w:color w:val="auto"/>
              </w:rPr>
            </w:pPr>
            <w:r>
              <w:rPr>
                <w:rFonts w:ascii="Arial" w:cs="Arial" w:eastAsia="Arial" w:hAnsi="Arial"/>
                <w:sz w:val="15"/>
                <w:szCs w:val="15"/>
                <w:color w:val="auto"/>
                <w:w w:val="98"/>
              </w:rPr>
              <w:t>This Transaction Confirmation is subject to the Base Contract between Seller and Buyer dated</w:t>
            </w: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360" w:type="dxa"/>
            <w:vAlign w:val="bottom"/>
            <w:tcBorders>
              <w:right w:val="single" w:sz="8" w:color="auto"/>
            </w:tcBorders>
            <w:gridSpan w:val="15"/>
          </w:tcPr>
          <w:p>
            <w:pPr>
              <w:spacing w:after="0"/>
              <w:rPr>
                <w:sz w:val="20"/>
                <w:szCs w:val="20"/>
                <w:color w:val="auto"/>
              </w:rPr>
            </w:pPr>
            <w:r>
              <w:rPr>
                <w:rFonts w:ascii="Arial" w:cs="Arial" w:eastAsia="Arial" w:hAnsi="Arial"/>
                <w:sz w:val="15"/>
                <w:szCs w:val="15"/>
                <w:color w:val="auto"/>
              </w:rPr>
              <w:t>. The terms of this Transaction Confirmation are</w:t>
            </w:r>
          </w:p>
        </w:tc>
        <w:tc>
          <w:tcPr>
            <w:tcW w:w="0" w:type="dxa"/>
            <w:vAlign w:val="bottom"/>
          </w:tcPr>
          <w:p>
            <w:pPr>
              <w:spacing w:after="0"/>
              <w:rPr>
                <w:sz w:val="1"/>
                <w:szCs w:val="1"/>
                <w:color w:val="auto"/>
              </w:rPr>
            </w:pPr>
          </w:p>
        </w:tc>
      </w:tr>
      <w:tr>
        <w:trPr>
          <w:trHeight w:val="165"/>
        </w:trPr>
        <w:tc>
          <w:tcPr>
            <w:tcW w:w="540" w:type="dxa"/>
            <w:vAlign w:val="bottom"/>
            <w:tcBorders>
              <w:right w:val="single" w:sz="8" w:color="auto"/>
            </w:tcBorders>
          </w:tcPr>
          <w:p>
            <w:pPr>
              <w:spacing w:after="0"/>
              <w:rPr>
                <w:sz w:val="14"/>
                <w:szCs w:val="14"/>
                <w:color w:val="auto"/>
              </w:rPr>
            </w:pPr>
          </w:p>
        </w:tc>
        <w:tc>
          <w:tcPr>
            <w:tcW w:w="6300" w:type="dxa"/>
            <w:vAlign w:val="bottom"/>
            <w:tcBorders>
              <w:bottom w:val="single" w:sz="8" w:color="auto"/>
            </w:tcBorders>
            <w:gridSpan w:val="42"/>
          </w:tcPr>
          <w:p>
            <w:pPr>
              <w:ind w:left="100"/>
              <w:spacing w:after="0" w:line="165" w:lineRule="exact"/>
              <w:rPr>
                <w:sz w:val="20"/>
                <w:szCs w:val="20"/>
                <w:color w:val="auto"/>
              </w:rPr>
            </w:pPr>
            <w:r>
              <w:rPr>
                <w:rFonts w:ascii="Arial" w:cs="Arial" w:eastAsia="Arial" w:hAnsi="Arial"/>
                <w:sz w:val="15"/>
                <w:szCs w:val="15"/>
                <w:color w:val="auto"/>
                <w:w w:val="99"/>
              </w:rPr>
              <w:t>binding unless disputed in writing within 2 Business Days of receipt unless otherwise specified</w:t>
            </w:r>
          </w:p>
        </w:tc>
        <w:tc>
          <w:tcPr>
            <w:tcW w:w="160" w:type="dxa"/>
            <w:vAlign w:val="bottom"/>
            <w:tcBorders>
              <w:bottom w:val="single" w:sz="8" w:color="auto"/>
            </w:tcBorders>
            <w:gridSpan w:val="3"/>
          </w:tcPr>
          <w:p>
            <w:pPr>
              <w:jc w:val="center"/>
              <w:ind w:right="60"/>
              <w:spacing w:after="0" w:line="165" w:lineRule="exact"/>
              <w:rPr>
                <w:sz w:val="20"/>
                <w:szCs w:val="20"/>
                <w:color w:val="auto"/>
              </w:rPr>
            </w:pPr>
            <w:r>
              <w:rPr>
                <w:rFonts w:ascii="Arial" w:cs="Arial" w:eastAsia="Arial" w:hAnsi="Arial"/>
                <w:sz w:val="15"/>
                <w:szCs w:val="15"/>
                <w:color w:val="auto"/>
                <w:w w:val="85"/>
              </w:rPr>
              <w:t>in</w:t>
            </w:r>
          </w:p>
        </w:tc>
        <w:tc>
          <w:tcPr>
            <w:tcW w:w="1540" w:type="dxa"/>
            <w:vAlign w:val="bottom"/>
            <w:tcBorders>
              <w:bottom w:val="single" w:sz="8" w:color="auto"/>
            </w:tcBorders>
            <w:gridSpan w:val="9"/>
          </w:tcPr>
          <w:p>
            <w:pPr>
              <w:jc w:val="right"/>
              <w:ind w:right="320"/>
              <w:spacing w:after="0" w:line="165" w:lineRule="exact"/>
              <w:rPr>
                <w:sz w:val="20"/>
                <w:szCs w:val="20"/>
                <w:color w:val="auto"/>
              </w:rPr>
            </w:pPr>
            <w:r>
              <w:rPr>
                <w:rFonts w:ascii="Arial" w:cs="Arial" w:eastAsia="Arial" w:hAnsi="Arial"/>
                <w:sz w:val="15"/>
                <w:szCs w:val="15"/>
                <w:color w:val="auto"/>
                <w:w w:val="96"/>
              </w:rPr>
              <w:t>the Base Contract.</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540" w:type="dxa"/>
            <w:vAlign w:val="bottom"/>
            <w:tcBorders>
              <w:right w:val="single" w:sz="8" w:color="auto"/>
            </w:tcBorders>
          </w:tcPr>
          <w:p>
            <w:pPr>
              <w:spacing w:after="0"/>
              <w:rPr>
                <w:sz w:val="24"/>
                <w:szCs w:val="24"/>
                <w:color w:val="auto"/>
              </w:rPr>
            </w:pPr>
          </w:p>
        </w:tc>
        <w:tc>
          <w:tcPr>
            <w:tcW w:w="1380" w:type="dxa"/>
            <w:vAlign w:val="bottom"/>
            <w:gridSpan w:val="9"/>
          </w:tcPr>
          <w:p>
            <w:pPr>
              <w:ind w:left="100"/>
              <w:spacing w:after="0"/>
              <w:rPr>
                <w:sz w:val="20"/>
                <w:szCs w:val="20"/>
                <w:color w:val="auto"/>
              </w:rPr>
            </w:pPr>
            <w:r>
              <w:rPr>
                <w:rFonts w:ascii="Arial" w:cs="Arial" w:eastAsia="Arial" w:hAnsi="Arial"/>
                <w:sz w:val="15"/>
                <w:szCs w:val="15"/>
                <w:b w:val="1"/>
                <w:bCs w:val="1"/>
                <w:color w:val="auto"/>
              </w:rPr>
              <w:t>SELLER: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7"/>
          </w:tcPr>
          <w:p>
            <w:pPr>
              <w:spacing w:after="0"/>
              <w:rPr>
                <w:sz w:val="20"/>
                <w:szCs w:val="20"/>
                <w:color w:val="auto"/>
              </w:rPr>
            </w:pPr>
            <w:r>
              <w:rPr>
                <w:rFonts w:ascii="Arial" w:cs="Arial" w:eastAsia="Arial" w:hAnsi="Arial"/>
                <w:sz w:val="15"/>
                <w:szCs w:val="15"/>
                <w:b w:val="1"/>
                <w:bCs w:val="1"/>
                <w:color w:val="auto"/>
              </w:rPr>
              <w:t>BUYER: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7"/>
        </w:trPr>
        <w:tc>
          <w:tcPr>
            <w:tcW w:w="540" w:type="dxa"/>
            <w:vAlign w:val="bottom"/>
            <w:tcBorders>
              <w:right w:val="single" w:sz="8" w:color="auto"/>
            </w:tcBorders>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Arial" w:cs="Arial" w:eastAsia="Arial" w:hAnsi="Arial"/>
                <w:sz w:val="15"/>
                <w:szCs w:val="15"/>
                <w:color w:val="auto"/>
              </w:rPr>
              <w:t>Attn: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92"/>
              </w:rPr>
              <w:t>Phone:</w:t>
            </w:r>
          </w:p>
        </w:tc>
        <w:tc>
          <w:tcPr>
            <w:tcW w:w="180" w:type="dxa"/>
            <w:vAlign w:val="bottom"/>
            <w:gridSpan w:val="2"/>
          </w:tcPr>
          <w:p>
            <w:pPr>
              <w:spacing w:after="0"/>
              <w:rPr>
                <w:sz w:val="24"/>
                <w:szCs w:val="24"/>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5"/>
                <w:szCs w:val="15"/>
                <w:color w:val="auto"/>
              </w:rPr>
              <w:t>Fax:</w:t>
            </w:r>
          </w:p>
        </w:tc>
        <w:tc>
          <w:tcPr>
            <w:tcW w:w="140" w:type="dxa"/>
            <w:vAlign w:val="bottom"/>
          </w:tcPr>
          <w:p>
            <w:pPr>
              <w:spacing w:after="0"/>
              <w:rPr>
                <w:sz w:val="24"/>
                <w:szCs w:val="24"/>
                <w:color w:val="auto"/>
              </w:rPr>
            </w:pPr>
          </w:p>
        </w:tc>
        <w:tc>
          <w:tcPr>
            <w:tcW w:w="1320" w:type="dxa"/>
            <w:vAlign w:val="bottom"/>
            <w:gridSpan w:val="11"/>
          </w:tcPr>
          <w:p>
            <w:pPr>
              <w:ind w:left="40"/>
              <w:spacing w:after="0"/>
              <w:rPr>
                <w:sz w:val="20"/>
                <w:szCs w:val="20"/>
                <w:color w:val="auto"/>
              </w:rPr>
            </w:pPr>
            <w:r>
              <w:rPr>
                <w:rFonts w:ascii="Arial" w:cs="Arial" w:eastAsia="Arial" w:hAnsi="Arial"/>
                <w:sz w:val="15"/>
                <w:szCs w:val="15"/>
                <w:color w:val="auto"/>
              </w:rPr>
              <w:t>Base Contract No.</w:t>
            </w:r>
          </w:p>
        </w:tc>
        <w:tc>
          <w:tcPr>
            <w:tcW w:w="1560" w:type="dxa"/>
            <w:vAlign w:val="bottom"/>
            <w:tcBorders>
              <w:right w:val="single" w:sz="8" w:color="auto"/>
            </w:tcBorders>
            <w:gridSpan w:val="6"/>
          </w:tcPr>
          <w:p>
            <w:pPr>
              <w:ind w:left="240"/>
              <w:spacing w:after="0"/>
              <w:rPr>
                <w:sz w:val="20"/>
                <w:szCs w:val="20"/>
                <w:color w:val="auto"/>
              </w:rPr>
            </w:pPr>
            <w:r>
              <w:rPr>
                <w:rFonts w:ascii="Arial" w:cs="Arial" w:eastAsia="Arial" w:hAnsi="Arial"/>
                <w:sz w:val="15"/>
                <w:szCs w:val="15"/>
                <w:color w:val="auto"/>
              </w:rPr>
              <w:t>Transporter:</w:t>
            </w:r>
          </w:p>
        </w:tc>
        <w:tc>
          <w:tcPr>
            <w:tcW w:w="10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5"/>
                <w:szCs w:val="15"/>
                <w:color w:val="auto"/>
              </w:rPr>
              <w:t>Attn:</w:t>
            </w:r>
          </w:p>
        </w:tc>
        <w:tc>
          <w:tcPr>
            <w:tcW w:w="80" w:type="dxa"/>
            <w:vAlign w:val="bottom"/>
          </w:tcPr>
          <w:p>
            <w:pPr>
              <w:spacing w:after="0"/>
              <w:rPr>
                <w:sz w:val="24"/>
                <w:szCs w:val="24"/>
                <w:color w:val="auto"/>
              </w:rPr>
            </w:pPr>
          </w:p>
        </w:tc>
        <w:tc>
          <w:tcPr>
            <w:tcW w:w="740" w:type="dxa"/>
            <w:vAlign w:val="bottom"/>
            <w:gridSpan w:val="4"/>
          </w:tcPr>
          <w:p>
            <w:pPr>
              <w:ind w:left="20"/>
              <w:spacing w:after="0"/>
              <w:rPr>
                <w:sz w:val="20"/>
                <w:szCs w:val="20"/>
                <w:color w:val="auto"/>
              </w:rPr>
            </w:pPr>
            <w:r>
              <w:rPr>
                <w:rFonts w:ascii="Arial" w:cs="Arial" w:eastAsia="Arial" w:hAnsi="Arial"/>
                <w:sz w:val="15"/>
                <w:szCs w:val="15"/>
                <w:color w:val="auto"/>
              </w:rPr>
              <w:t>Phone:</w:t>
            </w:r>
          </w:p>
        </w:tc>
        <w:tc>
          <w:tcPr>
            <w:tcW w:w="500" w:type="dxa"/>
            <w:vAlign w:val="bottom"/>
            <w:gridSpan w:val="9"/>
          </w:tcPr>
          <w:p>
            <w:pPr>
              <w:jc w:val="center"/>
              <w:ind w:right="220"/>
              <w:spacing w:after="0"/>
              <w:rPr>
                <w:sz w:val="20"/>
                <w:szCs w:val="20"/>
                <w:color w:val="auto"/>
              </w:rPr>
            </w:pPr>
            <w:r>
              <w:rPr>
                <w:rFonts w:ascii="Arial" w:cs="Arial" w:eastAsia="Arial" w:hAnsi="Arial"/>
                <w:sz w:val="15"/>
                <w:szCs w:val="15"/>
                <w:color w:val="auto"/>
                <w:w w:val="95"/>
              </w:rPr>
              <w:t>Fax:</w:t>
            </w:r>
          </w:p>
        </w:tc>
        <w:tc>
          <w:tcPr>
            <w:tcW w:w="40" w:type="dxa"/>
            <w:vAlign w:val="bottom"/>
          </w:tcPr>
          <w:p>
            <w:pPr>
              <w:spacing w:after="0"/>
              <w:rPr>
                <w:sz w:val="24"/>
                <w:szCs w:val="24"/>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5"/>
                <w:szCs w:val="15"/>
                <w:color w:val="auto"/>
                <w:w w:val="97"/>
              </w:rPr>
              <w:t>Base Contract No.</w:t>
            </w:r>
          </w:p>
        </w:tc>
        <w:tc>
          <w:tcPr>
            <w:tcW w:w="1820" w:type="dxa"/>
            <w:vAlign w:val="bottom"/>
            <w:tcBorders>
              <w:right w:val="single" w:sz="8" w:color="auto"/>
            </w:tcBorders>
            <w:gridSpan w:val="6"/>
          </w:tcPr>
          <w:p>
            <w:pPr>
              <w:ind w:left="220"/>
              <w:spacing w:after="0"/>
              <w:rPr>
                <w:sz w:val="20"/>
                <w:szCs w:val="20"/>
                <w:color w:val="auto"/>
              </w:rPr>
            </w:pPr>
            <w:r>
              <w:rPr>
                <w:rFonts w:ascii="Arial" w:cs="Arial" w:eastAsia="Arial" w:hAnsi="Arial"/>
                <w:sz w:val="15"/>
                <w:szCs w:val="15"/>
                <w:color w:val="auto"/>
              </w:rPr>
              <w:t>Transporter:</w:t>
            </w: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40" w:type="dxa"/>
            <w:vAlign w:val="bottom"/>
            <w:tcBorders>
              <w:right w:val="single" w:sz="8" w:color="auto"/>
            </w:tcBorders>
          </w:tcPr>
          <w:p>
            <w:pPr>
              <w:spacing w:after="0"/>
              <w:rPr>
                <w:sz w:val="11"/>
                <w:szCs w:val="11"/>
                <w:color w:val="auto"/>
              </w:rPr>
            </w:pPr>
          </w:p>
        </w:tc>
        <w:tc>
          <w:tcPr>
            <w:tcW w:w="680" w:type="dxa"/>
            <w:vAlign w:val="bottom"/>
            <w:gridSpan w:val="5"/>
          </w:tcPr>
          <w:p>
            <w:pPr>
              <w:ind w:left="100"/>
              <w:spacing w:after="0" w:line="128" w:lineRule="exact"/>
              <w:rPr>
                <w:sz w:val="20"/>
                <w:szCs w:val="20"/>
                <w:color w:val="auto"/>
              </w:rPr>
            </w:pPr>
            <w:r>
              <w:rPr>
                <w:rFonts w:ascii="Arial" w:cs="Arial" w:eastAsia="Arial" w:hAnsi="Arial"/>
                <w:sz w:val="14"/>
                <w:szCs w:val="14"/>
                <w:color w:val="auto"/>
                <w:w w:val="74"/>
              </w:rPr>
              <w:t>Transporter</w:t>
            </w:r>
          </w:p>
        </w:tc>
        <w:tc>
          <w:tcPr>
            <w:tcW w:w="220" w:type="dxa"/>
            <w:vAlign w:val="bottom"/>
          </w:tcPr>
          <w:p>
            <w:pPr>
              <w:spacing w:after="0"/>
              <w:rPr>
                <w:sz w:val="11"/>
                <w:szCs w:val="11"/>
                <w:color w:val="auto"/>
              </w:rPr>
            </w:pPr>
          </w:p>
        </w:tc>
        <w:tc>
          <w:tcPr>
            <w:tcW w:w="520" w:type="dxa"/>
            <w:vAlign w:val="bottom"/>
            <w:gridSpan w:val="4"/>
          </w:tcPr>
          <w:p>
            <w:pPr>
              <w:spacing w:after="0" w:line="128" w:lineRule="exact"/>
              <w:rPr>
                <w:sz w:val="20"/>
                <w:szCs w:val="20"/>
                <w:color w:val="auto"/>
              </w:rPr>
            </w:pPr>
            <w:r>
              <w:rPr>
                <w:rFonts w:ascii="Arial" w:cs="Arial" w:eastAsia="Arial" w:hAnsi="Arial"/>
                <w:sz w:val="14"/>
                <w:szCs w:val="14"/>
                <w:color w:val="auto"/>
                <w:w w:val="94"/>
              </w:rPr>
              <w:t>Contract</w:t>
            </w:r>
          </w:p>
        </w:tc>
        <w:tc>
          <w:tcPr>
            <w:tcW w:w="520" w:type="dxa"/>
            <w:vAlign w:val="bottom"/>
            <w:gridSpan w:val="4"/>
          </w:tcPr>
          <w:p>
            <w:pPr>
              <w:jc w:val="center"/>
              <w:ind w:left="9"/>
              <w:spacing w:after="0" w:line="128" w:lineRule="exact"/>
              <w:rPr>
                <w:sz w:val="20"/>
                <w:szCs w:val="20"/>
                <w:color w:val="auto"/>
              </w:rPr>
            </w:pPr>
            <w:r>
              <w:rPr>
                <w:rFonts w:ascii="Arial" w:cs="Arial" w:eastAsia="Arial" w:hAnsi="Arial"/>
                <w:sz w:val="14"/>
                <w:szCs w:val="14"/>
                <w:color w:val="auto"/>
                <w:w w:val="81"/>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80" w:type="dxa"/>
            <w:vAlign w:val="bottom"/>
            <w:gridSpan w:val="22"/>
          </w:tcPr>
          <w:p>
            <w:pPr>
              <w:spacing w:after="0" w:line="128" w:lineRule="exact"/>
              <w:rPr>
                <w:sz w:val="20"/>
                <w:szCs w:val="20"/>
                <w:color w:val="auto"/>
              </w:rPr>
            </w:pPr>
            <w:r>
              <w:rPr>
                <w:rFonts w:ascii="Arial" w:cs="Arial" w:eastAsia="Arial" w:hAnsi="Arial"/>
                <w:sz w:val="14"/>
                <w:szCs w:val="14"/>
                <w:color w:val="auto"/>
              </w:rPr>
              <w:t>Transporter Contract 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2120" w:type="dxa"/>
            <w:vAlign w:val="bottom"/>
            <w:tcBorders>
              <w:bottom w:val="single" w:sz="8" w:color="auto"/>
            </w:tcBorders>
            <w:gridSpan w:val="18"/>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380" w:type="dxa"/>
            <w:vAlign w:val="bottom"/>
            <w:tcBorders>
              <w:bottom w:val="single" w:sz="8" w:color="auto"/>
              <w:right w:val="single" w:sz="8" w:color="auto"/>
            </w:tcBorders>
            <w:gridSpan w:val="11"/>
          </w:tcPr>
          <w:p>
            <w:pPr>
              <w:spacing w:after="0" w:line="20" w:lineRule="exact"/>
              <w:rPr>
                <w:sz w:val="1"/>
                <w:szCs w:val="1"/>
                <w:color w:val="auto"/>
              </w:rPr>
            </w:pPr>
          </w:p>
        </w:tc>
        <w:tc>
          <w:tcPr>
            <w:tcW w:w="2100" w:type="dxa"/>
            <w:vAlign w:val="bottom"/>
            <w:tcBorders>
              <w:bottom w:val="single" w:sz="8" w:color="auto"/>
            </w:tcBorders>
            <w:gridSpan w:val="20"/>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560" w:type="dxa"/>
            <w:vAlign w:val="bottom"/>
            <w:tcBorders>
              <w:bottom w:val="single" w:sz="8" w:color="auto"/>
              <w:right w:val="single" w:sz="8" w:color="auto"/>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 w:type="dxa"/>
            <w:vAlign w:val="bottom"/>
            <w:tcBorders>
              <w:right w:val="single" w:sz="8" w:color="auto"/>
            </w:tcBorders>
          </w:tcPr>
          <w:p>
            <w:pPr>
              <w:spacing w:after="0"/>
              <w:rPr>
                <w:sz w:val="20"/>
                <w:szCs w:val="20"/>
                <w:color w:val="auto"/>
              </w:rPr>
            </w:pPr>
          </w:p>
        </w:tc>
        <w:tc>
          <w:tcPr>
            <w:tcW w:w="1380" w:type="dxa"/>
            <w:vAlign w:val="bottom"/>
            <w:gridSpan w:val="9"/>
          </w:tcPr>
          <w:p>
            <w:pPr>
              <w:ind w:left="100"/>
              <w:spacing w:after="0"/>
              <w:rPr>
                <w:sz w:val="20"/>
                <w:szCs w:val="20"/>
                <w:color w:val="auto"/>
              </w:rPr>
            </w:pPr>
            <w:r>
              <w:rPr>
                <w:rFonts w:ascii="Arial" w:cs="Arial" w:eastAsia="Arial" w:hAnsi="Arial"/>
                <w:sz w:val="15"/>
                <w:szCs w:val="15"/>
                <w:color w:val="auto"/>
              </w:rPr>
              <w:t>Contract Price: $</w:t>
            </w:r>
          </w:p>
        </w:tc>
        <w:tc>
          <w:tcPr>
            <w:tcW w:w="740" w:type="dxa"/>
            <w:vAlign w:val="bottom"/>
            <w:gridSpan w:val="9"/>
          </w:tcPr>
          <w:p>
            <w:pPr>
              <w:jc w:val="center"/>
              <w:ind w:right="60"/>
              <w:spacing w:after="0"/>
              <w:rPr>
                <w:sz w:val="20"/>
                <w:szCs w:val="20"/>
                <w:color w:val="auto"/>
              </w:rPr>
            </w:pPr>
            <w:r>
              <w:rPr>
                <w:rFonts w:ascii="Arial" w:cs="Arial" w:eastAsia="Arial" w:hAnsi="Arial"/>
                <w:sz w:val="15"/>
                <w:szCs w:val="15"/>
                <w:color w:val="auto"/>
                <w:w w:val="98"/>
              </w:rPr>
              <w:t>/MMBtu or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1200" w:type="dxa"/>
            <w:vAlign w:val="bottom"/>
            <w:tcBorders>
              <w:bottom w:val="single" w:sz="8" w:color="auto"/>
            </w:tcBorders>
            <w:gridSpan w:val="7"/>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8"/>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560" w:type="dxa"/>
            <w:vAlign w:val="bottom"/>
            <w:tcBorders>
              <w:bottom w:val="single" w:sz="8" w:color="auto"/>
              <w:right w:val="single" w:sz="8" w:color="auto"/>
            </w:tcBorders>
            <w:gridSpan w:val="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0" w:type="dxa"/>
            <w:vAlign w:val="bottom"/>
            <w:tcBorders>
              <w:right w:val="single" w:sz="8" w:color="auto"/>
            </w:tcBorders>
          </w:tcPr>
          <w:p>
            <w:pPr>
              <w:spacing w:after="0"/>
              <w:rPr>
                <w:sz w:val="21"/>
                <w:szCs w:val="21"/>
                <w:color w:val="auto"/>
              </w:rPr>
            </w:pPr>
          </w:p>
        </w:tc>
        <w:tc>
          <w:tcPr>
            <w:tcW w:w="1800" w:type="dxa"/>
            <w:vAlign w:val="bottom"/>
            <w:gridSpan w:val="13"/>
          </w:tcPr>
          <w:p>
            <w:pPr>
              <w:ind w:left="100"/>
              <w:spacing w:after="0"/>
              <w:rPr>
                <w:sz w:val="20"/>
                <w:szCs w:val="20"/>
                <w:color w:val="auto"/>
              </w:rPr>
            </w:pPr>
            <w:r>
              <w:rPr>
                <w:rFonts w:ascii="Arial" w:cs="Arial" w:eastAsia="Arial" w:hAnsi="Arial"/>
                <w:sz w:val="15"/>
                <w:szCs w:val="15"/>
                <w:color w:val="auto"/>
              </w:rPr>
              <w:t>Delivery Period: Begin:</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7"/>
          </w:tcPr>
          <w:p>
            <w:pPr>
              <w:ind w:left="100"/>
              <w:spacing w:after="0"/>
              <w:rPr>
                <w:sz w:val="20"/>
                <w:szCs w:val="20"/>
                <w:color w:val="auto"/>
              </w:rPr>
            </w:pPr>
            <w:r>
              <w:rPr>
                <w:rFonts w:ascii="Arial" w:cs="Arial" w:eastAsia="Arial" w:hAnsi="Arial"/>
                <w:sz w:val="15"/>
                <w:szCs w:val="15"/>
                <w:color w:val="auto"/>
              </w:rPr>
              <w:t>End:   ,</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1640" w:type="dxa"/>
            <w:vAlign w:val="bottom"/>
            <w:tcBorders>
              <w:bottom w:val="single" w:sz="8" w:color="auto"/>
            </w:tcBorders>
            <w:gridSpan w:val="1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6"/>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40" w:type="dxa"/>
            <w:vAlign w:val="bottom"/>
            <w:tcBorders>
              <w:bottom w:val="single" w:sz="8" w:color="auto"/>
              <w:right w:val="single" w:sz="8" w:color="auto"/>
            </w:tcBorders>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40" w:type="dxa"/>
            <w:vAlign w:val="bottom"/>
            <w:tcBorders>
              <w:right w:val="single" w:sz="8" w:color="auto"/>
            </w:tcBorders>
          </w:tcPr>
          <w:p>
            <w:pPr>
              <w:spacing w:after="0"/>
              <w:rPr>
                <w:sz w:val="24"/>
                <w:szCs w:val="24"/>
                <w:color w:val="auto"/>
              </w:rPr>
            </w:pPr>
          </w:p>
        </w:tc>
        <w:tc>
          <w:tcPr>
            <w:tcW w:w="4920" w:type="dxa"/>
            <w:vAlign w:val="bottom"/>
            <w:gridSpan w:val="32"/>
          </w:tcPr>
          <w:p>
            <w:pPr>
              <w:ind w:left="100"/>
              <w:spacing w:after="0"/>
              <w:rPr>
                <w:sz w:val="20"/>
                <w:szCs w:val="20"/>
                <w:color w:val="auto"/>
              </w:rPr>
            </w:pPr>
            <w:r>
              <w:rPr>
                <w:rFonts w:ascii="Arial" w:cs="Arial" w:eastAsia="Arial" w:hAnsi="Arial"/>
                <w:sz w:val="15"/>
                <w:szCs w:val="15"/>
                <w:b w:val="1"/>
                <w:bCs w:val="1"/>
                <w:color w:val="auto"/>
              </w:rPr>
              <w:t xml:space="preserve">Performance Obligation and Contract Quantity: </w:t>
            </w:r>
            <w:r>
              <w:rPr>
                <w:rFonts w:ascii="Arial" w:cs="Arial" w:eastAsia="Arial" w:hAnsi="Arial"/>
                <w:sz w:val="15"/>
                <w:szCs w:val="15"/>
                <w:color w:val="auto"/>
              </w:rPr>
              <w:t>(Select One)</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40" w:type="dxa"/>
            <w:vAlign w:val="bottom"/>
            <w:tcBorders>
              <w:right w:val="single" w:sz="8" w:color="auto"/>
            </w:tcBorders>
          </w:tcPr>
          <w:p>
            <w:pPr>
              <w:spacing w:after="0"/>
              <w:rPr>
                <w:sz w:val="24"/>
                <w:szCs w:val="24"/>
                <w:color w:val="auto"/>
              </w:rPr>
            </w:pPr>
          </w:p>
        </w:tc>
        <w:tc>
          <w:tcPr>
            <w:tcW w:w="4920" w:type="dxa"/>
            <w:vAlign w:val="bottom"/>
            <w:gridSpan w:val="32"/>
          </w:tcPr>
          <w:p>
            <w:pPr>
              <w:ind w:left="100"/>
              <w:spacing w:after="0"/>
              <w:rPr>
                <w:sz w:val="20"/>
                <w:szCs w:val="20"/>
                <w:color w:val="auto"/>
              </w:rPr>
            </w:pPr>
            <w:r>
              <w:rPr>
                <w:rFonts w:ascii="Arial" w:cs="Arial" w:eastAsia="Arial" w:hAnsi="Arial"/>
                <w:sz w:val="15"/>
                <w:szCs w:val="15"/>
                <w:b w:val="1"/>
                <w:bCs w:val="1"/>
                <w:color w:val="auto"/>
              </w:rPr>
              <w:t>Firm (Fixed Quantity):  Firm (Variable Quantity):  Interruptible:</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8"/>
          </w:tcPr>
          <w:p>
            <w:pPr>
              <w:spacing w:after="0"/>
              <w:rPr>
                <w:sz w:val="20"/>
                <w:szCs w:val="20"/>
                <w:color w:val="auto"/>
              </w:rPr>
            </w:pPr>
            <w:r>
              <w:rPr>
                <w:rFonts w:ascii="Arial" w:cs="Arial" w:eastAsia="Arial" w:hAnsi="Arial"/>
                <w:sz w:val="15"/>
                <w:szCs w:val="15"/>
                <w:color w:val="auto"/>
              </w:rPr>
              <w:t>MMBtus/day</w:t>
            </w:r>
          </w:p>
        </w:tc>
        <w:tc>
          <w:tcPr>
            <w:tcW w:w="160" w:type="dxa"/>
            <w:vAlign w:val="bottom"/>
          </w:tcPr>
          <w:p>
            <w:pPr>
              <w:spacing w:after="0"/>
              <w:rPr>
                <w:sz w:val="21"/>
                <w:szCs w:val="21"/>
                <w:color w:val="auto"/>
              </w:rPr>
            </w:pPr>
          </w:p>
        </w:tc>
        <w:tc>
          <w:tcPr>
            <w:tcW w:w="1460" w:type="dxa"/>
            <w:vAlign w:val="bottom"/>
            <w:gridSpan w:val="12"/>
          </w:tcPr>
          <w:p>
            <w:pPr>
              <w:spacing w:after="0"/>
              <w:rPr>
                <w:sz w:val="20"/>
                <w:szCs w:val="20"/>
                <w:color w:val="auto"/>
              </w:rPr>
            </w:pPr>
            <w:r>
              <w:rPr>
                <w:rFonts w:ascii="Arial" w:cs="Arial" w:eastAsia="Arial" w:hAnsi="Arial"/>
                <w:sz w:val="15"/>
                <w:szCs w:val="15"/>
                <w:color w:val="auto"/>
                <w:w w:val="95"/>
              </w:rPr>
              <w:t>MMBtus/day Minimum</w:t>
            </w:r>
          </w:p>
        </w:tc>
        <w:tc>
          <w:tcPr>
            <w:tcW w:w="2120" w:type="dxa"/>
            <w:vAlign w:val="bottom"/>
            <w:gridSpan w:val="9"/>
          </w:tcPr>
          <w:p>
            <w:pPr>
              <w:ind w:left="160"/>
              <w:spacing w:after="0"/>
              <w:rPr>
                <w:sz w:val="20"/>
                <w:szCs w:val="20"/>
                <w:color w:val="auto"/>
              </w:rPr>
            </w:pPr>
            <w:r>
              <w:rPr>
                <w:rFonts w:ascii="Arial" w:cs="Arial" w:eastAsia="Arial" w:hAnsi="Arial"/>
                <w:sz w:val="15"/>
                <w:szCs w:val="15"/>
                <w:color w:val="auto"/>
              </w:rPr>
              <w:t>Up to   MMBtus/day EFP</w:t>
            </w:r>
          </w:p>
        </w:tc>
        <w:tc>
          <w:tcPr>
            <w:tcW w:w="2620" w:type="dxa"/>
            <w:vAlign w:val="bottom"/>
            <w:gridSpan w:val="20"/>
          </w:tcPr>
          <w:p>
            <w:pPr>
              <w:ind w:left="80"/>
              <w:spacing w:after="0"/>
              <w:rPr>
                <w:sz w:val="20"/>
                <w:szCs w:val="20"/>
                <w:color w:val="auto"/>
              </w:rPr>
            </w:pPr>
            <w:r>
              <w:rPr>
                <w:rFonts w:ascii="Arial" w:cs="Arial" w:eastAsia="Arial" w:hAnsi="Arial"/>
                <w:sz w:val="15"/>
                <w:szCs w:val="15"/>
                <w:color w:val="auto"/>
              </w:rPr>
              <w:t>MMBtus/day Maximum</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gridSpan w:val="5"/>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13"/>
          </w:tcPr>
          <w:p>
            <w:pPr>
              <w:ind w:left="220"/>
              <w:spacing w:after="0"/>
              <w:rPr>
                <w:sz w:val="20"/>
                <w:szCs w:val="20"/>
                <w:color w:val="auto"/>
              </w:rPr>
            </w:pPr>
            <w:r>
              <w:rPr>
                <w:rFonts w:ascii="Arial" w:cs="Arial" w:eastAsia="Arial" w:hAnsi="Arial"/>
                <w:sz w:val="15"/>
                <w:szCs w:val="15"/>
                <w:color w:val="auto"/>
              </w:rPr>
              <w:t>subject to Section 4.2. at election of</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5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ind w:left="20"/>
              <w:spacing w:after="0"/>
              <w:rPr>
                <w:sz w:val="20"/>
                <w:szCs w:val="20"/>
                <w:color w:val="auto"/>
              </w:rPr>
            </w:pPr>
            <w:r>
              <w:rPr>
                <w:rFonts w:ascii="Arial" w:cs="Arial" w:eastAsia="Arial" w:hAnsi="Arial"/>
                <w:sz w:val="15"/>
                <w:szCs w:val="15"/>
                <w:color w:val="auto"/>
              </w:rPr>
              <w:t>Buyer or  Seller</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40" w:type="dxa"/>
            <w:vAlign w:val="bottom"/>
            <w:tcBorders>
              <w:right w:val="single" w:sz="8" w:color="auto"/>
            </w:tcBorders>
          </w:tcPr>
          <w:p>
            <w:pPr>
              <w:spacing w:after="0"/>
              <w:rPr>
                <w:sz w:val="22"/>
                <w:szCs w:val="22"/>
                <w:color w:val="auto"/>
              </w:rPr>
            </w:pPr>
          </w:p>
        </w:tc>
        <w:tc>
          <w:tcPr>
            <w:tcW w:w="1360" w:type="dxa"/>
            <w:vAlign w:val="bottom"/>
            <w:gridSpan w:val="8"/>
          </w:tcPr>
          <w:p>
            <w:pPr>
              <w:ind w:left="100"/>
              <w:spacing w:after="0"/>
              <w:rPr>
                <w:sz w:val="20"/>
                <w:szCs w:val="20"/>
                <w:color w:val="auto"/>
              </w:rPr>
            </w:pPr>
            <w:r>
              <w:rPr>
                <w:rFonts w:ascii="Arial" w:cs="Arial" w:eastAsia="Arial" w:hAnsi="Arial"/>
                <w:sz w:val="15"/>
                <w:szCs w:val="15"/>
                <w:b w:val="1"/>
                <w:bCs w:val="1"/>
                <w:color w:val="auto"/>
              </w:rPr>
              <w:t>Delivery Point(s):</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40" w:type="dxa"/>
            <w:vAlign w:val="bottom"/>
            <w:tcBorders>
              <w:right w:val="single" w:sz="8" w:color="auto"/>
            </w:tcBorders>
          </w:tcPr>
          <w:p>
            <w:pPr>
              <w:spacing w:after="0"/>
              <w:rPr>
                <w:sz w:val="18"/>
                <w:szCs w:val="18"/>
                <w:color w:val="auto"/>
              </w:rPr>
            </w:pPr>
          </w:p>
        </w:tc>
        <w:tc>
          <w:tcPr>
            <w:tcW w:w="4920" w:type="dxa"/>
            <w:vAlign w:val="bottom"/>
            <w:tcBorders>
              <w:bottom w:val="single" w:sz="8" w:color="auto"/>
            </w:tcBorders>
            <w:gridSpan w:val="32"/>
          </w:tcPr>
          <w:p>
            <w:pPr>
              <w:ind w:left="100"/>
              <w:spacing w:after="0"/>
              <w:rPr>
                <w:sz w:val="20"/>
                <w:szCs w:val="20"/>
                <w:color w:val="auto"/>
              </w:rPr>
            </w:pPr>
            <w:r>
              <w:rPr>
                <w:rFonts w:ascii="Arial" w:cs="Arial" w:eastAsia="Arial" w:hAnsi="Arial"/>
                <w:sz w:val="15"/>
                <w:szCs w:val="15"/>
                <w:color w:val="auto"/>
                <w:w w:val="98"/>
              </w:rPr>
              <w:t>(If a pooling point is used, list a specific geographic and pipeline location):</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40" w:type="dxa"/>
            <w:vAlign w:val="bottom"/>
            <w:tcBorders>
              <w:right w:val="single" w:sz="8" w:color="auto"/>
            </w:tcBorders>
          </w:tcPr>
          <w:p>
            <w:pPr>
              <w:spacing w:after="0"/>
              <w:rPr>
                <w:sz w:val="24"/>
                <w:szCs w:val="24"/>
                <w:color w:val="auto"/>
              </w:rPr>
            </w:pPr>
          </w:p>
        </w:tc>
        <w:tc>
          <w:tcPr>
            <w:tcW w:w="1800" w:type="dxa"/>
            <w:vAlign w:val="bottom"/>
            <w:tcBorders>
              <w:bottom w:val="single" w:sz="8" w:color="auto"/>
            </w:tcBorders>
            <w:gridSpan w:val="13"/>
          </w:tcPr>
          <w:p>
            <w:pPr>
              <w:ind w:left="100"/>
              <w:spacing w:after="0"/>
              <w:rPr>
                <w:sz w:val="20"/>
                <w:szCs w:val="20"/>
                <w:color w:val="auto"/>
              </w:rPr>
            </w:pPr>
            <w:r>
              <w:rPr>
                <w:rFonts w:ascii="Arial" w:cs="Arial" w:eastAsia="Arial" w:hAnsi="Arial"/>
                <w:sz w:val="15"/>
                <w:szCs w:val="15"/>
                <w:b w:val="1"/>
                <w:bCs w:val="1"/>
                <w:color w:val="auto"/>
              </w:rPr>
              <w:t>Special Conditions:</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540" w:type="dxa"/>
            <w:vAlign w:val="bottom"/>
            <w:tcBorders>
              <w:right w:val="single" w:sz="8" w:color="auto"/>
            </w:tcBorders>
          </w:tcPr>
          <w:p>
            <w:pPr>
              <w:spacing w:after="0"/>
              <w:rPr>
                <w:sz w:val="24"/>
                <w:szCs w:val="24"/>
                <w:color w:val="auto"/>
              </w:rPr>
            </w:pPr>
          </w:p>
        </w:tc>
        <w:tc>
          <w:tcPr>
            <w:tcW w:w="560" w:type="dxa"/>
            <w:vAlign w:val="bottom"/>
            <w:gridSpan w:val="3"/>
          </w:tcPr>
          <w:p>
            <w:pPr>
              <w:ind w:left="100"/>
              <w:spacing w:after="0"/>
              <w:rPr>
                <w:sz w:val="20"/>
                <w:szCs w:val="20"/>
                <w:color w:val="auto"/>
              </w:rPr>
            </w:pPr>
            <w:r>
              <w:rPr>
                <w:rFonts w:ascii="Arial" w:cs="Arial" w:eastAsia="Arial" w:hAnsi="Arial"/>
                <w:sz w:val="15"/>
                <w:szCs w:val="15"/>
                <w:color w:val="auto"/>
              </w:rPr>
              <w:t>Seller: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5"/>
                <w:szCs w:val="15"/>
                <w:color w:val="auto"/>
              </w:rPr>
              <w:t>By:</w:t>
            </w:r>
          </w:p>
        </w:tc>
        <w:tc>
          <w:tcPr>
            <w:tcW w:w="420" w:type="dxa"/>
            <w:vAlign w:val="bottom"/>
            <w:gridSpan w:val="4"/>
          </w:tcPr>
          <w:p>
            <w:pPr>
              <w:jc w:val="right"/>
              <w:ind w:right="100"/>
              <w:spacing w:after="0"/>
              <w:rPr>
                <w:sz w:val="20"/>
                <w:szCs w:val="20"/>
                <w:color w:val="auto"/>
              </w:rPr>
            </w:pPr>
            <w:r>
              <w:rPr>
                <w:rFonts w:ascii="Arial" w:cs="Arial" w:eastAsia="Arial" w:hAnsi="Arial"/>
                <w:sz w:val="15"/>
                <w:szCs w:val="15"/>
                <w:color w:val="auto"/>
                <w:w w:val="92"/>
              </w:rPr>
              <w:t>Title: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5"/>
                <w:szCs w:val="15"/>
                <w:color w:val="auto"/>
              </w:rPr>
              <w:t>Buyer: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gridSpan w:val="2"/>
          </w:tcPr>
          <w:p>
            <w:pPr>
              <w:jc w:val="center"/>
              <w:ind w:right="20"/>
              <w:spacing w:after="0"/>
              <w:rPr>
                <w:sz w:val="20"/>
                <w:szCs w:val="20"/>
                <w:color w:val="auto"/>
              </w:rPr>
            </w:pPr>
            <w:r>
              <w:rPr>
                <w:rFonts w:ascii="Arial" w:cs="Arial" w:eastAsia="Arial" w:hAnsi="Arial"/>
                <w:sz w:val="15"/>
                <w:szCs w:val="15"/>
                <w:color w:val="auto"/>
              </w:rPr>
              <w:t>By:</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5"/>
          </w:tcPr>
          <w:p>
            <w:pPr>
              <w:ind w:left="40"/>
              <w:spacing w:after="0"/>
              <w:rPr>
                <w:sz w:val="20"/>
                <w:szCs w:val="20"/>
                <w:color w:val="auto"/>
              </w:rPr>
            </w:pPr>
            <w:r>
              <w:rPr>
                <w:rFonts w:ascii="Arial" w:cs="Arial" w:eastAsia="Arial" w:hAnsi="Arial"/>
                <w:sz w:val="15"/>
                <w:szCs w:val="15"/>
                <w:color w:val="auto"/>
                <w:w w:val="92"/>
              </w:rPr>
              <w:t>Title: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40" w:type="dxa"/>
            <w:vAlign w:val="bottom"/>
            <w:tcBorders>
              <w:right w:val="single" w:sz="8" w:color="auto"/>
            </w:tcBorders>
          </w:tcPr>
          <w:p>
            <w:pPr>
              <w:spacing w:after="0"/>
              <w:rPr>
                <w:sz w:val="22"/>
                <w:szCs w:val="22"/>
                <w:color w:val="auto"/>
              </w:rPr>
            </w:pPr>
          </w:p>
        </w:tc>
        <w:tc>
          <w:tcPr>
            <w:tcW w:w="560" w:type="dxa"/>
            <w:vAlign w:val="bottom"/>
            <w:gridSpan w:val="3"/>
          </w:tcPr>
          <w:p>
            <w:pPr>
              <w:ind w:left="100"/>
              <w:spacing w:after="0"/>
              <w:rPr>
                <w:sz w:val="20"/>
                <w:szCs w:val="20"/>
                <w:color w:val="auto"/>
              </w:rPr>
            </w:pPr>
            <w:r>
              <w:rPr>
                <w:rFonts w:ascii="Arial" w:cs="Arial" w:eastAsia="Arial" w:hAnsi="Arial"/>
                <w:sz w:val="15"/>
                <w:szCs w:val="15"/>
                <w:color w:val="auto"/>
              </w:rPr>
              <w:t>Date:</w:t>
            </w:r>
          </w:p>
        </w:tc>
        <w:tc>
          <w:tcPr>
            <w:tcW w:w="340" w:type="dxa"/>
            <w:vAlign w:val="bottom"/>
            <w:tcBorders>
              <w:top w:val="single" w:sz="8" w:color="auto"/>
            </w:tcBorders>
            <w:gridSpan w:val="3"/>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40" w:type="dxa"/>
            <w:vAlign w:val="bottom"/>
            <w:gridSpan w:val="5"/>
          </w:tcPr>
          <w:p>
            <w:pPr>
              <w:spacing w:after="0"/>
              <w:rPr>
                <w:sz w:val="22"/>
                <w:szCs w:val="22"/>
                <w:color w:val="auto"/>
              </w:rPr>
            </w:pPr>
          </w:p>
        </w:tc>
        <w:tc>
          <w:tcPr>
            <w:tcW w:w="280" w:type="dxa"/>
            <w:vAlign w:val="bottom"/>
            <w:tcBorders>
              <w:top w:val="single" w:sz="8" w:color="auto"/>
            </w:tcBorders>
            <w:gridSpan w:val="3"/>
          </w:tcPr>
          <w:p>
            <w:pPr>
              <w:spacing w:after="0"/>
              <w:rPr>
                <w:sz w:val="22"/>
                <w:szCs w:val="22"/>
                <w:color w:val="auto"/>
              </w:rPr>
            </w:pPr>
          </w:p>
        </w:tc>
        <w:tc>
          <w:tcPr>
            <w:tcW w:w="2740" w:type="dxa"/>
            <w:vAlign w:val="bottom"/>
            <w:tcBorders>
              <w:right w:val="single" w:sz="8" w:color="auto"/>
            </w:tcBorders>
            <w:gridSpan w:val="15"/>
          </w:tcPr>
          <w:p>
            <w:pPr>
              <w:spacing w:after="0"/>
              <w:rPr>
                <w:sz w:val="22"/>
                <w:szCs w:val="22"/>
                <w:color w:val="auto"/>
              </w:rPr>
            </w:pPr>
          </w:p>
        </w:tc>
        <w:tc>
          <w:tcPr>
            <w:tcW w:w="560" w:type="dxa"/>
            <w:vAlign w:val="bottom"/>
            <w:gridSpan w:val="3"/>
          </w:tcPr>
          <w:p>
            <w:pPr>
              <w:spacing w:after="0"/>
              <w:rPr>
                <w:sz w:val="20"/>
                <w:szCs w:val="20"/>
                <w:color w:val="auto"/>
              </w:rPr>
            </w:pPr>
            <w:r>
              <w:rPr>
                <w:rFonts w:ascii="Arial" w:cs="Arial" w:eastAsia="Arial" w:hAnsi="Arial"/>
                <w:sz w:val="15"/>
                <w:szCs w:val="15"/>
                <w:color w:val="auto"/>
              </w:rPr>
              <w:t>Date:</w:t>
            </w:r>
          </w:p>
        </w:tc>
        <w:tc>
          <w:tcPr>
            <w:tcW w:w="500" w:type="dxa"/>
            <w:vAlign w:val="bottom"/>
            <w:tcBorders>
              <w:top w:val="single" w:sz="8" w:color="auto"/>
            </w:tcBorders>
            <w:gridSpan w:val="3"/>
          </w:tcPr>
          <w:p>
            <w:pPr>
              <w:spacing w:after="0"/>
              <w:rPr>
                <w:sz w:val="22"/>
                <w:szCs w:val="22"/>
                <w:color w:val="auto"/>
              </w:rPr>
            </w:pPr>
          </w:p>
        </w:tc>
        <w:tc>
          <w:tcPr>
            <w:tcW w:w="320" w:type="dxa"/>
            <w:vAlign w:val="bottom"/>
            <w:gridSpan w:val="2"/>
          </w:tcPr>
          <w:p>
            <w:pPr>
              <w:spacing w:after="0"/>
              <w:rPr>
                <w:sz w:val="22"/>
                <w:szCs w:val="22"/>
                <w:color w:val="auto"/>
              </w:rPr>
            </w:pPr>
          </w:p>
        </w:tc>
        <w:tc>
          <w:tcPr>
            <w:tcW w:w="140" w:type="dxa"/>
            <w:vAlign w:val="bottom"/>
            <w:tcBorders>
              <w:top w:val="single" w:sz="8" w:color="auto"/>
            </w:tcBorders>
            <w:gridSpan w:val="4"/>
          </w:tcPr>
          <w:p>
            <w:pPr>
              <w:spacing w:after="0"/>
              <w:rPr>
                <w:sz w:val="22"/>
                <w:szCs w:val="22"/>
                <w:color w:val="auto"/>
              </w:rPr>
            </w:pPr>
          </w:p>
        </w:tc>
        <w:tc>
          <w:tcPr>
            <w:tcW w:w="400" w:type="dxa"/>
            <w:vAlign w:val="bottom"/>
            <w:gridSpan w:val="6"/>
          </w:tcPr>
          <w:p>
            <w:pPr>
              <w:spacing w:after="0"/>
              <w:rPr>
                <w:sz w:val="22"/>
                <w:szCs w:val="22"/>
                <w:color w:val="auto"/>
              </w:rPr>
            </w:pPr>
          </w:p>
        </w:tc>
        <w:tc>
          <w:tcPr>
            <w:tcW w:w="320" w:type="dxa"/>
            <w:vAlign w:val="bottom"/>
            <w:tcBorders>
              <w:top w:val="single" w:sz="8" w:color="auto"/>
            </w:tcBorders>
            <w:gridSpan w:val="3"/>
          </w:tcPr>
          <w:p>
            <w:pPr>
              <w:spacing w:after="0"/>
              <w:rPr>
                <w:sz w:val="22"/>
                <w:szCs w:val="22"/>
                <w:color w:val="auto"/>
              </w:rPr>
            </w:pPr>
          </w:p>
        </w:tc>
        <w:tc>
          <w:tcPr>
            <w:tcW w:w="2760" w:type="dxa"/>
            <w:vAlign w:val="bottom"/>
            <w:tcBorders>
              <w:right w:val="single" w:sz="8" w:color="auto"/>
            </w:tcBorders>
            <w:gridSpan w:val="8"/>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540" w:type="dxa"/>
            <w:vAlign w:val="bottom"/>
            <w:tcBorders>
              <w:right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3"/>
          </w:tcPr>
          <w:p>
            <w:pPr>
              <w:spacing w:after="0" w:line="20" w:lineRule="exact"/>
              <w:rPr>
                <w:sz w:val="1"/>
                <w:szCs w:val="1"/>
                <w:color w:val="auto"/>
              </w:rPr>
            </w:pPr>
          </w:p>
        </w:tc>
        <w:tc>
          <w:tcPr>
            <w:tcW w:w="4140" w:type="dxa"/>
            <w:vAlign w:val="bottom"/>
            <w:tcBorders>
              <w:bottom w:val="single" w:sz="8" w:color="auto"/>
              <w:right w:val="single" w:sz="8" w:color="auto"/>
            </w:tcBorders>
            <w:gridSpan w:val="26"/>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360" w:type="dxa"/>
            <w:vAlign w:val="bottom"/>
            <w:tcBorders>
              <w:bottom w:val="single" w:sz="8" w:color="auto"/>
              <w:right w:val="single" w:sz="8" w:color="auto"/>
            </w:tcBorders>
            <w:gridSpan w:val="2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9820" w:type="dxa"/>
            <w:vAlign w:val="bottom"/>
            <w:tcBorders>
              <w:bottom w:val="single" w:sz="8" w:color="auto"/>
              <w:right w:val="single" w:sz="8" w:color="auto"/>
            </w:tcBorders>
            <w:gridSpan w:val="6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800" w:type="dxa"/>
            <w:vAlign w:val="bottom"/>
            <w:gridSpan w:val="26"/>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13"/>
          </w:tcPr>
          <w:p>
            <w:pPr>
              <w:jc w:val="right"/>
              <w:ind w:right="380"/>
              <w:spacing w:after="0"/>
              <w:rPr>
                <w:sz w:val="20"/>
                <w:szCs w:val="20"/>
                <w:color w:val="auto"/>
              </w:rPr>
            </w:pPr>
            <w:r>
              <w:rPr>
                <w:rFonts w:ascii="Arial" w:cs="Arial" w:eastAsia="Arial" w:hAnsi="Arial"/>
                <w:sz w:val="13"/>
                <w:szCs w:val="13"/>
                <w:color w:val="auto"/>
              </w:rPr>
              <w:t>NAESB Standard 6.3.1</w:t>
            </w:r>
          </w:p>
        </w:tc>
        <w:tc>
          <w:tcPr>
            <w:tcW w:w="220" w:type="dxa"/>
            <w:vAlign w:val="bottom"/>
          </w:tcPr>
          <w:p>
            <w:pPr>
              <w:spacing w:after="0"/>
              <w:rPr>
                <w:sz w:val="24"/>
                <w:szCs w:val="24"/>
                <w:color w:val="auto"/>
              </w:rPr>
            </w:pPr>
          </w:p>
        </w:tc>
        <w:tc>
          <w:tcPr>
            <w:tcW w:w="1600" w:type="dxa"/>
            <w:vAlign w:val="bottom"/>
            <w:gridSpan w:val="5"/>
            <w:vMerge w:val="restart"/>
          </w:tcPr>
          <w:p>
            <w:pPr>
              <w:ind w:left="140"/>
              <w:spacing w:after="0"/>
              <w:rPr>
                <w:sz w:val="20"/>
                <w:szCs w:val="20"/>
                <w:color w:val="auto"/>
              </w:rPr>
            </w:pPr>
            <w:r>
              <w:rPr>
                <w:rFonts w:ascii="Arial" w:cs="Arial" w:eastAsia="Arial" w:hAnsi="Arial"/>
                <w:sz w:val="13"/>
                <w:szCs w:val="13"/>
                <w:color w:val="auto"/>
              </w:rPr>
              <w:t>All Rights Reserved</w:t>
            </w:r>
          </w:p>
        </w:tc>
        <w:tc>
          <w:tcPr>
            <w:tcW w:w="0" w:type="dxa"/>
            <w:vAlign w:val="bottom"/>
          </w:tcPr>
          <w:p>
            <w:pPr>
              <w:spacing w:after="0"/>
              <w:rPr>
                <w:sz w:val="1"/>
                <w:szCs w:val="1"/>
                <w:color w:val="auto"/>
              </w:rPr>
            </w:pPr>
          </w:p>
        </w:tc>
      </w:tr>
      <w:tr>
        <w:trPr>
          <w:trHeight w:val="165"/>
        </w:trPr>
        <w:tc>
          <w:tcPr>
            <w:tcW w:w="3800" w:type="dxa"/>
            <w:vAlign w:val="bottom"/>
            <w:gridSpan w:val="26"/>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80" w:type="dxa"/>
            <w:vAlign w:val="bottom"/>
            <w:gridSpan w:val="27"/>
          </w:tcPr>
          <w:p>
            <w:pPr>
              <w:jc w:val="right"/>
              <w:ind w:right="380"/>
              <w:spacing w:after="0"/>
              <w:rPr>
                <w:sz w:val="20"/>
                <w:szCs w:val="20"/>
                <w:color w:val="auto"/>
              </w:rPr>
            </w:pPr>
            <w:r>
              <w:rPr>
                <w:rFonts w:ascii="Arial" w:cs="Arial" w:eastAsia="Arial" w:hAnsi="Arial"/>
                <w:sz w:val="13"/>
                <w:szCs w:val="13"/>
                <w:color w:val="auto"/>
              </w:rPr>
              <w:t>September 5, 2006 (Revised by R15003/R15007, April 4, 2016)</w:t>
            </w:r>
          </w:p>
        </w:tc>
        <w:tc>
          <w:tcPr>
            <w:tcW w:w="22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-3469005</wp:posOffset>
            </wp:positionV>
            <wp:extent cx="5508625" cy="407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5508625" cy="40703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-1966595</wp:posOffset>
            </wp:positionV>
            <wp:extent cx="132715" cy="101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-1653540</wp:posOffset>
            </wp:positionV>
            <wp:extent cx="266065" cy="101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266065" cy="101600"/>
                    </a:xfrm>
                    <a:prstGeom prst="rect">
                      <a:avLst/>
                    </a:prstGeom>
                    <a:noFill/>
                  </pic:spPr>
                </pic:pic>
              </a:graphicData>
            </a:graphic>
          </wp:anchor>
        </w:drawing>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Page 21 of</w:t>
      </w:r>
    </w:p>
    <w:p>
      <w:pPr>
        <w:ind w:left="20"/>
        <w:spacing w:after="0"/>
        <w:rPr>
          <w:sz w:val="20"/>
          <w:szCs w:val="20"/>
          <w:color w:val="auto"/>
        </w:rPr>
      </w:pPr>
      <w:r>
        <w:rPr>
          <w:rFonts w:ascii="Arial" w:cs="Arial" w:eastAsia="Arial" w:hAnsi="Arial"/>
          <w:sz w:val="13"/>
          <w:szCs w:val="13"/>
          <w:color w:val="auto"/>
        </w:rPr>
        <w:t>#NUM_PAGES#</w:t>
      </w:r>
    </w:p>
    <w:p>
      <w:pPr>
        <w:sectPr>
          <w:pgSz w:w="11900" w:h="16838" w:orient="portrait"/>
          <w:cols w:equalWidth="0" w:num="1">
            <w:col w:w="10380"/>
          </w:cols>
          <w:pgMar w:left="340" w:top="173" w:right="11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Exhibit 10.13</w:t>
      </w:r>
    </w:p>
    <w:p>
      <w:pPr>
        <w:spacing w:after="0" w:line="200" w:lineRule="exact"/>
        <w:rPr>
          <w:sz w:val="20"/>
          <w:szCs w:val="20"/>
          <w:color w:val="auto"/>
        </w:rPr>
      </w:pPr>
    </w:p>
    <w:p>
      <w:pPr>
        <w:spacing w:after="0" w:line="220"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PORTIONS OF INFORMATION CONTAINED IN THIS AGREEMENT HAVE BEEN</w:t>
      </w:r>
    </w:p>
    <w:p>
      <w:pPr>
        <w:ind w:left="2040"/>
        <w:spacing w:after="0" w:line="217" w:lineRule="auto"/>
        <w:rPr>
          <w:sz w:val="20"/>
          <w:szCs w:val="20"/>
          <w:color w:val="auto"/>
        </w:rPr>
      </w:pPr>
      <w:r>
        <w:rPr>
          <w:rFonts w:ascii="Arial" w:cs="Arial" w:eastAsia="Arial" w:hAnsi="Arial"/>
          <w:sz w:val="16"/>
          <w:szCs w:val="16"/>
          <w:b w:val="1"/>
          <w:bCs w:val="1"/>
          <w:color w:val="auto"/>
        </w:rPr>
        <w:t>EXCLUDED FROM THIS AGREEMENT BECAUSE THEY ARE BOTH NOT MATERIAL AND</w:t>
      </w:r>
    </w:p>
    <w:p>
      <w:pPr>
        <w:jc w:val="center"/>
        <w:ind w:right="100"/>
        <w:spacing w:after="0" w:line="209" w:lineRule="auto"/>
        <w:rPr>
          <w:sz w:val="20"/>
          <w:szCs w:val="20"/>
          <w:color w:val="auto"/>
        </w:rPr>
      </w:pPr>
      <w:r>
        <w:rPr>
          <w:rFonts w:ascii="Arial" w:cs="Arial" w:eastAsia="Arial" w:hAnsi="Arial"/>
          <w:sz w:val="16"/>
          <w:szCs w:val="16"/>
          <w:b w:val="1"/>
          <w:bCs w:val="1"/>
          <w:color w:val="auto"/>
        </w:rPr>
        <w:t>THE TYPE THAT THE REGISTRANT TREATS AS PRIVATE OR CONFIDENTIAL.</w:t>
      </w:r>
    </w:p>
    <w:p>
      <w:pPr>
        <w:jc w:val="center"/>
        <w:ind w:right="100"/>
        <w:spacing w:after="0"/>
        <w:rPr>
          <w:sz w:val="20"/>
          <w:szCs w:val="20"/>
          <w:color w:val="auto"/>
        </w:rPr>
      </w:pPr>
      <w:r>
        <w:rPr>
          <w:rFonts w:ascii="Arial" w:cs="Arial" w:eastAsia="Arial" w:hAnsi="Arial"/>
          <w:sz w:val="16"/>
          <w:szCs w:val="16"/>
          <w:b w:val="1"/>
          <w:bCs w:val="1"/>
          <w:color w:val="auto"/>
        </w:rPr>
        <w:t>EXCLUDED INFORMATION IS MARKED AS [***] BELOW</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800" w:type="dxa"/>
            <w:vAlign w:val="bottom"/>
            <w:gridSpan w:val="11"/>
          </w:tcPr>
          <w:p>
            <w:pPr>
              <w:jc w:val="center"/>
              <w:ind w:right="2674"/>
              <w:spacing w:after="0"/>
              <w:rPr>
                <w:sz w:val="20"/>
                <w:szCs w:val="20"/>
                <w:color w:val="auto"/>
              </w:rPr>
            </w:pPr>
            <w:r>
              <w:rPr>
                <w:rFonts w:ascii="Arial" w:cs="Arial" w:eastAsia="Arial" w:hAnsi="Arial"/>
                <w:sz w:val="20"/>
                <w:szCs w:val="20"/>
                <w:b w:val="1"/>
                <w:bCs w:val="1"/>
                <w:color w:val="auto"/>
                <w:w w:val="98"/>
              </w:rPr>
              <w:t>Base Contract for Sale and Purchase of Natural Gas</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540" w:type="dxa"/>
            <w:vAlign w:val="bottom"/>
            <w:gridSpan w:val="12"/>
          </w:tcPr>
          <w:p>
            <w:pPr>
              <w:jc w:val="center"/>
              <w:ind w:right="954"/>
              <w:spacing w:after="0"/>
              <w:rPr>
                <w:sz w:val="20"/>
                <w:szCs w:val="20"/>
                <w:color w:val="auto"/>
              </w:rPr>
            </w:pPr>
            <w:r>
              <w:rPr>
                <w:rFonts w:ascii="Arial" w:cs="Arial" w:eastAsia="Arial" w:hAnsi="Arial"/>
                <w:sz w:val="15"/>
                <w:szCs w:val="15"/>
                <w:color w:val="auto"/>
                <w:w w:val="98"/>
              </w:rPr>
              <w:t>This Base Contract is entered into as of the following date: September 15, 2023.</w:t>
            </w:r>
          </w:p>
        </w:tc>
        <w:tc>
          <w:tcPr>
            <w:tcW w:w="0" w:type="dxa"/>
            <w:vAlign w:val="bottom"/>
          </w:tcPr>
          <w:p>
            <w:pPr>
              <w:spacing w:after="0"/>
              <w:rPr>
                <w:sz w:val="1"/>
                <w:szCs w:val="1"/>
                <w:color w:val="auto"/>
              </w:rPr>
            </w:pPr>
          </w:p>
        </w:tc>
      </w:tr>
      <w:tr>
        <w:trPr>
          <w:trHeight w:val="246"/>
        </w:trPr>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220" w:type="dxa"/>
            <w:vAlign w:val="bottom"/>
            <w:gridSpan w:val="9"/>
          </w:tcPr>
          <w:p>
            <w:pPr>
              <w:jc w:val="center"/>
              <w:ind w:left="734"/>
              <w:spacing w:after="0"/>
              <w:rPr>
                <w:sz w:val="20"/>
                <w:szCs w:val="20"/>
                <w:color w:val="auto"/>
              </w:rPr>
            </w:pPr>
            <w:r>
              <w:rPr>
                <w:rFonts w:ascii="Arial" w:cs="Arial" w:eastAsia="Arial" w:hAnsi="Arial"/>
                <w:sz w:val="15"/>
                <w:szCs w:val="15"/>
                <w:color w:val="auto"/>
                <w:w w:val="98"/>
              </w:rPr>
              <w:t>The parties to this Base Contract are the following:</w:t>
            </w:r>
          </w:p>
        </w:tc>
        <w:tc>
          <w:tcPr>
            <w:tcW w:w="2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8"/>
              </w:rPr>
              <w:t>PARTY A</w:t>
            </w:r>
          </w:p>
        </w:tc>
        <w:tc>
          <w:tcPr>
            <w:tcW w:w="12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vMerge w:val="restart"/>
          </w:tcPr>
          <w:p>
            <w:pPr>
              <w:jc w:val="center"/>
              <w:ind w:right="154"/>
              <w:spacing w:after="0"/>
              <w:rPr>
                <w:sz w:val="20"/>
                <w:szCs w:val="20"/>
                <w:color w:val="auto"/>
              </w:rPr>
            </w:pPr>
            <w:r>
              <w:rPr>
                <w:rFonts w:ascii="Arial" w:cs="Arial" w:eastAsia="Arial" w:hAnsi="Arial"/>
                <w:sz w:val="13"/>
                <w:szCs w:val="13"/>
                <w:b w:val="1"/>
                <w:bCs w:val="1"/>
                <w:i w:val="1"/>
                <w:iCs w:val="1"/>
                <w:color w:val="auto"/>
              </w:rPr>
              <w:t>PARTY NAME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tcPr>
          <w:p>
            <w:pPr>
              <w:jc w:val="center"/>
              <w:ind w:right="1494"/>
              <w:spacing w:after="0"/>
              <w:rPr>
                <w:sz w:val="20"/>
                <w:szCs w:val="20"/>
                <w:color w:val="auto"/>
              </w:rPr>
            </w:pPr>
            <w:r>
              <w:rPr>
                <w:rFonts w:ascii="Arial" w:cs="Arial" w:eastAsia="Arial" w:hAnsi="Arial"/>
                <w:sz w:val="13"/>
                <w:szCs w:val="13"/>
                <w:b w:val="1"/>
                <w:bCs w:val="1"/>
                <w:color w:val="auto"/>
                <w:w w:val="98"/>
              </w:rPr>
              <w:t>PARTY B</w:t>
            </w:r>
          </w:p>
        </w:tc>
        <w:tc>
          <w:tcPr>
            <w:tcW w:w="0" w:type="dxa"/>
            <w:vAlign w:val="bottom"/>
          </w:tcPr>
          <w:p>
            <w:pPr>
              <w:spacing w:after="0"/>
              <w:rPr>
                <w:sz w:val="1"/>
                <w:szCs w:val="1"/>
                <w:color w:val="auto"/>
              </w:rPr>
            </w:pPr>
          </w:p>
        </w:tc>
      </w:tr>
      <w:tr>
        <w:trPr>
          <w:trHeight w:val="86"/>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Richmond Energy LLC</w:t>
            </w:r>
          </w:p>
        </w:tc>
        <w:tc>
          <w:tcPr>
            <w:tcW w:w="12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320" w:type="dxa"/>
            <w:vAlign w:val="bottom"/>
            <w:vMerge w:val="restart"/>
          </w:tcPr>
          <w:p>
            <w:pPr>
              <w:jc w:val="right"/>
              <w:ind w:right="22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8"/>
        </w:trPr>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vMerge w:val="continue"/>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000" w:type="dxa"/>
            <w:vAlign w:val="bottom"/>
            <w:gridSpan w:val="7"/>
          </w:tcPr>
          <w:p>
            <w:pPr>
              <w:ind w:left="260"/>
              <w:spacing w:after="0"/>
              <w:rPr>
                <w:sz w:val="20"/>
                <w:szCs w:val="20"/>
                <w:color w:val="auto"/>
              </w:rPr>
            </w:pPr>
            <w:r>
              <w:rPr>
                <w:rFonts w:ascii="Arial" w:cs="Arial" w:eastAsia="Arial" w:hAnsi="Arial"/>
                <w:sz w:val="13"/>
                <w:szCs w:val="13"/>
                <w:color w:val="auto"/>
              </w:rPr>
              <w:t>c/o OPAL Fuels Inc.</w:t>
            </w:r>
          </w:p>
        </w:tc>
        <w:tc>
          <w:tcPr>
            <w:tcW w:w="124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00" w:type="dxa"/>
            <w:vAlign w:val="bottom"/>
            <w:gridSpan w:val="7"/>
          </w:tcPr>
          <w:p>
            <w:pPr>
              <w:ind w:left="200"/>
              <w:spacing w:after="0" w:line="127" w:lineRule="exact"/>
              <w:rPr>
                <w:sz w:val="20"/>
                <w:szCs w:val="20"/>
                <w:color w:val="auto"/>
              </w:rPr>
            </w:pPr>
            <w:r>
              <w:rPr>
                <w:rFonts w:ascii="Arial" w:cs="Arial" w:eastAsia="Arial" w:hAnsi="Arial"/>
                <w:sz w:val="13"/>
                <w:szCs w:val="13"/>
                <w:color w:val="auto"/>
              </w:rPr>
              <w:t>One North Lexington Avenue White Plains,</w:t>
            </w:r>
          </w:p>
        </w:tc>
        <w:tc>
          <w:tcPr>
            <w:tcW w:w="124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jc w:val="center"/>
              <w:ind w:right="174"/>
              <w:spacing w:after="0"/>
              <w:rPr>
                <w:sz w:val="20"/>
                <w:szCs w:val="20"/>
                <w:color w:val="auto"/>
              </w:rPr>
            </w:pPr>
            <w:r>
              <w:rPr>
                <w:rFonts w:ascii="Arial" w:cs="Arial" w:eastAsia="Arial" w:hAnsi="Arial"/>
                <w:sz w:val="13"/>
                <w:szCs w:val="13"/>
                <w:b w:val="1"/>
                <w:bCs w:val="1"/>
                <w:i w:val="1"/>
                <w:iCs w:val="1"/>
                <w:color w:val="auto"/>
              </w:rPr>
              <w:t>ADDRESS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00" w:type="dxa"/>
            <w:vAlign w:val="bottom"/>
            <w:tcBorders>
              <w:bottom w:val="single" w:sz="8" w:color="auto"/>
            </w:tcBorders>
            <w:gridSpan w:val="7"/>
          </w:tcPr>
          <w:p>
            <w:pPr>
              <w:jc w:val="right"/>
              <w:ind w:right="2132"/>
              <w:spacing w:after="0"/>
              <w:rPr>
                <w:sz w:val="20"/>
                <w:szCs w:val="20"/>
                <w:color w:val="auto"/>
              </w:rPr>
            </w:pPr>
            <w:r>
              <w:rPr>
                <w:rFonts w:ascii="Arial" w:cs="Arial" w:eastAsia="Arial" w:hAnsi="Arial"/>
                <w:sz w:val="13"/>
                <w:szCs w:val="13"/>
                <w:color w:val="auto"/>
              </w:rPr>
              <w:t>NY 10601</w:t>
            </w:r>
          </w:p>
        </w:tc>
        <w:tc>
          <w:tcPr>
            <w:tcW w:w="124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00" w:type="dxa"/>
            <w:vAlign w:val="bottom"/>
            <w:gridSpan w:val="7"/>
          </w:tcPr>
          <w:p>
            <w:pPr>
              <w:ind w:left="120"/>
              <w:spacing w:after="0"/>
              <w:rPr>
                <w:sz w:val="20"/>
                <w:szCs w:val="20"/>
                <w:color w:val="auto"/>
              </w:rPr>
            </w:pPr>
            <w:r>
              <w:rPr>
                <w:rFonts w:ascii="Arial" w:cs="Arial" w:eastAsia="Arial" w:hAnsi="Arial"/>
                <w:sz w:val="13"/>
                <w:szCs w:val="13"/>
                <w:color w:val="auto"/>
              </w:rPr>
              <w:t>www.opalfuels.com</w:t>
            </w:r>
          </w:p>
        </w:tc>
        <w:tc>
          <w:tcPr>
            <w:tcW w:w="124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right="174"/>
              <w:spacing w:after="0"/>
              <w:rPr>
                <w:sz w:val="20"/>
                <w:szCs w:val="20"/>
                <w:color w:val="auto"/>
              </w:rPr>
            </w:pPr>
            <w:r>
              <w:rPr>
                <w:rFonts w:ascii="Arial" w:cs="Arial" w:eastAsia="Arial" w:hAnsi="Arial"/>
                <w:sz w:val="13"/>
                <w:szCs w:val="13"/>
                <w:b w:val="1"/>
                <w:bCs w:val="1"/>
                <w:i w:val="1"/>
                <w:iCs w:val="1"/>
                <w:color w:val="auto"/>
              </w:rPr>
              <w:t>BUSINESS</w:t>
            </w:r>
          </w:p>
        </w:tc>
        <w:tc>
          <w:tcPr>
            <w:tcW w:w="500" w:type="dxa"/>
            <w:vAlign w:val="bottom"/>
          </w:tcPr>
          <w:p>
            <w:pPr>
              <w:ind w:lef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jc w:val="center"/>
              <w:ind w:right="54"/>
              <w:spacing w:after="0"/>
              <w:rPr>
                <w:sz w:val="20"/>
                <w:szCs w:val="20"/>
                <w:color w:val="auto"/>
              </w:rPr>
            </w:pPr>
            <w:r>
              <w:rPr>
                <w:rFonts w:ascii="Arial" w:cs="Arial" w:eastAsia="Arial" w:hAnsi="Arial"/>
                <w:sz w:val="13"/>
                <w:szCs w:val="13"/>
                <w:b w:val="1"/>
                <w:bCs w:val="1"/>
                <w:i w:val="1"/>
                <w:iCs w:val="1"/>
                <w:color w:val="auto"/>
              </w:rPr>
              <w:t>WEBSITE</w:t>
            </w: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jc w:val="center"/>
              <w:ind w:right="154"/>
              <w:spacing w:after="0"/>
              <w:rPr>
                <w:sz w:val="20"/>
                <w:szCs w:val="20"/>
                <w:color w:val="auto"/>
              </w:rPr>
            </w:pPr>
            <w:r>
              <w:rPr>
                <w:rFonts w:ascii="Arial" w:cs="Arial" w:eastAsia="Arial" w:hAnsi="Arial"/>
                <w:sz w:val="13"/>
                <w:szCs w:val="13"/>
                <w:b w:val="1"/>
                <w:bCs w:val="1"/>
                <w:i w:val="1"/>
                <w:iCs w:val="1"/>
                <w:color w:val="auto"/>
              </w:rPr>
              <w:t>CONTRACT</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3"/>
                <w:szCs w:val="13"/>
                <w:b w:val="1"/>
                <w:bCs w:val="1"/>
                <w:i w:val="1"/>
                <w:iCs w:val="1"/>
                <w:color w:val="auto"/>
              </w:rPr>
              <w:t>NUMBER</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i w:val="1"/>
                <w:iCs w:val="1"/>
                <w:color w:val="auto"/>
              </w:rPr>
              <w:t>D-U-N-S® NUMBER</w:t>
            </w: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000" w:type="dxa"/>
            <w:vAlign w:val="bottom"/>
            <w:gridSpan w:val="7"/>
          </w:tcPr>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US FEDERAL</w:t>
            </w:r>
          </w:p>
        </w:tc>
        <w:tc>
          <w:tcPr>
            <w:tcW w:w="12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260" w:type="dxa"/>
            <w:vAlign w:val="bottom"/>
            <w:gridSpan w:val="7"/>
          </w:tcPr>
          <w:p>
            <w:pPr>
              <w:ind w:left="340"/>
              <w:spacing w:after="0"/>
              <w:rPr>
                <w:sz w:val="20"/>
                <w:szCs w:val="20"/>
                <w:color w:val="auto"/>
              </w:rPr>
            </w:pPr>
            <w:r>
              <w:rPr>
                <w:rFonts w:ascii="Arial" w:cs="Arial" w:eastAsia="Arial" w:hAnsi="Arial"/>
                <w:sz w:val="13"/>
                <w:szCs w:val="13"/>
                <w:color w:val="auto"/>
              </w:rPr>
              <w:t>US FEDERAL:</w:t>
            </w:r>
          </w:p>
        </w:tc>
        <w:tc>
          <w:tcPr>
            <w:tcW w:w="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000" w:type="dxa"/>
            <w:vAlign w:val="bottom"/>
            <w:gridSpan w:val="7"/>
          </w:tcPr>
          <w:p>
            <w:pPr>
              <w:jc w:val="right"/>
              <w:ind w:right="2132"/>
              <w:spacing w:after="0"/>
              <w:rPr>
                <w:sz w:val="20"/>
                <w:szCs w:val="20"/>
                <w:color w:val="auto"/>
              </w:rPr>
            </w:pPr>
            <w:r>
              <w:rPr>
                <w:rFonts w:ascii="Arial" w:cs="Arial" w:eastAsia="Arial" w:hAnsi="Arial"/>
                <w:sz w:val="13"/>
                <w:szCs w:val="13"/>
                <w:color w:val="auto"/>
              </w:rPr>
              <w:t>OTHER:</w:t>
            </w:r>
          </w:p>
        </w:tc>
        <w:tc>
          <w:tcPr>
            <w:tcW w:w="12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400"/>
              <w:spacing w:after="0"/>
              <w:rPr>
                <w:sz w:val="20"/>
                <w:szCs w:val="20"/>
                <w:color w:val="auto"/>
              </w:rPr>
            </w:pPr>
            <w:r>
              <w:rPr>
                <w:rFonts w:ascii="Arial" w:cs="Arial" w:eastAsia="Arial" w:hAnsi="Arial"/>
                <w:sz w:val="13"/>
                <w:szCs w:val="13"/>
                <w:b w:val="1"/>
                <w:bCs w:val="1"/>
                <w:i w:val="1"/>
                <w:iCs w:val="1"/>
                <w:color w:val="auto"/>
              </w:rPr>
              <w:t>TAX ID NUMBERS</w:t>
            </w:r>
          </w:p>
        </w:tc>
        <w:tc>
          <w:tcPr>
            <w:tcW w:w="1260" w:type="dxa"/>
            <w:vAlign w:val="bottom"/>
            <w:gridSpan w:val="7"/>
          </w:tcPr>
          <w:p>
            <w:pPr>
              <w:ind w:left="10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3"/>
                <w:szCs w:val="13"/>
                <w:color w:val="auto"/>
              </w:rPr>
              <w:t>OTHER: [***]</w:t>
            </w: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00" w:type="dxa"/>
            <w:vAlign w:val="bottom"/>
            <w:gridSpan w:val="7"/>
          </w:tcPr>
          <w:p>
            <w:pPr>
              <w:ind w:left="120"/>
              <w:spacing w:after="0"/>
              <w:rPr>
                <w:sz w:val="20"/>
                <w:szCs w:val="20"/>
                <w:color w:val="auto"/>
              </w:rPr>
            </w:pPr>
            <w:r>
              <w:rPr>
                <w:rFonts w:ascii="Arial" w:cs="Arial" w:eastAsia="Arial" w:hAnsi="Arial"/>
                <w:sz w:val="13"/>
                <w:szCs w:val="13"/>
                <w:color w:val="auto"/>
              </w:rPr>
              <w:t>Delaware</w:t>
            </w:r>
          </w:p>
        </w:tc>
        <w:tc>
          <w:tcPr>
            <w:tcW w:w="124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right="154"/>
              <w:spacing w:after="0"/>
              <w:rPr>
                <w:sz w:val="20"/>
                <w:szCs w:val="20"/>
                <w:color w:val="auto"/>
              </w:rPr>
            </w:pPr>
            <w:r>
              <w:rPr>
                <w:rFonts w:ascii="Arial" w:cs="Arial" w:eastAsia="Arial" w:hAnsi="Arial"/>
                <w:sz w:val="13"/>
                <w:szCs w:val="13"/>
                <w:b w:val="1"/>
                <w:bCs w:val="1"/>
                <w:i w:val="1"/>
                <w:iCs w:val="1"/>
                <w:color w:val="auto"/>
              </w:rPr>
              <w:t>JURISDICTION OF</w:t>
            </w:r>
          </w:p>
        </w:tc>
        <w:tc>
          <w:tcPr>
            <w:tcW w:w="4840" w:type="dxa"/>
            <w:vAlign w:val="bottom"/>
            <w:gridSpan w:val="9"/>
          </w:tcPr>
          <w:p>
            <w:pPr>
              <w:ind w:left="100"/>
              <w:spacing w:after="0"/>
              <w:rPr>
                <w:sz w:val="20"/>
                <w:szCs w:val="20"/>
                <w:color w:val="auto"/>
              </w:rPr>
            </w:pPr>
            <w:r>
              <w:rPr>
                <w:rFonts w:ascii="Arial" w:cs="Arial" w:eastAsia="Arial" w:hAnsi="Arial"/>
                <w:sz w:val="13"/>
                <w:szCs w:val="13"/>
                <w:color w:val="auto"/>
              </w:rPr>
              <w:t>Amsterdam, The Netherlands</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b w:val="1"/>
                <w:bCs w:val="1"/>
                <w:i w:val="1"/>
                <w:iCs w:val="1"/>
                <w:color w:val="auto"/>
                <w:w w:val="99"/>
              </w:rPr>
              <w:t>ORGANIZATION</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9"/>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vMerge w:val="restart"/>
          </w:tcPr>
          <w:p>
            <w:pPr>
              <w:jc w:val="center"/>
              <w:ind w:right="174"/>
              <w:spacing w:after="0"/>
              <w:rPr>
                <w:sz w:val="20"/>
                <w:szCs w:val="20"/>
                <w:color w:val="auto"/>
              </w:rPr>
            </w:pPr>
            <w:r>
              <w:rPr>
                <w:rFonts w:ascii="Arial" w:cs="Arial" w:eastAsia="Arial" w:hAnsi="Arial"/>
                <w:sz w:val="13"/>
                <w:szCs w:val="13"/>
                <w:b w:val="1"/>
                <w:bCs w:val="1"/>
                <w:i w:val="1"/>
                <w:iCs w:val="1"/>
                <w:color w:val="auto"/>
                <w:w w:val="99"/>
              </w:rPr>
              <w:t>COMPANY TYPE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color w:val="auto"/>
              </w:rPr>
              <w:t>Corporation</w:t>
            </w:r>
          </w:p>
        </w:tc>
        <w:tc>
          <w:tcPr>
            <w:tcW w:w="3320" w:type="dxa"/>
            <w:vAlign w:val="bottom"/>
          </w:tcPr>
          <w:p>
            <w:pPr>
              <w:ind w:left="40"/>
              <w:spacing w:after="0"/>
              <w:rPr>
                <w:sz w:val="20"/>
                <w:szCs w:val="20"/>
                <w:color w:val="auto"/>
              </w:rPr>
            </w:pPr>
            <w:r>
              <w:rPr>
                <w:rFonts w:ascii="Arial" w:cs="Arial" w:eastAsia="Arial" w:hAnsi="Arial"/>
                <w:sz w:val="13"/>
                <w:szCs w:val="13"/>
                <w:color w:val="auto"/>
              </w:rPr>
              <w:t>LLC</w:t>
            </w:r>
          </w:p>
        </w:tc>
        <w:tc>
          <w:tcPr>
            <w:tcW w:w="0" w:type="dxa"/>
            <w:vAlign w:val="bottom"/>
          </w:tcPr>
          <w:p>
            <w:pPr>
              <w:spacing w:after="0"/>
              <w:rPr>
                <w:sz w:val="1"/>
                <w:szCs w:val="1"/>
                <w:color w:val="auto"/>
              </w:rPr>
            </w:pPr>
          </w:p>
        </w:tc>
      </w:tr>
      <w:tr>
        <w:trPr>
          <w:trHeight w:val="121"/>
        </w:trPr>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3"/>
                <w:szCs w:val="13"/>
                <w:color w:val="auto"/>
              </w:rPr>
              <w:t xml:space="preserve">Corporation  </w:t>
            </w:r>
            <w:r>
              <w:rPr>
                <w:rFonts w:ascii="Arial" w:cs="Arial" w:eastAsia="Arial" w:hAnsi="Arial"/>
                <w:sz w:val="14"/>
                <w:szCs w:val="14"/>
                <w:color w:val="auto"/>
              </w:rPr>
              <w:t>■</w:t>
            </w:r>
            <w:r>
              <w:rPr>
                <w:rFonts w:ascii="Arial" w:cs="Arial" w:eastAsia="Arial" w:hAnsi="Arial"/>
                <w:sz w:val="13"/>
                <w:szCs w:val="13"/>
                <w:color w:val="auto"/>
              </w:rPr>
              <w:t xml:space="preserve"> LLC Limited Partnership</w:t>
            </w:r>
          </w:p>
        </w:tc>
        <w:tc>
          <w:tcPr>
            <w:tcW w:w="124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520" w:type="dxa"/>
            <w:vAlign w:val="bottom"/>
            <w:gridSpan w:val="8"/>
            <w:vMerge w:val="restart"/>
          </w:tcPr>
          <w:p>
            <w:pPr>
              <w:ind w:left="340"/>
              <w:spacing w:after="0"/>
              <w:rPr>
                <w:sz w:val="20"/>
                <w:szCs w:val="20"/>
                <w:color w:val="auto"/>
              </w:rPr>
            </w:pPr>
            <w:r>
              <w:rPr>
                <w:rFonts w:ascii="Arial" w:cs="Arial" w:eastAsia="Arial" w:hAnsi="Arial"/>
                <w:sz w:val="13"/>
                <w:szCs w:val="13"/>
                <w:color w:val="auto"/>
              </w:rPr>
              <w:t>Limited Partnership</w:t>
            </w:r>
          </w:p>
        </w:tc>
        <w:tc>
          <w:tcPr>
            <w:tcW w:w="3320" w:type="dxa"/>
            <w:vAlign w:val="bottom"/>
            <w:vMerge w:val="restart"/>
          </w:tcPr>
          <w:p>
            <w:pPr>
              <w:ind w:left="100"/>
              <w:spacing w:after="0"/>
              <w:rPr>
                <w:sz w:val="20"/>
                <w:szCs w:val="20"/>
                <w:color w:val="auto"/>
              </w:rPr>
            </w:pPr>
            <w:r>
              <w:rPr>
                <w:rFonts w:ascii="Arial" w:cs="Arial" w:eastAsia="Arial" w:hAnsi="Arial"/>
                <w:sz w:val="13"/>
                <w:szCs w:val="13"/>
                <w:color w:val="auto"/>
              </w:rPr>
              <w:t>Partnership</w:t>
            </w:r>
          </w:p>
        </w:tc>
        <w:tc>
          <w:tcPr>
            <w:tcW w:w="0" w:type="dxa"/>
            <w:vAlign w:val="bottom"/>
          </w:tcPr>
          <w:p>
            <w:pPr>
              <w:spacing w:after="0"/>
              <w:rPr>
                <w:sz w:val="1"/>
                <w:szCs w:val="1"/>
                <w:color w:val="auto"/>
              </w:rPr>
            </w:pPr>
          </w:p>
        </w:tc>
      </w:tr>
      <w:tr>
        <w:trPr>
          <w:trHeight w:val="82"/>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520" w:type="dxa"/>
            <w:vAlign w:val="bottom"/>
            <w:gridSpan w:val="8"/>
            <w:vMerge w:val="continue"/>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60" w:type="dxa"/>
            <w:vAlign w:val="bottom"/>
            <w:gridSpan w:val="5"/>
          </w:tcPr>
          <w:p>
            <w:pPr>
              <w:ind w:left="40"/>
              <w:spacing w:after="0"/>
              <w:rPr>
                <w:sz w:val="20"/>
                <w:szCs w:val="20"/>
                <w:color w:val="auto"/>
              </w:rPr>
            </w:pPr>
            <w:r>
              <w:rPr>
                <w:rFonts w:ascii="Arial" w:cs="Arial" w:eastAsia="Arial" w:hAnsi="Arial"/>
                <w:sz w:val="13"/>
                <w:szCs w:val="13"/>
                <w:color w:val="auto"/>
              </w:rPr>
              <w:t>Partnership LLP</w:t>
            </w:r>
          </w:p>
        </w:tc>
        <w:tc>
          <w:tcPr>
            <w:tcW w:w="124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4840" w:type="dxa"/>
            <w:vAlign w:val="bottom"/>
            <w:gridSpan w:val="9"/>
          </w:tcPr>
          <w:p>
            <w:pPr>
              <w:ind w:left="340"/>
              <w:spacing w:after="0"/>
              <w:rPr>
                <w:sz w:val="20"/>
                <w:szCs w:val="20"/>
                <w:color w:val="auto"/>
              </w:rPr>
            </w:pPr>
            <w:r>
              <w:rPr>
                <w:rFonts w:ascii="Arial" w:cs="Arial" w:eastAsia="Arial" w:hAnsi="Arial"/>
                <w:sz w:val="13"/>
                <w:szCs w:val="13"/>
                <w:color w:val="auto"/>
              </w:rPr>
              <w:t xml:space="preserve">LLP  </w:t>
            </w:r>
            <w:r>
              <w:rPr>
                <w:rFonts w:ascii="Arial" w:cs="Arial" w:eastAsia="Arial" w:hAnsi="Arial"/>
                <w:sz w:val="14"/>
                <w:szCs w:val="14"/>
                <w:color w:val="auto"/>
              </w:rPr>
              <w:t>■</w:t>
            </w:r>
            <w:r>
              <w:rPr>
                <w:rFonts w:ascii="Arial" w:cs="Arial" w:eastAsia="Arial" w:hAnsi="Arial"/>
                <w:sz w:val="13"/>
                <w:szCs w:val="13"/>
                <w:color w:val="auto"/>
              </w:rPr>
              <w:t xml:space="preserve"> Other: private limited company</w:t>
            </w:r>
          </w:p>
        </w:tc>
        <w:tc>
          <w:tcPr>
            <w:tcW w:w="0" w:type="dxa"/>
            <w:vAlign w:val="bottom"/>
          </w:tcPr>
          <w:p>
            <w:pPr>
              <w:spacing w:after="0"/>
              <w:rPr>
                <w:sz w:val="1"/>
                <w:szCs w:val="1"/>
                <w:color w:val="auto"/>
              </w:rPr>
            </w:pPr>
          </w:p>
        </w:tc>
      </w:tr>
      <w:tr>
        <w:trPr>
          <w:trHeight w:val="178"/>
        </w:trPr>
        <w:tc>
          <w:tcPr>
            <w:tcW w:w="300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color w:val="auto"/>
              </w:rPr>
              <w:t>Other:</w:t>
            </w:r>
          </w:p>
        </w:tc>
        <w:tc>
          <w:tcPr>
            <w:tcW w:w="124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420"/>
              <w:spacing w:after="0"/>
              <w:rPr>
                <w:sz w:val="20"/>
                <w:szCs w:val="20"/>
                <w:color w:val="auto"/>
              </w:rPr>
            </w:pPr>
            <w:r>
              <w:rPr>
                <w:rFonts w:ascii="Arial" w:cs="Arial" w:eastAsia="Arial" w:hAnsi="Arial"/>
                <w:sz w:val="13"/>
                <w:szCs w:val="13"/>
                <w:b w:val="1"/>
                <w:bCs w:val="1"/>
                <w:i w:val="1"/>
                <w:iCs w:val="1"/>
                <w:color w:val="auto"/>
              </w:rPr>
              <w:t>GUARANTOR</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(IF APPLICABLE)</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rPr>
              <w:t>CONTACT INFORMATION</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12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260" w:type="dxa"/>
            <w:vAlign w:val="bottom"/>
            <w:gridSpan w:val="7"/>
          </w:tcPr>
          <w:p>
            <w:pPr>
              <w:ind w:left="10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2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w:t>
            </w:r>
          </w:p>
        </w:tc>
        <w:tc>
          <w:tcPr>
            <w:tcW w:w="124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COMMERCIAL</w:t>
            </w: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TEL#:</w:t>
            </w:r>
          </w:p>
        </w:tc>
        <w:tc>
          <w:tcPr>
            <w:tcW w:w="740" w:type="dxa"/>
            <w:vAlign w:val="bottom"/>
            <w:gridSpan w:val="5"/>
          </w:tcPr>
          <w:p>
            <w:pPr>
              <w:ind w:left="100"/>
              <w:spacing w:after="0"/>
              <w:rPr>
                <w:sz w:val="20"/>
                <w:szCs w:val="20"/>
                <w:color w:val="auto"/>
              </w:rPr>
            </w:pPr>
            <w:r>
              <w:rPr>
                <w:rFonts w:ascii="Arial" w:cs="Arial" w:eastAsia="Arial" w:hAnsi="Arial"/>
                <w:sz w:val="13"/>
                <w:szCs w:val="13"/>
                <w:b w:val="1"/>
                <w:bCs w:val="1"/>
                <w:i w:val="1"/>
                <w:iCs w:val="1"/>
                <w:color w:val="auto"/>
                <w:w w:val="98"/>
              </w:rPr>
              <w:t xml:space="preserve">FAX#: </w:t>
            </w:r>
            <w:r>
              <w:rPr>
                <w:rFonts w:ascii="Arial" w:cs="Arial" w:eastAsia="Arial" w:hAnsi="Arial"/>
                <w:sz w:val="13"/>
                <w:szCs w:val="13"/>
                <w:color w:val="auto"/>
                <w:w w:val="98"/>
              </w:rPr>
              <w:t>N/A</w:t>
            </w:r>
          </w:p>
        </w:tc>
        <w:tc>
          <w:tcPr>
            <w:tcW w:w="2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124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tcBorders>
            <w:gridSpan w:val="7"/>
          </w:tcPr>
          <w:p>
            <w:pPr>
              <w:ind w:left="10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2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12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ATTN:</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0" w:type="dxa"/>
            <w:vAlign w:val="bottom"/>
            <w:gridSpan w:val="7"/>
          </w:tcPr>
          <w:p>
            <w:pPr>
              <w:ind w:left="120"/>
              <w:spacing w:after="0" w:line="133" w:lineRule="exact"/>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w:t>
            </w:r>
          </w:p>
        </w:tc>
        <w:tc>
          <w:tcPr>
            <w:tcW w:w="12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140"/>
              <w:spacing w:after="0" w:line="133" w:lineRule="exact"/>
              <w:rPr>
                <w:sz w:val="20"/>
                <w:szCs w:val="20"/>
                <w:color w:val="auto"/>
              </w:rPr>
            </w:pPr>
            <w:r>
              <w:rPr>
                <w:rFonts w:ascii="Arial" w:cs="Arial" w:eastAsia="Arial" w:hAnsi="Arial"/>
                <w:sz w:val="13"/>
                <w:szCs w:val="13"/>
                <w:b w:val="1"/>
                <w:bCs w:val="1"/>
                <w:i w:val="1"/>
                <w:iCs w:val="1"/>
                <w:color w:val="auto"/>
              </w:rPr>
              <w:t>SCHEDULING</w:t>
            </w:r>
          </w:p>
        </w:tc>
        <w:tc>
          <w:tcPr>
            <w:tcW w:w="520" w:type="dxa"/>
            <w:vAlign w:val="bottom"/>
            <w:gridSpan w:val="2"/>
          </w:tcPr>
          <w:p>
            <w:pPr>
              <w:ind w:left="100"/>
              <w:spacing w:after="0" w:line="133" w:lineRule="exact"/>
              <w:rPr>
                <w:sz w:val="20"/>
                <w:szCs w:val="20"/>
                <w:color w:val="auto"/>
              </w:rPr>
            </w:pPr>
            <w:r>
              <w:rPr>
                <w:rFonts w:ascii="Arial" w:cs="Arial" w:eastAsia="Arial" w:hAnsi="Arial"/>
                <w:sz w:val="13"/>
                <w:szCs w:val="13"/>
                <w:b w:val="1"/>
                <w:bCs w:val="1"/>
                <w:i w:val="1"/>
                <w:iCs w:val="1"/>
                <w:color w:val="auto"/>
              </w:rPr>
              <w:t>TEL#: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3"/>
                <w:szCs w:val="13"/>
                <w:b w:val="1"/>
                <w:bCs w:val="1"/>
                <w:i w:val="1"/>
                <w:iCs w:val="1"/>
                <w:color w:val="auto"/>
              </w:rPr>
              <w:t>FAX#:</w:t>
            </w:r>
          </w:p>
        </w:tc>
        <w:tc>
          <w:tcPr>
            <w:tcW w:w="3580" w:type="dxa"/>
            <w:vAlign w:val="bottom"/>
            <w:gridSpan w:val="2"/>
          </w:tcPr>
          <w:p>
            <w:pPr>
              <w:ind w:left="20"/>
              <w:spacing w:after="0" w:line="133" w:lineRule="exact"/>
              <w:rPr>
                <w:sz w:val="20"/>
                <w:szCs w:val="20"/>
                <w:color w:val="auto"/>
              </w:rPr>
            </w:pPr>
            <w:r>
              <w:rPr>
                <w:rFonts w:ascii="Arial" w:cs="Arial" w:eastAsia="Arial" w:hAnsi="Arial"/>
                <w:sz w:val="13"/>
                <w:szCs w:val="13"/>
                <w:b w:val="1"/>
                <w:bCs w:val="1"/>
                <w:i w:val="1"/>
                <w:iCs w:val="1"/>
                <w:color w:val="auto"/>
              </w:rPr>
              <w:t>EMAIL:</w:t>
            </w:r>
          </w:p>
        </w:tc>
        <w:tc>
          <w:tcPr>
            <w:tcW w:w="0" w:type="dxa"/>
            <w:vAlign w:val="bottom"/>
          </w:tcPr>
          <w:p>
            <w:pPr>
              <w:spacing w:after="0"/>
              <w:rPr>
                <w:sz w:val="1"/>
                <w:szCs w:val="1"/>
                <w:color w:val="auto"/>
              </w:rPr>
            </w:pPr>
          </w:p>
        </w:tc>
      </w:tr>
      <w:tr>
        <w:trPr>
          <w:trHeight w:val="182"/>
        </w:trPr>
        <w:tc>
          <w:tcPr>
            <w:tcW w:w="300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124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General Counsel</w:t>
            </w:r>
          </w:p>
        </w:tc>
        <w:tc>
          <w:tcPr>
            <w:tcW w:w="12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CONTRACT AND</w:t>
            </w: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ATTN:</w:t>
            </w:r>
          </w:p>
        </w:tc>
        <w:tc>
          <w:tcPr>
            <w:tcW w:w="4320" w:type="dxa"/>
            <w:vAlign w:val="bottom"/>
            <w:gridSpan w:val="7"/>
          </w:tcPr>
          <w:p>
            <w:pPr>
              <w:ind w:left="120"/>
              <w:spacing w:after="0"/>
              <w:rPr>
                <w:sz w:val="20"/>
                <w:szCs w:val="20"/>
                <w:color w:val="auto"/>
              </w:rPr>
            </w:pPr>
            <w:r>
              <w:rPr>
                <w:rFonts w:ascii="Arial" w:cs="Arial" w:eastAsia="Arial" w:hAnsi="Arial"/>
                <w:sz w:val="13"/>
                <w:szCs w:val="13"/>
                <w:color w:val="auto"/>
              </w:rPr>
              <w:t>Legal Department</w:t>
            </w:r>
          </w:p>
        </w:tc>
        <w:tc>
          <w:tcPr>
            <w:tcW w:w="0" w:type="dxa"/>
            <w:vAlign w:val="bottom"/>
          </w:tcPr>
          <w:p>
            <w:pPr>
              <w:spacing w:after="0"/>
              <w:rPr>
                <w:sz w:val="1"/>
                <w:szCs w:val="1"/>
                <w:color w:val="auto"/>
              </w:rPr>
            </w:pPr>
          </w:p>
        </w:tc>
      </w:tr>
      <w:tr>
        <w:trPr>
          <w:trHeight w:val="184"/>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N/A</w:t>
            </w:r>
            <w:r>
              <w:rPr>
                <w:rFonts w:ascii="Arial" w:cs="Arial" w:eastAsia="Arial" w:hAnsi="Arial"/>
                <w:sz w:val="13"/>
                <w:szCs w:val="13"/>
                <w:b w:val="1"/>
                <w:bCs w:val="1"/>
                <w:i w:val="1"/>
                <w:iCs w:val="1"/>
                <w:color w:val="auto"/>
              </w:rPr>
              <w:t xml:space="preserve"> FAX#: </w:t>
            </w:r>
            <w:r>
              <w:rPr>
                <w:rFonts w:ascii="Arial" w:cs="Arial" w:eastAsia="Arial" w:hAnsi="Arial"/>
                <w:sz w:val="13"/>
                <w:szCs w:val="13"/>
                <w:color w:val="auto"/>
              </w:rPr>
              <w:t>N/A</w:t>
            </w:r>
          </w:p>
        </w:tc>
        <w:tc>
          <w:tcPr>
            <w:tcW w:w="124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right="154"/>
              <w:spacing w:after="0"/>
              <w:rPr>
                <w:sz w:val="20"/>
                <w:szCs w:val="20"/>
                <w:color w:val="auto"/>
              </w:rPr>
            </w:pPr>
            <w:r>
              <w:rPr>
                <w:rFonts w:ascii="Arial" w:cs="Arial" w:eastAsia="Arial" w:hAnsi="Arial"/>
                <w:sz w:val="13"/>
                <w:szCs w:val="13"/>
                <w:b w:val="1"/>
                <w:bCs w:val="1"/>
                <w:i w:val="1"/>
                <w:iCs w:val="1"/>
                <w:color w:val="auto"/>
              </w:rPr>
              <w:t>LEGAL NOTICES</w:t>
            </w:r>
          </w:p>
        </w:tc>
        <w:tc>
          <w:tcPr>
            <w:tcW w:w="1520" w:type="dxa"/>
            <w:vAlign w:val="bottom"/>
            <w:gridSpan w:val="8"/>
          </w:tcPr>
          <w:p>
            <w:pPr>
              <w:ind w:left="100"/>
              <w:spacing w:after="0"/>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N/A</w:t>
            </w:r>
            <w:r>
              <w:rPr>
                <w:rFonts w:ascii="Arial" w:cs="Arial" w:eastAsia="Arial" w:hAnsi="Arial"/>
                <w:sz w:val="13"/>
                <w:szCs w:val="13"/>
                <w:b w:val="1"/>
                <w:bCs w:val="1"/>
                <w:i w:val="1"/>
                <w:iCs w:val="1"/>
                <w:color w:val="auto"/>
              </w:rPr>
              <w:t xml:space="preserve">  FAX#: </w:t>
            </w:r>
            <w:r>
              <w:rPr>
                <w:rFonts w:ascii="Arial" w:cs="Arial" w:eastAsia="Arial" w:hAnsi="Arial"/>
                <w:sz w:val="13"/>
                <w:szCs w:val="13"/>
                <w:color w:val="auto"/>
              </w:rPr>
              <w:t>N/A</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0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noticeofficer@opalfuels.com</w:t>
            </w:r>
          </w:p>
        </w:tc>
        <w:tc>
          <w:tcPr>
            <w:tcW w:w="12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tcBorders>
            <w:gridSpan w:val="7"/>
          </w:tcPr>
          <w:p>
            <w:pPr>
              <w:ind w:left="10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2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ind w:left="120"/>
              <w:spacing w:after="0"/>
              <w:rPr>
                <w:sz w:val="20"/>
                <w:szCs w:val="20"/>
                <w:color w:val="auto"/>
              </w:rPr>
            </w:pPr>
            <w:r>
              <w:rPr>
                <w:rFonts w:ascii="Arial" w:cs="Arial" w:eastAsia="Arial" w:hAnsi="Arial"/>
                <w:sz w:val="13"/>
                <w:szCs w:val="13"/>
                <w:b w:val="1"/>
                <w:bCs w:val="1"/>
                <w:i w:val="1"/>
                <w:iCs w:val="1"/>
                <w:color w:val="auto"/>
              </w:rPr>
              <w:t>ATTN:</w:t>
            </w:r>
          </w:p>
        </w:tc>
        <w:tc>
          <w:tcPr>
            <w:tcW w:w="140" w:type="dxa"/>
            <w:vAlign w:val="bottom"/>
            <w:tcBorders>
              <w:bottom w:val="single" w:sz="8" w:color="auto"/>
            </w:tcBorders>
            <w:gridSpan w:val="2"/>
          </w:tcPr>
          <w:p>
            <w:pPr>
              <w:spacing w:after="0"/>
              <w:rPr>
                <w:sz w:val="16"/>
                <w:szCs w:val="16"/>
                <w:color w:val="auto"/>
              </w:rPr>
            </w:pPr>
          </w:p>
        </w:tc>
        <w:tc>
          <w:tcPr>
            <w:tcW w:w="2320" w:type="dxa"/>
            <w:vAlign w:val="bottom"/>
            <w:gridSpan w:val="3"/>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ATTN:</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TEL#:   FAX#:   EMAIL:</w:t>
            </w:r>
          </w:p>
        </w:tc>
        <w:tc>
          <w:tcPr>
            <w:tcW w:w="124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CREDIT</w:t>
            </w:r>
          </w:p>
        </w:tc>
        <w:tc>
          <w:tcPr>
            <w:tcW w:w="52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TEL#: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FAX#:</w:t>
            </w:r>
          </w:p>
        </w:tc>
        <w:tc>
          <w:tcPr>
            <w:tcW w:w="358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EMAIL:</w:t>
            </w:r>
          </w:p>
        </w:tc>
        <w:tc>
          <w:tcPr>
            <w:tcW w:w="0" w:type="dxa"/>
            <w:vAlign w:val="bottom"/>
          </w:tcPr>
          <w:p>
            <w:pPr>
              <w:spacing w:after="0"/>
              <w:rPr>
                <w:sz w:val="1"/>
                <w:szCs w:val="1"/>
                <w:color w:val="auto"/>
              </w:rPr>
            </w:pPr>
          </w:p>
        </w:tc>
      </w:tr>
      <w:tr>
        <w:trPr>
          <w:trHeight w:val="59"/>
        </w:trPr>
        <w:tc>
          <w:tcPr>
            <w:tcW w:w="520" w:type="dxa"/>
            <w:vAlign w:val="bottom"/>
            <w:tcBorders>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000" w:type="dxa"/>
            <w:vAlign w:val="bottom"/>
            <w:gridSpan w:val="7"/>
          </w:tcPr>
          <w:p>
            <w:pPr>
              <w:ind w:left="12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12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3"/>
                <w:szCs w:val="13"/>
                <w:b w:val="1"/>
                <w:bCs w:val="1"/>
                <w:i w:val="1"/>
                <w:iCs w:val="1"/>
                <w:color w:val="auto"/>
              </w:rPr>
              <w:t>TRANSACTION</w:t>
            </w:r>
          </w:p>
        </w:tc>
        <w:tc>
          <w:tcPr>
            <w:tcW w:w="1260" w:type="dxa"/>
            <w:vAlign w:val="bottom"/>
            <w:gridSpan w:val="7"/>
          </w:tcPr>
          <w:p>
            <w:pPr>
              <w:ind w:left="100"/>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3000" w:type="dxa"/>
            <w:vAlign w:val="bottom"/>
            <w:gridSpan w:val="7"/>
            <w:vMerge w:val="restart"/>
          </w:tcPr>
          <w:p>
            <w:pPr>
              <w:ind w:left="120"/>
              <w:spacing w:after="0"/>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w:t>
            </w:r>
          </w:p>
        </w:tc>
        <w:tc>
          <w:tcPr>
            <w:tcW w:w="124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3"/>
                <w:szCs w:val="13"/>
                <w:b w:val="1"/>
                <w:bCs w:val="1"/>
                <w:i w:val="1"/>
                <w:iCs w:val="1"/>
                <w:color w:val="auto"/>
              </w:rPr>
              <w:t>TEL#:</w:t>
            </w:r>
          </w:p>
        </w:tc>
        <w:tc>
          <w:tcPr>
            <w:tcW w:w="740" w:type="dxa"/>
            <w:vAlign w:val="bottom"/>
            <w:gridSpan w:val="5"/>
            <w:vMerge w:val="restart"/>
          </w:tcPr>
          <w:p>
            <w:pPr>
              <w:ind w:left="100"/>
              <w:spacing w:after="0"/>
              <w:rPr>
                <w:sz w:val="20"/>
                <w:szCs w:val="20"/>
                <w:color w:val="auto"/>
              </w:rPr>
            </w:pPr>
            <w:r>
              <w:rPr>
                <w:rFonts w:ascii="Arial" w:cs="Arial" w:eastAsia="Arial" w:hAnsi="Arial"/>
                <w:sz w:val="13"/>
                <w:szCs w:val="13"/>
                <w:b w:val="1"/>
                <w:bCs w:val="1"/>
                <w:i w:val="1"/>
                <w:iCs w:val="1"/>
                <w:color w:val="auto"/>
                <w:w w:val="98"/>
              </w:rPr>
              <w:t xml:space="preserve">FAX#: </w:t>
            </w:r>
            <w:r>
              <w:rPr>
                <w:rFonts w:ascii="Arial" w:cs="Arial" w:eastAsia="Arial" w:hAnsi="Arial"/>
                <w:sz w:val="13"/>
                <w:szCs w:val="13"/>
                <w:color w:val="auto"/>
                <w:w w:val="98"/>
              </w:rPr>
              <w:t>N/A</w:t>
            </w:r>
          </w:p>
        </w:tc>
        <w:tc>
          <w:tcPr>
            <w:tcW w:w="260" w:type="dxa"/>
            <w:vAlign w:val="bottom"/>
          </w:tcPr>
          <w:p>
            <w:pPr>
              <w:spacing w:after="0"/>
              <w:rPr>
                <w:sz w:val="5"/>
                <w:szCs w:val="5"/>
                <w:color w:val="auto"/>
              </w:rPr>
            </w:pPr>
          </w:p>
        </w:tc>
        <w:tc>
          <w:tcPr>
            <w:tcW w:w="3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000" w:type="dxa"/>
            <w:vAlign w:val="bottom"/>
            <w:gridSpan w:val="7"/>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3"/>
                <w:szCs w:val="13"/>
                <w:b w:val="1"/>
                <w:bCs w:val="1"/>
                <w:i w:val="1"/>
                <w:iCs w:val="1"/>
                <w:color w:val="auto"/>
              </w:rPr>
              <w:t>CONFIRMATION</w:t>
            </w:r>
          </w:p>
        </w:tc>
        <w:tc>
          <w:tcPr>
            <w:tcW w:w="520" w:type="dxa"/>
            <w:vAlign w:val="bottom"/>
            <w:gridSpan w:val="2"/>
            <w:vMerge w:val="continue"/>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000" w:type="dxa"/>
            <w:vAlign w:val="bottom"/>
            <w:gridSpan w:val="7"/>
            <w:vMerge w:val="restart"/>
          </w:tcPr>
          <w:p>
            <w:pPr>
              <w:ind w:left="12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124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1260" w:type="dxa"/>
            <w:vAlign w:val="bottom"/>
            <w:gridSpan w:val="7"/>
            <w:vMerge w:val="restart"/>
          </w:tcPr>
          <w:p>
            <w:pPr>
              <w:ind w:left="100"/>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260" w:type="dxa"/>
            <w:vAlign w:val="bottom"/>
          </w:tcPr>
          <w:p>
            <w:pPr>
              <w:spacing w:after="0"/>
              <w:rPr>
                <w:sz w:val="5"/>
                <w:szCs w:val="5"/>
                <w:color w:val="auto"/>
              </w:rPr>
            </w:pPr>
          </w:p>
        </w:tc>
        <w:tc>
          <w:tcPr>
            <w:tcW w:w="3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3000" w:type="dxa"/>
            <w:vAlign w:val="bottom"/>
            <w:tcBorders>
              <w:bottom w:val="single" w:sz="8" w:color="auto"/>
            </w:tcBorders>
            <w:gridSpan w:val="7"/>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gridSpan w:val="7"/>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-4733290</wp:posOffset>
            </wp:positionV>
            <wp:extent cx="6847205" cy="49060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6847205" cy="4906010"/>
                    </a:xfrm>
                    <a:prstGeom prst="rect">
                      <a:avLst/>
                    </a:prstGeom>
                    <a:noFill/>
                  </pic:spPr>
                </pic:pic>
              </a:graphicData>
            </a:graphic>
          </wp:anchor>
        </w:drawing>
      </w:r>
    </w:p>
    <w:p>
      <w:pPr>
        <w:spacing w:after="0" w:line="67" w:lineRule="exact"/>
        <w:rPr>
          <w:sz w:val="20"/>
          <w:szCs w:val="20"/>
          <w:color w:val="auto"/>
        </w:rPr>
      </w:pPr>
    </w:p>
    <w:p>
      <w:pPr>
        <w:jc w:val="center"/>
        <w:ind w:right="340"/>
        <w:spacing w:after="0"/>
        <w:rPr>
          <w:sz w:val="20"/>
          <w:szCs w:val="20"/>
          <w:color w:val="auto"/>
        </w:rPr>
      </w:pPr>
      <w:r>
        <w:rPr>
          <w:rFonts w:ascii="Arial" w:cs="Arial" w:eastAsia="Arial" w:hAnsi="Arial"/>
          <w:sz w:val="13"/>
          <w:szCs w:val="13"/>
          <w:b w:val="1"/>
          <w:bCs w:val="1"/>
          <w:color w:val="auto"/>
        </w:rPr>
        <w:t>ACCOUNTING INFORMATION</w:t>
      </w:r>
    </w:p>
    <w:p>
      <w:pPr>
        <w:sectPr>
          <w:pgSz w:w="11900" w:h="16838" w:orient="portrait"/>
          <w:cols w:equalWidth="0" w:num="1">
            <w:col w:w="11140"/>
          </w:cols>
          <w:pgMar w:left="420" w:top="332" w:right="33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90" w:type="dxa"/>
        <w:tblCellMar>
          <w:top w:w="0" w:type="dxa"/>
          <w:left w:w="0" w:type="dxa"/>
          <w:bottom w:w="0" w:type="dxa"/>
          <w:right w:w="0" w:type="dxa"/>
        </w:tblCellMar>
      </w:tblPr>
      <w:tr>
        <w:trPr>
          <w:trHeight w:val="235"/>
        </w:trPr>
        <w:tc>
          <w:tcPr>
            <w:tcW w:w="120" w:type="dxa"/>
            <w:vAlign w:val="bottom"/>
            <w:tcBorders>
              <w:top w:val="single" w:sz="8" w:color="auto"/>
              <w:left w:val="single" w:sz="8" w:color="auto"/>
            </w:tcBorders>
          </w:tcPr>
          <w:p>
            <w:pPr>
              <w:spacing w:after="0"/>
              <w:rPr>
                <w:sz w:val="20"/>
                <w:szCs w:val="20"/>
                <w:color w:val="auto"/>
              </w:rPr>
            </w:pPr>
          </w:p>
        </w:tc>
        <w:tc>
          <w:tcPr>
            <w:tcW w:w="780" w:type="dxa"/>
            <w:vAlign w:val="bottom"/>
            <w:tcBorders>
              <w:top w:val="single" w:sz="8" w:color="auto"/>
            </w:tcBorders>
            <w:gridSpan w:val="4"/>
          </w:tcPr>
          <w:p>
            <w:pPr>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INVOICES</w:t>
            </w:r>
          </w:p>
        </w:tc>
        <w:tc>
          <w:tcPr>
            <w:tcW w:w="100" w:type="dxa"/>
            <w:vAlign w:val="bottom"/>
            <w:tcBorders>
              <w:top w:val="single" w:sz="8" w:color="auto"/>
            </w:tcBorders>
          </w:tcPr>
          <w:p>
            <w:pPr>
              <w:spacing w:after="0"/>
              <w:rPr>
                <w:sz w:val="20"/>
                <w:szCs w:val="20"/>
                <w:color w:val="auto"/>
              </w:rPr>
            </w:pPr>
          </w:p>
        </w:tc>
        <w:tc>
          <w:tcPr>
            <w:tcW w:w="4740" w:type="dxa"/>
            <w:vAlign w:val="bottom"/>
            <w:tcBorders>
              <w:top w:val="single" w:sz="8" w:color="auto"/>
              <w:right w:val="single" w:sz="8" w:color="auto"/>
            </w:tcBorders>
            <w:gridSpan w:val="10"/>
          </w:tcPr>
          <w:p>
            <w:pPr>
              <w:spacing w:after="0"/>
              <w:rPr>
                <w:sz w:val="20"/>
                <w:szCs w:val="20"/>
                <w:color w:val="auto"/>
              </w:rPr>
            </w:pPr>
            <w:r>
              <w:rPr>
                <w:rFonts w:ascii="Arial" w:cs="Arial" w:eastAsia="Arial" w:hAnsi="Arial"/>
                <w:sz w:val="13"/>
                <w:szCs w:val="13"/>
                <w:b w:val="1"/>
                <w:bCs w:val="1"/>
                <w:i w:val="1"/>
                <w:iCs w:val="1"/>
                <w:color w:val="auto"/>
              </w:rPr>
              <w:t xml:space="preserve">ATTN: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20" w:type="dxa"/>
            <w:vAlign w:val="bottom"/>
            <w:tcBorders>
              <w:left w:val="single" w:sz="8" w:color="auto"/>
            </w:tcBorders>
          </w:tcPr>
          <w:p>
            <w:pPr>
              <w:spacing w:after="0"/>
              <w:rPr>
                <w:sz w:val="15"/>
                <w:szCs w:val="15"/>
                <w:color w:val="auto"/>
              </w:rPr>
            </w:pPr>
          </w:p>
        </w:tc>
        <w:tc>
          <w:tcPr>
            <w:tcW w:w="78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 xml:space="preserve">TEL#: </w:t>
            </w: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PAYMENTS</w:t>
            </w:r>
          </w:p>
        </w:tc>
        <w:tc>
          <w:tcPr>
            <w:tcW w:w="100" w:type="dxa"/>
            <w:vAlign w:val="bottom"/>
          </w:tcPr>
          <w:p>
            <w:pPr>
              <w:spacing w:after="0"/>
              <w:rPr>
                <w:sz w:val="15"/>
                <w:szCs w:val="15"/>
                <w:color w:val="auto"/>
              </w:rPr>
            </w:pPr>
          </w:p>
        </w:tc>
        <w:tc>
          <w:tcPr>
            <w:tcW w:w="46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TEL#:</w:t>
            </w:r>
          </w:p>
        </w:tc>
        <w:tc>
          <w:tcPr>
            <w:tcW w:w="60" w:type="dxa"/>
            <w:vAlign w:val="bottom"/>
          </w:tcPr>
          <w:p>
            <w:pPr>
              <w:spacing w:after="0"/>
              <w:rPr>
                <w:sz w:val="15"/>
                <w:szCs w:val="15"/>
                <w:color w:val="auto"/>
              </w:rPr>
            </w:pPr>
          </w:p>
        </w:tc>
        <w:tc>
          <w:tcPr>
            <w:tcW w:w="4220" w:type="dxa"/>
            <w:vAlign w:val="bottom"/>
            <w:tcBorders>
              <w:right w:val="single" w:sz="8" w:color="auto"/>
            </w:tcBorders>
            <w:gridSpan w:val="6"/>
          </w:tcPr>
          <w:p>
            <w:pPr>
              <w:spacing w:after="0"/>
              <w:rPr>
                <w:sz w:val="20"/>
                <w:szCs w:val="20"/>
                <w:color w:val="auto"/>
              </w:rPr>
            </w:pPr>
            <w:r>
              <w:rPr>
                <w:rFonts w:ascii="Arial" w:cs="Arial" w:eastAsia="Arial" w:hAnsi="Arial"/>
                <w:sz w:val="13"/>
                <w:szCs w:val="13"/>
                <w:b w:val="1"/>
                <w:bCs w:val="1"/>
                <w:i w:val="1"/>
                <w:iCs w:val="1"/>
                <w:color w:val="auto"/>
              </w:rPr>
              <w:t xml:space="preserve">FAX#: </w:t>
            </w: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96"/>
        </w:trPr>
        <w:tc>
          <w:tcPr>
            <w:tcW w:w="120" w:type="dxa"/>
            <w:vAlign w:val="bottom"/>
            <w:tcBorders>
              <w:left w:val="single" w:sz="8" w:color="auto"/>
              <w:bottom w:val="single" w:sz="8" w:color="auto"/>
            </w:tcBorders>
          </w:tcPr>
          <w:p>
            <w:pPr>
              <w:spacing w:after="0"/>
              <w:rPr>
                <w:sz w:val="17"/>
                <w:szCs w:val="17"/>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i w:val="1"/>
                <w:iCs w:val="1"/>
                <w:color w:val="auto"/>
              </w:rPr>
              <w:t>SETTLEMENTS</w:t>
            </w:r>
          </w:p>
        </w:tc>
        <w:tc>
          <w:tcPr>
            <w:tcW w:w="100" w:type="dxa"/>
            <w:vAlign w:val="bottom"/>
            <w:tcBorders>
              <w:bottom w:val="single" w:sz="8" w:color="auto"/>
            </w:tcBorders>
          </w:tcPr>
          <w:p>
            <w:pPr>
              <w:spacing w:after="0"/>
              <w:rPr>
                <w:sz w:val="17"/>
                <w:szCs w:val="17"/>
                <w:color w:val="auto"/>
              </w:rPr>
            </w:pPr>
          </w:p>
        </w:tc>
        <w:tc>
          <w:tcPr>
            <w:tcW w:w="474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3"/>
                <w:szCs w:val="13"/>
                <w:b w:val="1"/>
                <w:bCs w:val="1"/>
                <w:i w:val="1"/>
                <w:iCs w:val="1"/>
                <w:color w:val="auto"/>
              </w:rPr>
              <w:t xml:space="preserve">EMAIL: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20" w:type="dxa"/>
            <w:vAlign w:val="bottom"/>
            <w:tcBorders>
              <w:left w:val="single" w:sz="8" w:color="auto"/>
            </w:tcBorders>
          </w:tcPr>
          <w:p>
            <w:pPr>
              <w:spacing w:after="0"/>
              <w:rPr>
                <w:sz w:val="16"/>
                <w:szCs w:val="16"/>
                <w:color w:val="auto"/>
              </w:rPr>
            </w:pPr>
          </w:p>
        </w:tc>
        <w:tc>
          <w:tcPr>
            <w:tcW w:w="780" w:type="dxa"/>
            <w:vAlign w:val="bottom"/>
            <w:gridSpan w:val="4"/>
          </w:tcPr>
          <w:p>
            <w:pPr>
              <w:ind w:left="80"/>
              <w:spacing w:after="0"/>
              <w:rPr>
                <w:sz w:val="20"/>
                <w:szCs w:val="20"/>
                <w:color w:val="auto"/>
              </w:rPr>
            </w:pPr>
            <w:r>
              <w:rPr>
                <w:rFonts w:ascii="Arial" w:cs="Arial" w:eastAsia="Arial" w:hAnsi="Arial"/>
                <w:sz w:val="13"/>
                <w:szCs w:val="13"/>
                <w:b w:val="1"/>
                <w:bCs w:val="1"/>
                <w:i w:val="1"/>
                <w:iCs w:val="1"/>
                <w:color w:val="auto"/>
              </w:rPr>
              <w:t xml:space="preserve">BANK: </w:t>
            </w: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ind w:right="155"/>
              <w:spacing w:after="0"/>
              <w:rPr>
                <w:sz w:val="20"/>
                <w:szCs w:val="20"/>
                <w:color w:val="auto"/>
              </w:rPr>
            </w:pPr>
            <w:r>
              <w:rPr>
                <w:rFonts w:ascii="Arial" w:cs="Arial" w:eastAsia="Arial" w:hAnsi="Arial"/>
                <w:sz w:val="13"/>
                <w:szCs w:val="13"/>
                <w:b w:val="1"/>
                <w:bCs w:val="1"/>
                <w:i w:val="1"/>
                <w:iCs w:val="1"/>
                <w:color w:val="auto"/>
              </w:rPr>
              <w:t>WIRE TRANSFER</w:t>
            </w:r>
          </w:p>
        </w:tc>
        <w:tc>
          <w:tcPr>
            <w:tcW w:w="100" w:type="dxa"/>
            <w:vAlign w:val="bottom"/>
          </w:tcPr>
          <w:p>
            <w:pPr>
              <w:spacing w:after="0"/>
              <w:rPr>
                <w:sz w:val="16"/>
                <w:szCs w:val="16"/>
                <w:color w:val="auto"/>
              </w:rPr>
            </w:pPr>
          </w:p>
        </w:tc>
        <w:tc>
          <w:tcPr>
            <w:tcW w:w="46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BANK:</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20" w:type="dxa"/>
            <w:vAlign w:val="bottom"/>
            <w:tcBorders>
              <w:left w:val="single" w:sz="8" w:color="auto"/>
            </w:tcBorders>
          </w:tcPr>
          <w:p>
            <w:pPr>
              <w:spacing w:after="0"/>
              <w:rPr>
                <w:sz w:val="11"/>
                <w:szCs w:val="11"/>
                <w:color w:val="auto"/>
              </w:rPr>
            </w:pPr>
          </w:p>
        </w:tc>
        <w:tc>
          <w:tcPr>
            <w:tcW w:w="2500" w:type="dxa"/>
            <w:vAlign w:val="bottom"/>
            <w:gridSpan w:val="9"/>
          </w:tcPr>
          <w:p>
            <w:pPr>
              <w:ind w:left="80"/>
              <w:spacing w:after="0" w:line="108" w:lineRule="exact"/>
              <w:rPr>
                <w:sz w:val="20"/>
                <w:szCs w:val="20"/>
                <w:color w:val="auto"/>
              </w:rPr>
            </w:pPr>
            <w:r>
              <w:rPr>
                <w:rFonts w:ascii="Arial" w:cs="Arial" w:eastAsia="Arial" w:hAnsi="Arial"/>
                <w:sz w:val="12"/>
                <w:szCs w:val="12"/>
                <w:b w:val="1"/>
                <w:bCs w:val="1"/>
                <w:i w:val="1"/>
                <w:iCs w:val="1"/>
                <w:color w:val="auto"/>
              </w:rPr>
              <w:t xml:space="preserve">ABA: </w:t>
            </w:r>
            <w:r>
              <w:rPr>
                <w:rFonts w:ascii="Arial" w:cs="Arial" w:eastAsia="Arial" w:hAnsi="Arial"/>
                <w:sz w:val="12"/>
                <w:szCs w:val="12"/>
                <w:color w:val="auto"/>
              </w:rPr>
              <w:t>[***]</w:t>
            </w:r>
            <w:r>
              <w:rPr>
                <w:rFonts w:ascii="Arial" w:cs="Arial" w:eastAsia="Arial" w:hAnsi="Arial"/>
                <w:sz w:val="12"/>
                <w:szCs w:val="12"/>
                <w:b w:val="1"/>
                <w:bCs w:val="1"/>
                <w:i w:val="1"/>
                <w:iCs w:val="1"/>
                <w:color w:val="auto"/>
              </w:rPr>
              <w:t xml:space="preserve">ACCT: </w:t>
            </w:r>
            <w:r>
              <w:rPr>
                <w:rFonts w:ascii="Arial" w:cs="Arial" w:eastAsia="Arial" w:hAnsi="Arial"/>
                <w:sz w:val="12"/>
                <w:szCs w:val="12"/>
                <w:color w:val="auto"/>
              </w:rPr>
              <w:t>[***]</w:t>
            </w:r>
          </w:p>
        </w:tc>
        <w:tc>
          <w:tcPr>
            <w:tcW w:w="16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jc w:val="center"/>
              <w:ind w:right="155"/>
              <w:spacing w:after="0" w:line="108" w:lineRule="exact"/>
              <w:rPr>
                <w:sz w:val="20"/>
                <w:szCs w:val="20"/>
                <w:color w:val="auto"/>
              </w:rPr>
            </w:pPr>
            <w:r>
              <w:rPr>
                <w:rFonts w:ascii="Arial" w:cs="Arial" w:eastAsia="Arial" w:hAnsi="Arial"/>
                <w:sz w:val="12"/>
                <w:szCs w:val="12"/>
                <w:b w:val="1"/>
                <w:bCs w:val="1"/>
                <w:i w:val="1"/>
                <w:iCs w:val="1"/>
                <w:color w:val="auto"/>
              </w:rPr>
              <w:t>NUMBERS</w:t>
            </w:r>
          </w:p>
        </w:tc>
        <w:tc>
          <w:tcPr>
            <w:tcW w:w="100" w:type="dxa"/>
            <w:vAlign w:val="bottom"/>
          </w:tcPr>
          <w:p>
            <w:pPr>
              <w:spacing w:after="0"/>
              <w:rPr>
                <w:sz w:val="11"/>
                <w:szCs w:val="11"/>
                <w:color w:val="auto"/>
              </w:rPr>
            </w:pPr>
          </w:p>
        </w:tc>
        <w:tc>
          <w:tcPr>
            <w:tcW w:w="360" w:type="dxa"/>
            <w:vAlign w:val="bottom"/>
            <w:gridSpan w:val="2"/>
          </w:tcPr>
          <w:p>
            <w:pPr>
              <w:spacing w:after="0" w:line="108" w:lineRule="exact"/>
              <w:rPr>
                <w:sz w:val="20"/>
                <w:szCs w:val="20"/>
                <w:color w:val="auto"/>
              </w:rPr>
            </w:pPr>
            <w:r>
              <w:rPr>
                <w:rFonts w:ascii="Arial" w:cs="Arial" w:eastAsia="Arial" w:hAnsi="Arial"/>
                <w:sz w:val="12"/>
                <w:szCs w:val="12"/>
                <w:b w:val="1"/>
                <w:bCs w:val="1"/>
                <w:i w:val="1"/>
                <w:iCs w:val="1"/>
                <w:color w:val="auto"/>
              </w:rPr>
              <w:t>ABA:</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20" w:type="dxa"/>
            <w:vAlign w:val="bottom"/>
            <w:tcBorders>
              <w:right w:val="single" w:sz="8" w:color="auto"/>
            </w:tcBorders>
            <w:gridSpan w:val="6"/>
          </w:tcPr>
          <w:p>
            <w:pPr>
              <w:ind w:left="20"/>
              <w:spacing w:after="0" w:line="116" w:lineRule="exact"/>
              <w:rPr>
                <w:sz w:val="20"/>
                <w:szCs w:val="20"/>
                <w:color w:val="auto"/>
              </w:rPr>
            </w:pPr>
            <w:r>
              <w:rPr>
                <w:rFonts w:ascii="Arial" w:cs="Arial" w:eastAsia="Arial" w:hAnsi="Arial"/>
                <w:sz w:val="13"/>
                <w:szCs w:val="13"/>
                <w:b w:val="1"/>
                <w:bCs w:val="1"/>
                <w:i w:val="1"/>
                <w:iCs w:val="1"/>
                <w:color w:val="auto"/>
              </w:rPr>
              <w:t>ACCT:</w:t>
            </w:r>
          </w:p>
        </w:tc>
        <w:tc>
          <w:tcPr>
            <w:tcW w:w="0" w:type="dxa"/>
            <w:vAlign w:val="bottom"/>
          </w:tcPr>
          <w:p>
            <w:pPr>
              <w:spacing w:after="0"/>
              <w:rPr>
                <w:sz w:val="1"/>
                <w:szCs w:val="1"/>
                <w:color w:val="auto"/>
              </w:rPr>
            </w:pPr>
          </w:p>
        </w:tc>
      </w:tr>
      <w:tr>
        <w:trPr>
          <w:trHeight w:val="140"/>
        </w:trPr>
        <w:tc>
          <w:tcPr>
            <w:tcW w:w="120" w:type="dxa"/>
            <w:vAlign w:val="bottom"/>
            <w:tcBorders>
              <w:left w:val="single" w:sz="8" w:color="auto"/>
            </w:tcBorders>
          </w:tcPr>
          <w:p>
            <w:pPr>
              <w:spacing w:after="0"/>
              <w:rPr>
                <w:sz w:val="12"/>
                <w:szCs w:val="12"/>
                <w:color w:val="auto"/>
              </w:rPr>
            </w:pPr>
          </w:p>
        </w:tc>
        <w:tc>
          <w:tcPr>
            <w:tcW w:w="2500" w:type="dxa"/>
            <w:vAlign w:val="bottom"/>
            <w:gridSpan w:val="9"/>
          </w:tcPr>
          <w:p>
            <w:pPr>
              <w:ind w:left="80"/>
              <w:spacing w:after="0" w:line="141" w:lineRule="exact"/>
              <w:rPr>
                <w:sz w:val="20"/>
                <w:szCs w:val="20"/>
                <w:color w:val="auto"/>
              </w:rPr>
            </w:pPr>
            <w:r>
              <w:rPr>
                <w:rFonts w:ascii="Arial" w:cs="Arial" w:eastAsia="Arial" w:hAnsi="Arial"/>
                <w:sz w:val="13"/>
                <w:szCs w:val="13"/>
                <w:b w:val="1"/>
                <w:bCs w:val="1"/>
                <w:i w:val="1"/>
                <w:iCs w:val="1"/>
                <w:color w:val="auto"/>
              </w:rPr>
              <w:t xml:space="preserve">OTHER DETAILS: </w:t>
            </w:r>
            <w:r>
              <w:rPr>
                <w:rFonts w:ascii="Arial" w:cs="Arial" w:eastAsia="Arial" w:hAnsi="Arial"/>
                <w:sz w:val="13"/>
                <w:szCs w:val="13"/>
                <w:color w:val="auto"/>
              </w:rPr>
              <w:t>[***]</w:t>
            </w:r>
          </w:p>
        </w:tc>
        <w:tc>
          <w:tcPr>
            <w:tcW w:w="16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right="135"/>
              <w:spacing w:after="0" w:line="141" w:lineRule="exact"/>
              <w:rPr>
                <w:sz w:val="20"/>
                <w:szCs w:val="20"/>
                <w:color w:val="auto"/>
              </w:rPr>
            </w:pPr>
            <w:r>
              <w:rPr>
                <w:rFonts w:ascii="Arial" w:cs="Arial" w:eastAsia="Arial" w:hAnsi="Arial"/>
                <w:sz w:val="13"/>
                <w:szCs w:val="13"/>
                <w:b w:val="1"/>
                <w:bCs w:val="1"/>
                <w:i w:val="1"/>
                <w:iCs w:val="1"/>
                <w:color w:val="auto"/>
              </w:rPr>
              <w:t>(IF APPLICABLE)</w:t>
            </w:r>
          </w:p>
        </w:tc>
        <w:tc>
          <w:tcPr>
            <w:tcW w:w="100" w:type="dxa"/>
            <w:vAlign w:val="bottom"/>
          </w:tcPr>
          <w:p>
            <w:pPr>
              <w:spacing w:after="0"/>
              <w:rPr>
                <w:sz w:val="12"/>
                <w:szCs w:val="12"/>
                <w:color w:val="auto"/>
              </w:rPr>
            </w:pPr>
          </w:p>
        </w:tc>
        <w:tc>
          <w:tcPr>
            <w:tcW w:w="4740" w:type="dxa"/>
            <w:vAlign w:val="bottom"/>
            <w:tcBorders>
              <w:right w:val="single" w:sz="8" w:color="auto"/>
            </w:tcBorders>
            <w:gridSpan w:val="10"/>
          </w:tcPr>
          <w:p>
            <w:pPr>
              <w:spacing w:after="0" w:line="141" w:lineRule="exact"/>
              <w:rPr>
                <w:sz w:val="20"/>
                <w:szCs w:val="20"/>
                <w:color w:val="auto"/>
              </w:rPr>
            </w:pPr>
            <w:r>
              <w:rPr>
                <w:rFonts w:ascii="Arial" w:cs="Arial" w:eastAsia="Arial" w:hAnsi="Arial"/>
                <w:sz w:val="13"/>
                <w:szCs w:val="13"/>
                <w:b w:val="1"/>
                <w:bCs w:val="1"/>
                <w:i w:val="1"/>
                <w:iCs w:val="1"/>
                <w:color w:val="auto"/>
              </w:rPr>
              <w:t>OTHER DETAILS:</w:t>
            </w:r>
          </w:p>
        </w:tc>
        <w:tc>
          <w:tcPr>
            <w:tcW w:w="0" w:type="dxa"/>
            <w:vAlign w:val="bottom"/>
          </w:tcPr>
          <w:p>
            <w:pPr>
              <w:spacing w:after="0"/>
              <w:rPr>
                <w:sz w:val="1"/>
                <w:szCs w:val="1"/>
                <w:color w:val="auto"/>
              </w:rPr>
            </w:pPr>
          </w:p>
        </w:tc>
      </w:tr>
      <w:tr>
        <w:trPr>
          <w:trHeight w:val="29"/>
        </w:trPr>
        <w:tc>
          <w:tcPr>
            <w:tcW w:w="12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20" w:type="dxa"/>
            <w:vAlign w:val="bottom"/>
            <w:tcBorders>
              <w:left w:val="single" w:sz="8" w:color="auto"/>
            </w:tcBorders>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BANK:</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5"/>
          </w:tcPr>
          <w:p>
            <w:pPr>
              <w:spacing w:after="0"/>
              <w:rPr>
                <w:sz w:val="20"/>
                <w:szCs w:val="20"/>
                <w:color w:val="auto"/>
              </w:rPr>
            </w:pPr>
            <w:r>
              <w:rPr>
                <w:rFonts w:ascii="Arial" w:cs="Arial" w:eastAsia="Arial" w:hAnsi="Arial"/>
                <w:sz w:val="13"/>
                <w:szCs w:val="13"/>
                <w:b w:val="1"/>
                <w:bCs w:val="1"/>
                <w:i w:val="1"/>
                <w:iCs w:val="1"/>
                <w:color w:val="auto"/>
              </w:rPr>
              <w:t>ABA:   ACCT:</w:t>
            </w:r>
          </w:p>
        </w:tc>
        <w:tc>
          <w:tcPr>
            <w:tcW w:w="162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rPr>
              <w:t>ACH NUMBERS (IF</w:t>
            </w:r>
          </w:p>
        </w:tc>
        <w:tc>
          <w:tcPr>
            <w:tcW w:w="100" w:type="dxa"/>
            <w:vAlign w:val="bottom"/>
          </w:tcPr>
          <w:p>
            <w:pPr>
              <w:spacing w:after="0"/>
              <w:rPr>
                <w:sz w:val="15"/>
                <w:szCs w:val="15"/>
                <w:color w:val="auto"/>
              </w:rPr>
            </w:pPr>
          </w:p>
        </w:tc>
        <w:tc>
          <w:tcPr>
            <w:tcW w:w="4740" w:type="dxa"/>
            <w:vAlign w:val="bottom"/>
            <w:tcBorders>
              <w:right w:val="single" w:sz="8" w:color="auto"/>
            </w:tcBorders>
            <w:gridSpan w:val="10"/>
          </w:tcPr>
          <w:p>
            <w:pPr>
              <w:spacing w:after="0"/>
              <w:rPr>
                <w:sz w:val="20"/>
                <w:szCs w:val="20"/>
                <w:color w:val="auto"/>
              </w:rPr>
            </w:pPr>
            <w:r>
              <w:rPr>
                <w:rFonts w:ascii="Arial" w:cs="Arial" w:eastAsia="Arial" w:hAnsi="Arial"/>
                <w:sz w:val="13"/>
                <w:szCs w:val="13"/>
                <w:b w:val="1"/>
                <w:bCs w:val="1"/>
                <w:i w:val="1"/>
                <w:iCs w:val="1"/>
                <w:color w:val="auto"/>
              </w:rPr>
              <w:t xml:space="preserve">BANK: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720" w:type="dxa"/>
            <w:vAlign w:val="bottom"/>
            <w:tcBorders>
              <w:right w:val="single" w:sz="8" w:color="auto"/>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ABA:</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tcBorders>
              <w:right w:val="single" w:sz="8" w:color="auto"/>
            </w:tcBorders>
            <w:gridSpan w:val="5"/>
            <w:vMerge w:val="restart"/>
          </w:tcPr>
          <w:p>
            <w:pPr>
              <w:ind w:left="60"/>
              <w:spacing w:after="0"/>
              <w:rPr>
                <w:sz w:val="20"/>
                <w:szCs w:val="20"/>
                <w:color w:val="auto"/>
              </w:rPr>
            </w:pPr>
            <w:r>
              <w:rPr>
                <w:rFonts w:ascii="Arial" w:cs="Arial" w:eastAsia="Arial" w:hAnsi="Arial"/>
                <w:sz w:val="13"/>
                <w:szCs w:val="13"/>
                <w:b w:val="1"/>
                <w:bCs w:val="1"/>
                <w:i w:val="1"/>
                <w:iCs w:val="1"/>
                <w:color w:val="auto"/>
              </w:rPr>
              <w:t xml:space="preserve">ACCT: </w:t>
            </w: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90"/>
        </w:trPr>
        <w:tc>
          <w:tcPr>
            <w:tcW w:w="120" w:type="dxa"/>
            <w:vAlign w:val="bottom"/>
            <w:tcBorders>
              <w:left w:val="single" w:sz="8" w:color="auto"/>
            </w:tcBorders>
          </w:tcPr>
          <w:p>
            <w:pPr>
              <w:spacing w:after="0"/>
              <w:rPr>
                <w:sz w:val="7"/>
                <w:szCs w:val="7"/>
                <w:color w:val="auto"/>
              </w:rPr>
            </w:pPr>
          </w:p>
        </w:tc>
        <w:tc>
          <w:tcPr>
            <w:tcW w:w="2500" w:type="dxa"/>
            <w:vAlign w:val="bottom"/>
            <w:gridSpan w:val="9"/>
            <w:vMerge w:val="restart"/>
          </w:tcPr>
          <w:p>
            <w:pPr>
              <w:spacing w:after="0" w:line="148" w:lineRule="exact"/>
              <w:rPr>
                <w:sz w:val="20"/>
                <w:szCs w:val="20"/>
                <w:color w:val="auto"/>
              </w:rPr>
            </w:pPr>
            <w:r>
              <w:rPr>
                <w:rFonts w:ascii="Arial" w:cs="Arial" w:eastAsia="Arial" w:hAnsi="Arial"/>
                <w:sz w:val="13"/>
                <w:szCs w:val="13"/>
                <w:b w:val="1"/>
                <w:bCs w:val="1"/>
                <w:i w:val="1"/>
                <w:iCs w:val="1"/>
                <w:color w:val="auto"/>
              </w:rPr>
              <w:t>OTHER DETAILS:</w:t>
            </w:r>
          </w:p>
        </w:tc>
        <w:tc>
          <w:tcPr>
            <w:tcW w:w="16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14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20" w:type="dxa"/>
            <w:vAlign w:val="bottom"/>
            <w:tcBorders>
              <w:left w:val="single" w:sz="8" w:color="auto"/>
            </w:tcBorders>
            <w:vMerge w:val="restart"/>
          </w:tcPr>
          <w:p>
            <w:pPr>
              <w:spacing w:after="0"/>
              <w:rPr>
                <w:sz w:val="2"/>
                <w:szCs w:val="2"/>
                <w:color w:val="auto"/>
              </w:rPr>
            </w:pPr>
          </w:p>
        </w:tc>
        <w:tc>
          <w:tcPr>
            <w:tcW w:w="2500" w:type="dxa"/>
            <w:vAlign w:val="bottom"/>
            <w:gridSpan w:val="9"/>
            <w:vMerge w:val="continue"/>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17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i w:val="1"/>
                <w:iCs w:val="1"/>
                <w:color w:val="auto"/>
              </w:rPr>
              <w:t>APPLICABLE)</w:t>
            </w:r>
          </w:p>
        </w:tc>
        <w:tc>
          <w:tcPr>
            <w:tcW w:w="100" w:type="dxa"/>
            <w:vAlign w:val="bottom"/>
            <w:vMerge w:val="restart"/>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right w:val="single" w:sz="8" w:color="auto"/>
            </w:tcBorders>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vMerge w:val="continue"/>
          </w:tcPr>
          <w:p>
            <w:pPr>
              <w:spacing w:after="0" w:line="20" w:lineRule="exact"/>
              <w:rPr>
                <w:sz w:val="1"/>
                <w:szCs w:val="1"/>
                <w:color w:val="auto"/>
              </w:rPr>
            </w:pPr>
          </w:p>
        </w:tc>
        <w:tc>
          <w:tcPr>
            <w:tcW w:w="2500" w:type="dxa"/>
            <w:vAlign w:val="bottom"/>
            <w:gridSpan w:val="9"/>
            <w:vMerge w:val="continue"/>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720" w:type="dxa"/>
            <w:vAlign w:val="bottom"/>
            <w:tcBorders>
              <w:right w:val="single" w:sz="8" w:color="auto"/>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Borders>
              <w:left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74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3"/>
                <w:szCs w:val="13"/>
                <w:b w:val="1"/>
                <w:bCs w:val="1"/>
                <w:i w:val="1"/>
                <w:iCs w:val="1"/>
                <w:color w:val="auto"/>
              </w:rPr>
              <w:t xml:space="preserve">OTHER DETAILS: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Borders>
              <w:right w:val="single" w:sz="8" w:color="auto"/>
            </w:tcBorders>
          </w:tcPr>
          <w:p>
            <w:pPr>
              <w:ind w:left="800"/>
              <w:spacing w:after="0"/>
              <w:rPr>
                <w:sz w:val="20"/>
                <w:szCs w:val="20"/>
                <w:color w:val="auto"/>
              </w:rPr>
            </w:pPr>
            <w:r>
              <w:rPr>
                <w:rFonts w:ascii="Arial" w:cs="Arial" w:eastAsia="Arial" w:hAnsi="Arial"/>
                <w:sz w:val="13"/>
                <w:szCs w:val="13"/>
                <w:b w:val="1"/>
                <w:bCs w:val="1"/>
                <w:i w:val="1"/>
                <w:iCs w:val="1"/>
                <w:color w:val="auto"/>
              </w:rPr>
              <w:t>ATTN:</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98"/>
              </w:rPr>
              <w:t>CHECKS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right w:val="single" w:sz="8" w:color="auto"/>
            </w:tcBorders>
          </w:tcPr>
          <w:p>
            <w:pPr>
              <w:ind w:left="2280"/>
              <w:spacing w:after="0"/>
              <w:rPr>
                <w:sz w:val="20"/>
                <w:szCs w:val="20"/>
                <w:color w:val="auto"/>
              </w:rPr>
            </w:pPr>
            <w:r>
              <w:rPr>
                <w:rFonts w:ascii="Arial" w:cs="Arial" w:eastAsia="Arial" w:hAnsi="Arial"/>
                <w:sz w:val="13"/>
                <w:szCs w:val="13"/>
                <w:b w:val="1"/>
                <w:bCs w:val="1"/>
                <w:i w:val="1"/>
                <w:iCs w:val="1"/>
                <w:color w:val="auto"/>
              </w:rPr>
              <w:t>ATTN:</w:t>
            </w:r>
          </w:p>
        </w:tc>
        <w:tc>
          <w:tcPr>
            <w:tcW w:w="0" w:type="dxa"/>
            <w:vAlign w:val="bottom"/>
          </w:tcPr>
          <w:p>
            <w:pPr>
              <w:spacing w:after="0"/>
              <w:rPr>
                <w:sz w:val="1"/>
                <w:szCs w:val="1"/>
                <w:color w:val="auto"/>
              </w:rPr>
            </w:pPr>
          </w:p>
        </w:tc>
      </w:tr>
      <w:tr>
        <w:trPr>
          <w:trHeight w:val="62"/>
        </w:trPr>
        <w:tc>
          <w:tcPr>
            <w:tcW w:w="120" w:type="dxa"/>
            <w:vAlign w:val="bottom"/>
            <w:tcBorders>
              <w:lef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200" w:type="dxa"/>
            <w:vAlign w:val="bottom"/>
            <w:gridSpan w:val="8"/>
            <w:vMerge w:val="restart"/>
          </w:tcPr>
          <w:p>
            <w:pPr>
              <w:ind w:left="20"/>
              <w:spacing w:after="0" w:line="148" w:lineRule="exact"/>
              <w:rPr>
                <w:sz w:val="20"/>
                <w:szCs w:val="20"/>
                <w:color w:val="auto"/>
              </w:rPr>
            </w:pPr>
            <w:r>
              <w:rPr>
                <w:rFonts w:ascii="Arial" w:cs="Arial" w:eastAsia="Arial" w:hAnsi="Arial"/>
                <w:sz w:val="13"/>
                <w:szCs w:val="13"/>
                <w:b w:val="1"/>
                <w:bCs w:val="1"/>
                <w:i w:val="1"/>
                <w:iCs w:val="1"/>
                <w:color w:val="auto"/>
              </w:rPr>
              <w:t>ADDRESS</w:t>
            </w:r>
            <w:r>
              <w:rPr>
                <w:rFonts w:ascii="Arial" w:cs="Arial" w:eastAsia="Arial" w:hAnsi="Arial"/>
                <w:sz w:val="13"/>
                <w:szCs w:val="13"/>
                <w:b w:val="1"/>
                <w:bCs w:val="1"/>
                <w:color w:val="auto"/>
              </w:rPr>
              <w:t>:</w:t>
            </w:r>
          </w:p>
        </w:tc>
        <w:tc>
          <w:tcPr>
            <w:tcW w:w="162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40" w:type="dxa"/>
            <w:vAlign w:val="bottom"/>
            <w:tcBorders>
              <w:right w:val="single" w:sz="8" w:color="auto"/>
            </w:tcBorders>
            <w:gridSpan w:val="9"/>
            <w:vMerge w:val="restart"/>
          </w:tcPr>
          <w:p>
            <w:pPr>
              <w:ind w:left="20"/>
              <w:spacing w:after="0" w:line="148" w:lineRule="exact"/>
              <w:rPr>
                <w:sz w:val="20"/>
                <w:szCs w:val="20"/>
                <w:color w:val="auto"/>
              </w:rPr>
            </w:pPr>
            <w:r>
              <w:rPr>
                <w:rFonts w:ascii="Arial" w:cs="Arial" w:eastAsia="Arial" w:hAnsi="Arial"/>
                <w:sz w:val="13"/>
                <w:szCs w:val="13"/>
                <w:b w:val="1"/>
                <w:bCs w:val="1"/>
                <w:i w:val="1"/>
                <w:iCs w:val="1"/>
                <w:color w:val="auto"/>
              </w:rPr>
              <w:t>ADDRESS</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86"/>
        </w:trPr>
        <w:tc>
          <w:tcPr>
            <w:tcW w:w="12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200" w:type="dxa"/>
            <w:vAlign w:val="bottom"/>
            <w:gridSpan w:val="8"/>
            <w:vMerge w:val="continue"/>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rPr>
              <w:t>(IF APPLICABLE)</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40" w:type="dxa"/>
            <w:vAlign w:val="bottom"/>
            <w:tcBorders>
              <w:right w:val="single" w:sz="8" w:color="auto"/>
            </w:tcBorders>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20" w:type="dxa"/>
            <w:vAlign w:val="bottom"/>
            <w:tcBorders>
              <w:left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-226060</wp:posOffset>
            </wp:positionV>
            <wp:extent cx="209740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2097405" cy="762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-226060</wp:posOffset>
            </wp:positionV>
            <wp:extent cx="225361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2253615" cy="762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328295</wp:posOffset>
            </wp:positionV>
            <wp:extent cx="566547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5665470" cy="7620"/>
                    </a:xfrm>
                    <a:prstGeom prst="rect">
                      <a:avLst/>
                    </a:prstGeom>
                    <a:noFill/>
                  </pic:spPr>
                </pic:pic>
              </a:graphicData>
            </a:graphic>
          </wp:anchor>
        </w:drawing>
      </w:r>
    </w:p>
    <w:p>
      <w:pPr>
        <w:sectPr>
          <w:pgSz w:w="11900" w:h="16838" w:orient="portrait"/>
          <w:cols w:equalWidth="0" w:num="1">
            <w:col w:w="10880"/>
          </w:cols>
          <w:pgMar w:left="340" w:top="173"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line="242" w:lineRule="auto"/>
        <w:rPr>
          <w:sz w:val="20"/>
          <w:szCs w:val="20"/>
          <w:color w:val="auto"/>
        </w:rPr>
      </w:pPr>
      <w:r>
        <w:rPr>
          <w:rFonts w:ascii="Arial" w:cs="Arial" w:eastAsia="Arial" w:hAnsi="Arial"/>
          <w:sz w:val="13"/>
          <w:szCs w:val="13"/>
          <w:color w:val="auto"/>
        </w:rPr>
        <w:t>Copyright © 2006 North American Energy Standards Board, Inc. All Rights Reserved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2740"/>
        <w:spacing w:after="0"/>
        <w:rPr>
          <w:sz w:val="20"/>
          <w:szCs w:val="20"/>
          <w:color w:val="auto"/>
        </w:rPr>
      </w:pPr>
      <w:r>
        <w:rPr>
          <w:rFonts w:ascii="Arial" w:cs="Arial" w:eastAsia="Arial" w:hAnsi="Arial"/>
          <w:sz w:val="13"/>
          <w:szCs w:val="13"/>
          <w:color w:val="auto"/>
        </w:rPr>
        <w:t>NAESB Standard 6.3.1</w:t>
      </w:r>
    </w:p>
    <w:p>
      <w:pPr>
        <w:jc w:val="right"/>
        <w:ind w:right="2740"/>
        <w:spacing w:after="0"/>
        <w:rPr>
          <w:sz w:val="20"/>
          <w:szCs w:val="20"/>
          <w:color w:val="auto"/>
        </w:rPr>
      </w:pPr>
      <w:r>
        <w:rPr>
          <w:rFonts w:ascii="Arial" w:cs="Arial" w:eastAsia="Arial" w:hAnsi="Arial"/>
          <w:sz w:val="13"/>
          <w:szCs w:val="13"/>
          <w:color w:val="auto"/>
        </w:rPr>
        <w:t>September 5, 2006 (Revised by R15003/R15007, April 4, 2016)</w:t>
      </w:r>
    </w:p>
    <w:p>
      <w:pPr>
        <w:sectPr>
          <w:pgSz w:w="11900" w:h="16838" w:orient="portrait"/>
          <w:cols w:equalWidth="0" w:num="2">
            <w:col w:w="4340" w:space="100"/>
            <w:col w:w="6440"/>
          </w:cols>
          <w:pgMar w:left="340" w:top="173" w:right="67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u w:val="single" w:color="auto"/>
          <w:color w:val="auto"/>
        </w:rPr>
        <w:t>Base Contract for Sale and Purchase of Natural Gas</w:t>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(Continued)</w:t>
      </w:r>
    </w:p>
    <w:p>
      <w:pPr>
        <w:spacing w:after="0" w:line="141" w:lineRule="exact"/>
        <w:rPr>
          <w:sz w:val="20"/>
          <w:szCs w:val="20"/>
          <w:color w:val="auto"/>
        </w:rPr>
      </w:pPr>
    </w:p>
    <w:p>
      <w:pPr>
        <w:jc w:val="both"/>
        <w:ind w:left="320" w:right="300"/>
        <w:spacing w:after="0" w:line="224" w:lineRule="auto"/>
        <w:rPr>
          <w:sz w:val="20"/>
          <w:szCs w:val="20"/>
          <w:color w:val="auto"/>
        </w:rPr>
      </w:pPr>
      <w:r>
        <w:rPr>
          <w:rFonts w:ascii="Arial" w:cs="Arial" w:eastAsia="Arial" w:hAnsi="Arial"/>
          <w:sz w:val="15"/>
          <w:szCs w:val="15"/>
          <w:color w:val="auto"/>
        </w:rPr>
        <w:t xml:space="preserve">This Base Contract incorporates by reference for all purposes the General Terms and Conditions for Sale and Purchase of Natural Gas published by the North American Energy Standards Board. The parties hereby agree to the following provisions offered in said General Terms and Conditions. In the event the parties fail to check a box, the specified default provision shall apply. </w:t>
      </w:r>
      <w:r>
        <w:rPr>
          <w:rFonts w:ascii="Arial" w:cs="Arial" w:eastAsia="Arial" w:hAnsi="Arial"/>
          <w:sz w:val="15"/>
          <w:szCs w:val="15"/>
          <w:u w:val="single" w:color="auto"/>
          <w:color w:val="auto"/>
        </w:rPr>
        <w:t>Select the appropriate box(es) from each section:</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620" w:type="dxa"/>
            <w:vAlign w:val="bottom"/>
            <w:vMerge w:val="restart"/>
          </w:tcPr>
          <w:p>
            <w:pPr>
              <w:ind w:left="340"/>
              <w:spacing w:after="0"/>
              <w:rPr>
                <w:sz w:val="20"/>
                <w:szCs w:val="20"/>
                <w:color w:val="auto"/>
              </w:rPr>
            </w:pPr>
            <w:r>
              <w:rPr>
                <w:rFonts w:ascii="Arial" w:cs="Arial" w:eastAsia="Arial" w:hAnsi="Arial"/>
                <w:sz w:val="13"/>
                <w:szCs w:val="13"/>
                <w:color w:val="auto"/>
              </w:rPr>
              <w:t>All Rights Reserved</w:t>
            </w:r>
          </w:p>
        </w:tc>
        <w:tc>
          <w:tcPr>
            <w:tcW w:w="880" w:type="dxa"/>
            <w:vAlign w:val="bottom"/>
            <w:vMerge w:val="restart"/>
          </w:tcPr>
          <w:p>
            <w:pPr>
              <w:ind w:left="120"/>
              <w:spacing w:after="0"/>
              <w:rPr>
                <w:sz w:val="20"/>
                <w:szCs w:val="20"/>
                <w:color w:val="auto"/>
              </w:rPr>
            </w:pPr>
            <w:r>
              <w:rPr>
                <w:rFonts w:ascii="Arial" w:cs="Arial" w:eastAsia="Arial" w:hAnsi="Arial"/>
                <w:sz w:val="13"/>
                <w:szCs w:val="13"/>
                <w:color w:val="auto"/>
              </w:rPr>
              <w:t>Page 2 of 13</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40" w:top="173" w:right="57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312" w:lineRule="exact"/>
        <w:rPr>
          <w:sz w:val="20"/>
          <w:szCs w:val="20"/>
          <w:color w:val="auto"/>
        </w:rPr>
      </w:pPr>
    </w:p>
    <w:tbl>
      <w:tblPr>
        <w:tblLayout w:type="fixed"/>
        <w:tblInd w:w="190" w:type="dxa"/>
        <w:tblCellMar>
          <w:top w:w="0" w:type="dxa"/>
          <w:left w:w="0" w:type="dxa"/>
          <w:bottom w:w="0" w:type="dxa"/>
          <w:right w:w="0" w:type="dxa"/>
        </w:tblCellMar>
      </w:tblPr>
      <w:tr>
        <w:trPr>
          <w:trHeight w:val="386"/>
        </w:trPr>
        <w:tc>
          <w:tcPr>
            <w:tcW w:w="182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Section 1.2</w:t>
            </w: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50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5"/>
                <w:szCs w:val="15"/>
                <w:color w:val="auto"/>
              </w:rPr>
              <w:t>Oral (default) OR</w:t>
            </w:r>
          </w:p>
        </w:tc>
        <w:tc>
          <w:tcPr>
            <w:tcW w:w="1140" w:type="dxa"/>
            <w:vAlign w:val="bottom"/>
            <w:tcBorders>
              <w:top w:val="single" w:sz="8" w:color="auto"/>
            </w:tcBorders>
          </w:tcPr>
          <w:p>
            <w:pPr>
              <w:ind w:left="40"/>
              <w:spacing w:after="0"/>
              <w:rPr>
                <w:sz w:val="20"/>
                <w:szCs w:val="20"/>
                <w:color w:val="auto"/>
              </w:rPr>
            </w:pPr>
            <w:r>
              <w:rPr>
                <w:rFonts w:ascii="Arial" w:cs="Arial" w:eastAsia="Arial" w:hAnsi="Arial"/>
                <w:sz w:val="15"/>
                <w:szCs w:val="15"/>
                <w:b w:val="1"/>
                <w:bCs w:val="1"/>
                <w:color w:val="auto"/>
              </w:rPr>
              <w:t>Section 10.2</w:t>
            </w:r>
          </w:p>
        </w:tc>
        <w:tc>
          <w:tcPr>
            <w:tcW w:w="3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5"/>
                <w:szCs w:val="15"/>
                <w:color w:val="auto"/>
              </w:rPr>
              <w:t>■</w:t>
            </w:r>
          </w:p>
        </w:tc>
        <w:tc>
          <w:tcPr>
            <w:tcW w:w="3380" w:type="dxa"/>
            <w:vAlign w:val="bottom"/>
            <w:tcBorders>
              <w:top w:val="single" w:sz="8" w:color="auto"/>
              <w:right w:val="single" w:sz="8" w:color="auto"/>
            </w:tcBorders>
            <w:gridSpan w:val="6"/>
            <w:vMerge w:val="restart"/>
          </w:tcPr>
          <w:p>
            <w:pPr>
              <w:ind w:left="300"/>
              <w:spacing w:after="0"/>
              <w:rPr>
                <w:sz w:val="20"/>
                <w:szCs w:val="20"/>
                <w:color w:val="auto"/>
              </w:rPr>
            </w:pPr>
            <w:r>
              <w:rPr>
                <w:rFonts w:ascii="Arial" w:cs="Arial" w:eastAsia="Arial" w:hAnsi="Arial"/>
                <w:sz w:val="15"/>
                <w:szCs w:val="15"/>
                <w:color w:val="auto"/>
              </w:rPr>
              <w:t>No Additional Events of Default (default)</w:t>
            </w:r>
          </w:p>
        </w:tc>
        <w:tc>
          <w:tcPr>
            <w:tcW w:w="0" w:type="dxa"/>
            <w:vAlign w:val="bottom"/>
          </w:tcPr>
          <w:p>
            <w:pPr>
              <w:spacing w:after="0"/>
              <w:rPr>
                <w:sz w:val="1"/>
                <w:szCs w:val="1"/>
                <w:color w:val="auto"/>
              </w:rPr>
            </w:pPr>
          </w:p>
        </w:tc>
      </w:tr>
      <w:tr>
        <w:trPr>
          <w:trHeight w:val="111"/>
        </w:trPr>
        <w:tc>
          <w:tcPr>
            <w:tcW w:w="1820" w:type="dxa"/>
            <w:vAlign w:val="bottom"/>
            <w:tcBorders>
              <w:left w:val="single" w:sz="8" w:color="auto"/>
            </w:tcBorders>
            <w:gridSpan w:val="3"/>
            <w:vMerge w:val="restart"/>
          </w:tcPr>
          <w:p>
            <w:pPr>
              <w:ind w:left="80"/>
              <w:spacing w:after="0" w:line="148" w:lineRule="exact"/>
              <w:rPr>
                <w:sz w:val="20"/>
                <w:szCs w:val="20"/>
                <w:color w:val="auto"/>
              </w:rPr>
            </w:pPr>
            <w:r>
              <w:rPr>
                <w:rFonts w:ascii="Arial" w:cs="Arial" w:eastAsia="Arial" w:hAnsi="Arial"/>
                <w:sz w:val="15"/>
                <w:szCs w:val="15"/>
                <w:color w:val="auto"/>
              </w:rPr>
              <w:t>Transaction Procedure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00" w:type="dxa"/>
            <w:vAlign w:val="bottom"/>
            <w:tcBorders>
              <w:right w:val="single" w:sz="8" w:color="auto"/>
            </w:tcBorders>
            <w:vMerge w:val="continue"/>
          </w:tcPr>
          <w:p>
            <w:pPr>
              <w:spacing w:after="0"/>
              <w:rPr>
                <w:sz w:val="9"/>
                <w:szCs w:val="9"/>
                <w:color w:val="auto"/>
              </w:rPr>
            </w:pPr>
          </w:p>
        </w:tc>
        <w:tc>
          <w:tcPr>
            <w:tcW w:w="1140" w:type="dxa"/>
            <w:vAlign w:val="bottom"/>
            <w:vMerge w:val="restart"/>
          </w:tcPr>
          <w:p>
            <w:pPr>
              <w:ind w:left="40"/>
              <w:spacing w:after="0" w:line="148" w:lineRule="exact"/>
              <w:rPr>
                <w:sz w:val="20"/>
                <w:szCs w:val="20"/>
                <w:color w:val="auto"/>
              </w:rPr>
            </w:pPr>
            <w:r>
              <w:rPr>
                <w:rFonts w:ascii="Arial" w:cs="Arial" w:eastAsia="Arial" w:hAnsi="Arial"/>
                <w:sz w:val="15"/>
                <w:szCs w:val="15"/>
                <w:color w:val="auto"/>
              </w:rPr>
              <w:t>Additional</w:t>
            </w:r>
          </w:p>
        </w:tc>
        <w:tc>
          <w:tcPr>
            <w:tcW w:w="340" w:type="dxa"/>
            <w:vAlign w:val="bottom"/>
            <w:gridSpan w:val="2"/>
            <w:vMerge w:val="continue"/>
          </w:tcPr>
          <w:p>
            <w:pPr>
              <w:spacing w:after="0"/>
              <w:rPr>
                <w:sz w:val="9"/>
                <w:szCs w:val="9"/>
                <w:color w:val="auto"/>
              </w:rPr>
            </w:pPr>
          </w:p>
        </w:tc>
        <w:tc>
          <w:tcPr>
            <w:tcW w:w="3380" w:type="dxa"/>
            <w:vAlign w:val="bottom"/>
            <w:tcBorders>
              <w:right w:val="single" w:sz="8" w:color="auto"/>
            </w:tcBorders>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820" w:type="dxa"/>
            <w:vAlign w:val="bottom"/>
            <w:tcBorders>
              <w:left w:val="single" w:sz="8" w:color="auto"/>
            </w:tcBorders>
            <w:gridSpan w:val="3"/>
            <w:vMerge w:val="continue"/>
          </w:tcPr>
          <w:p>
            <w:pPr>
              <w:spacing w:after="0"/>
              <w:rPr>
                <w:sz w:val="3"/>
                <w:szCs w:val="3"/>
                <w:color w:val="auto"/>
              </w:rPr>
            </w:pPr>
          </w:p>
        </w:tc>
        <w:tc>
          <w:tcPr>
            <w:tcW w:w="200" w:type="dxa"/>
            <w:vAlign w:val="bottom"/>
            <w:vMerge w:val="restart"/>
          </w:tcPr>
          <w:p>
            <w:pPr>
              <w:ind w:left="100"/>
              <w:spacing w:after="0"/>
              <w:rPr>
                <w:sz w:val="20"/>
                <w:szCs w:val="20"/>
                <w:color w:val="auto"/>
              </w:rPr>
            </w:pPr>
            <w:r>
              <w:rPr>
                <w:rFonts w:ascii="Arial" w:cs="Arial" w:eastAsia="Arial" w:hAnsi="Arial"/>
                <w:sz w:val="15"/>
                <w:szCs w:val="15"/>
                <w:color w:val="auto"/>
                <w:w w:val="87"/>
              </w:rPr>
              <w:t>■</w:t>
            </w:r>
          </w:p>
        </w:tc>
        <w:tc>
          <w:tcPr>
            <w:tcW w:w="120" w:type="dxa"/>
            <w:vAlign w:val="bottom"/>
          </w:tcPr>
          <w:p>
            <w:pPr>
              <w:spacing w:after="0"/>
              <w:rPr>
                <w:sz w:val="3"/>
                <w:szCs w:val="3"/>
                <w:color w:val="auto"/>
              </w:rPr>
            </w:pPr>
          </w:p>
        </w:tc>
        <w:tc>
          <w:tcPr>
            <w:tcW w:w="35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5"/>
                <w:szCs w:val="15"/>
                <w:color w:val="auto"/>
              </w:rPr>
              <w:t>Written</w:t>
            </w:r>
          </w:p>
        </w:tc>
        <w:tc>
          <w:tcPr>
            <w:tcW w:w="1140" w:type="dxa"/>
            <w:vAlign w:val="bottom"/>
            <w:vMerge w:val="continue"/>
          </w:tcPr>
          <w:p>
            <w:pPr>
              <w:spacing w:after="0"/>
              <w:rPr>
                <w:sz w:val="3"/>
                <w:szCs w:val="3"/>
                <w:color w:val="auto"/>
              </w:rPr>
            </w:pPr>
          </w:p>
        </w:tc>
        <w:tc>
          <w:tcPr>
            <w:tcW w:w="3720" w:type="dxa"/>
            <w:vAlign w:val="bottom"/>
            <w:tcBorders>
              <w:right w:val="single" w:sz="8" w:color="auto"/>
            </w:tcBorders>
            <w:gridSpan w:val="8"/>
            <w:vMerge w:val="restart"/>
          </w:tcPr>
          <w:p>
            <w:pPr>
              <w:ind w:left="100"/>
              <w:spacing w:after="0"/>
              <w:rPr>
                <w:sz w:val="20"/>
                <w:szCs w:val="20"/>
                <w:color w:val="auto"/>
              </w:rPr>
            </w:pPr>
            <w:r>
              <w:rPr>
                <w:rFonts w:ascii="Arial" w:cs="Arial" w:eastAsia="Arial" w:hAnsi="Arial"/>
                <w:sz w:val="15"/>
                <w:szCs w:val="15"/>
                <w:color w:val="auto"/>
              </w:rPr>
              <w:t>Indebtedness Cross Default</w:t>
            </w:r>
          </w:p>
        </w:tc>
        <w:tc>
          <w:tcPr>
            <w:tcW w:w="0" w:type="dxa"/>
            <w:vAlign w:val="bottom"/>
          </w:tcPr>
          <w:p>
            <w:pPr>
              <w:spacing w:after="0" w:line="20" w:lineRule="exact"/>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500" w:type="dxa"/>
            <w:vAlign w:val="bottom"/>
            <w:tcBorders>
              <w:right w:val="single" w:sz="8" w:color="auto"/>
            </w:tcBorders>
            <w:vMerge w:val="continue"/>
          </w:tcPr>
          <w:p>
            <w:pPr>
              <w:spacing w:after="0"/>
              <w:rPr>
                <w:sz w:val="12"/>
                <w:szCs w:val="12"/>
                <w:color w:val="auto"/>
              </w:rPr>
            </w:pPr>
          </w:p>
        </w:tc>
        <w:tc>
          <w:tcPr>
            <w:tcW w:w="1140" w:type="dxa"/>
            <w:vAlign w:val="bottom"/>
          </w:tcPr>
          <w:p>
            <w:pPr>
              <w:ind w:left="40"/>
              <w:spacing w:after="0" w:line="148" w:lineRule="exact"/>
              <w:rPr>
                <w:sz w:val="20"/>
                <w:szCs w:val="20"/>
                <w:color w:val="auto"/>
              </w:rPr>
            </w:pPr>
            <w:r>
              <w:rPr>
                <w:rFonts w:ascii="Arial" w:cs="Arial" w:eastAsia="Arial" w:hAnsi="Arial"/>
                <w:sz w:val="15"/>
                <w:szCs w:val="15"/>
                <w:color w:val="auto"/>
              </w:rPr>
              <w:t>Events of</w:t>
            </w:r>
          </w:p>
        </w:tc>
        <w:tc>
          <w:tcPr>
            <w:tcW w:w="3720" w:type="dxa"/>
            <w:vAlign w:val="bottom"/>
            <w:tcBorders>
              <w:right w:val="single" w:sz="8" w:color="auto"/>
            </w:tcBorders>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260" w:type="dxa"/>
            <w:vAlign w:val="bottom"/>
            <w:tcBorders>
              <w:left w:val="single" w:sz="8" w:color="auto"/>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1140" w:type="dxa"/>
            <w:vAlign w:val="bottom"/>
            <w:vMerge w:val="restart"/>
          </w:tcPr>
          <w:p>
            <w:pPr>
              <w:ind w:left="40"/>
              <w:spacing w:after="0"/>
              <w:rPr>
                <w:sz w:val="20"/>
                <w:szCs w:val="20"/>
                <w:color w:val="auto"/>
              </w:rPr>
            </w:pPr>
            <w:r>
              <w:rPr>
                <w:rFonts w:ascii="Arial" w:cs="Arial" w:eastAsia="Arial" w:hAnsi="Arial"/>
                <w:sz w:val="15"/>
                <w:szCs w:val="15"/>
                <w:color w:val="auto"/>
              </w:rPr>
              <w:t>Default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2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5"/>
                <w:szCs w:val="15"/>
                <w:b w:val="1"/>
                <w:bCs w:val="1"/>
                <w:color w:val="auto"/>
              </w:rPr>
              <w:t>Section 2.7</w:t>
            </w:r>
          </w:p>
        </w:tc>
        <w:tc>
          <w:tcPr>
            <w:tcW w:w="200" w:type="dxa"/>
            <w:vAlign w:val="bottom"/>
            <w:vMerge w:val="restart"/>
          </w:tcPr>
          <w:p>
            <w:pPr>
              <w:ind w:left="100"/>
              <w:spacing w:after="0"/>
              <w:rPr>
                <w:sz w:val="20"/>
                <w:szCs w:val="20"/>
                <w:color w:val="auto"/>
              </w:rPr>
            </w:pPr>
            <w:r>
              <w:rPr>
                <w:rFonts w:ascii="Arial" w:cs="Arial" w:eastAsia="Arial" w:hAnsi="Arial"/>
                <w:sz w:val="15"/>
                <w:szCs w:val="15"/>
                <w:color w:val="auto"/>
                <w:w w:val="87"/>
              </w:rPr>
              <w:t>■</w:t>
            </w:r>
          </w:p>
        </w:tc>
        <w:tc>
          <w:tcPr>
            <w:tcW w:w="120" w:type="dxa"/>
            <w:vAlign w:val="bottom"/>
          </w:tcPr>
          <w:p>
            <w:pPr>
              <w:spacing w:after="0"/>
              <w:rPr>
                <w:sz w:val="5"/>
                <w:szCs w:val="5"/>
                <w:color w:val="auto"/>
              </w:rPr>
            </w:pPr>
          </w:p>
        </w:tc>
        <w:tc>
          <w:tcPr>
            <w:tcW w:w="35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5"/>
                <w:szCs w:val="15"/>
                <w:color w:val="auto"/>
              </w:rPr>
              <w:t>2 Business Days after receipt (default) OR</w:t>
            </w: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5"/>
                <w:szCs w:val="15"/>
                <w:color w:val="auto"/>
              </w:rPr>
              <w:t>Party A:</w:t>
            </w:r>
          </w:p>
        </w:tc>
        <w:tc>
          <w:tcPr>
            <w:tcW w:w="16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5"/>
                <w:szCs w:val="15"/>
                <w:color w:val="auto"/>
              </w:rPr>
              <w:t>Party B:</w:t>
            </w:r>
          </w:p>
        </w:tc>
        <w:tc>
          <w:tcPr>
            <w:tcW w:w="180" w:type="dxa"/>
            <w:vAlign w:val="bottom"/>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1820" w:type="dxa"/>
            <w:vAlign w:val="bottom"/>
            <w:tcBorders>
              <w:left w:val="single" w:sz="8" w:color="auto"/>
            </w:tcBorders>
            <w:gridSpan w:val="3"/>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Borders>
              <w:right w:val="single" w:sz="8" w:color="auto"/>
            </w:tcBorders>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82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Confirm Deadline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Business Days after receipt</w:t>
            </w: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40" w:type="dxa"/>
            <w:vAlign w:val="bottom"/>
            <w:tcBorders>
              <w:right w:val="single" w:sz="8" w:color="auto"/>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820" w:type="dxa"/>
            <w:vAlign w:val="bottom"/>
            <w:tcBorders>
              <w:lef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Borders>
              <w:right w:val="single" w:sz="8" w:color="auto"/>
            </w:tcBorders>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00" w:type="dxa"/>
            <w:vAlign w:val="bottom"/>
            <w:tcBorders>
              <w:right w:val="single" w:sz="8" w:color="auto"/>
            </w:tcBorders>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500" w:type="dxa"/>
            <w:vAlign w:val="bottom"/>
            <w:tcBorders>
              <w:bottom w:val="single" w:sz="8" w:color="auto"/>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380" w:type="dxa"/>
            <w:vAlign w:val="bottom"/>
            <w:tcBorders>
              <w:right w:val="single" w:sz="8" w:color="auto"/>
            </w:tcBorders>
            <w:gridSpan w:val="6"/>
            <w:vMerge w:val="restart"/>
          </w:tcPr>
          <w:p>
            <w:pPr>
              <w:ind w:left="360"/>
              <w:spacing w:after="0"/>
              <w:rPr>
                <w:sz w:val="20"/>
                <w:szCs w:val="20"/>
                <w:color w:val="auto"/>
              </w:rPr>
            </w:pPr>
            <w:r>
              <w:rPr>
                <w:rFonts w:ascii="Arial" w:cs="Arial" w:eastAsia="Arial" w:hAnsi="Arial"/>
                <w:sz w:val="15"/>
                <w:szCs w:val="15"/>
                <w:color w:val="auto"/>
              </w:rPr>
              <w:t>Transactional Cross Default</w:t>
            </w:r>
          </w:p>
        </w:tc>
        <w:tc>
          <w:tcPr>
            <w:tcW w:w="0" w:type="dxa"/>
            <w:vAlign w:val="bottom"/>
          </w:tcPr>
          <w:p>
            <w:pPr>
              <w:spacing w:after="0"/>
              <w:rPr>
                <w:sz w:val="1"/>
                <w:szCs w:val="1"/>
                <w:color w:val="auto"/>
              </w:rPr>
            </w:pPr>
          </w:p>
        </w:tc>
      </w:tr>
      <w:tr>
        <w:trPr>
          <w:trHeight w:val="209"/>
        </w:trPr>
        <w:tc>
          <w:tcPr>
            <w:tcW w:w="12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Borders>
              <w:right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820" w:type="dxa"/>
            <w:vAlign w:val="bottom"/>
            <w:tcBorders>
              <w:left w:val="single" w:sz="8" w:color="auto"/>
            </w:tcBorders>
            <w:gridSpan w:val="3"/>
          </w:tcPr>
          <w:p>
            <w:pPr>
              <w:ind w:left="80"/>
              <w:spacing w:after="0" w:line="157" w:lineRule="exact"/>
              <w:rPr>
                <w:sz w:val="20"/>
                <w:szCs w:val="20"/>
                <w:color w:val="auto"/>
              </w:rPr>
            </w:pPr>
            <w:r>
              <w:rPr>
                <w:rFonts w:ascii="Arial" w:cs="Arial" w:eastAsia="Arial" w:hAnsi="Arial"/>
                <w:sz w:val="15"/>
                <w:szCs w:val="15"/>
                <w:b w:val="1"/>
                <w:bCs w:val="1"/>
                <w:color w:val="auto"/>
              </w:rPr>
              <w:t>Section 2.8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Seller (default) OR</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82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Confirming Party</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00" w:type="dxa"/>
            <w:vAlign w:val="bottom"/>
            <w:tcBorders>
              <w:right w:val="single" w:sz="8" w:color="auto"/>
            </w:tcBorders>
            <w:vMerge w:val="continue"/>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820" w:type="dxa"/>
            <w:vAlign w:val="bottom"/>
            <w:tcBorders>
              <w:lef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Buyer</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2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Borders>
              <w:right w:val="single" w:sz="8" w:color="auto"/>
            </w:tcBorders>
            <w:vMerge w:val="continue"/>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5"/>
                <w:szCs w:val="15"/>
                <w:color w:val="auto"/>
                <w:w w:val="87"/>
              </w:rPr>
              <w:t>■</w:t>
            </w:r>
          </w:p>
        </w:tc>
        <w:tc>
          <w:tcPr>
            <w:tcW w:w="120" w:type="dxa"/>
            <w:vAlign w:val="bottom"/>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Buyer and Seller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26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1820" w:type="dxa"/>
            <w:vAlign w:val="bottom"/>
            <w:tcBorders>
              <w:left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Section 3.2</w:t>
            </w:r>
          </w:p>
        </w:tc>
        <w:tc>
          <w:tcPr>
            <w:tcW w:w="200" w:type="dxa"/>
            <w:vAlign w:val="bottom"/>
          </w:tcPr>
          <w:p>
            <w:pPr>
              <w:ind w:left="100"/>
              <w:spacing w:after="0"/>
              <w:rPr>
                <w:sz w:val="20"/>
                <w:szCs w:val="20"/>
                <w:color w:val="auto"/>
              </w:rPr>
            </w:pPr>
            <w:r>
              <w:rPr>
                <w:rFonts w:ascii="Arial" w:cs="Arial" w:eastAsia="Arial" w:hAnsi="Arial"/>
                <w:sz w:val="15"/>
                <w:szCs w:val="15"/>
                <w:color w:val="auto"/>
                <w:w w:val="87"/>
              </w:rPr>
              <w:t>■</w:t>
            </w:r>
          </w:p>
        </w:tc>
        <w:tc>
          <w:tcPr>
            <w:tcW w:w="120" w:type="dxa"/>
            <w:vAlign w:val="bottom"/>
          </w:tcPr>
          <w:p>
            <w:pPr>
              <w:spacing w:after="0"/>
              <w:rPr>
                <w:sz w:val="24"/>
                <w:szCs w:val="24"/>
                <w:color w:val="auto"/>
              </w:rPr>
            </w:pPr>
          </w:p>
        </w:tc>
        <w:tc>
          <w:tcPr>
            <w:tcW w:w="350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Cover Standard (default) OR</w:t>
            </w:r>
          </w:p>
        </w:tc>
        <w:tc>
          <w:tcPr>
            <w:tcW w:w="1140" w:type="dxa"/>
            <w:vAlign w:val="bottom"/>
          </w:tcPr>
          <w:p>
            <w:pPr>
              <w:ind w:left="40"/>
              <w:spacing w:after="0"/>
              <w:rPr>
                <w:sz w:val="20"/>
                <w:szCs w:val="20"/>
                <w:color w:val="auto"/>
              </w:rPr>
            </w:pPr>
            <w:r>
              <w:rPr>
                <w:rFonts w:ascii="Arial" w:cs="Arial" w:eastAsia="Arial" w:hAnsi="Arial"/>
                <w:sz w:val="15"/>
                <w:szCs w:val="15"/>
                <w:b w:val="1"/>
                <w:bCs w:val="1"/>
                <w:color w:val="auto"/>
              </w:rPr>
              <w:t>Section</w:t>
            </w:r>
          </w:p>
        </w:tc>
        <w:tc>
          <w:tcPr>
            <w:tcW w:w="34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380" w:type="dxa"/>
            <w:vAlign w:val="bottom"/>
            <w:tcBorders>
              <w:right w:val="single" w:sz="8" w:color="auto"/>
            </w:tcBorders>
            <w:gridSpan w:val="6"/>
          </w:tcPr>
          <w:p>
            <w:pPr>
              <w:ind w:left="300"/>
              <w:spacing w:after="0"/>
              <w:rPr>
                <w:sz w:val="20"/>
                <w:szCs w:val="20"/>
                <w:color w:val="auto"/>
              </w:rPr>
            </w:pPr>
            <w:r>
              <w:rPr>
                <w:rFonts w:ascii="Arial" w:cs="Arial" w:eastAsia="Arial" w:hAnsi="Arial"/>
                <w:sz w:val="15"/>
                <w:szCs w:val="15"/>
                <w:color w:val="auto"/>
              </w:rPr>
              <w:t>Early Termination Damages Apply</w:t>
            </w: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tcBorders>
            <w:gridSpan w:val="3"/>
          </w:tcPr>
          <w:p>
            <w:pPr>
              <w:ind w:left="80"/>
              <w:spacing w:after="0"/>
              <w:rPr>
                <w:sz w:val="20"/>
                <w:szCs w:val="20"/>
                <w:color w:val="auto"/>
              </w:rPr>
            </w:pPr>
            <w:r>
              <w:rPr>
                <w:rFonts w:ascii="Arial" w:cs="Arial" w:eastAsia="Arial" w:hAnsi="Arial"/>
                <w:sz w:val="15"/>
                <w:szCs w:val="15"/>
                <w:color w:val="auto"/>
              </w:rPr>
              <w:t>Performance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Spot Price Standard</w:t>
            </w:r>
          </w:p>
        </w:tc>
        <w:tc>
          <w:tcPr>
            <w:tcW w:w="1140" w:type="dxa"/>
            <w:vAlign w:val="bottom"/>
          </w:tcPr>
          <w:p>
            <w:pPr>
              <w:ind w:left="40"/>
              <w:spacing w:after="0"/>
              <w:rPr>
                <w:sz w:val="20"/>
                <w:szCs w:val="20"/>
                <w:color w:val="auto"/>
              </w:rPr>
            </w:pPr>
            <w:r>
              <w:rPr>
                <w:rFonts w:ascii="Arial" w:cs="Arial" w:eastAsia="Arial" w:hAnsi="Arial"/>
                <w:sz w:val="15"/>
                <w:szCs w:val="15"/>
                <w:b w:val="1"/>
                <w:bCs w:val="1"/>
                <w:color w:val="auto"/>
              </w:rPr>
              <w:t>10.3.1</w:t>
            </w:r>
          </w:p>
        </w:tc>
        <w:tc>
          <w:tcPr>
            <w:tcW w:w="900" w:type="dxa"/>
            <w:vAlign w:val="bottom"/>
            <w:gridSpan w:val="3"/>
          </w:tcPr>
          <w:p>
            <w:pPr>
              <w:ind w:left="100"/>
              <w:spacing w:after="0"/>
              <w:rPr>
                <w:sz w:val="20"/>
                <w:szCs w:val="20"/>
                <w:color w:val="auto"/>
              </w:rPr>
            </w:pPr>
            <w:r>
              <w:rPr>
                <w:rFonts w:ascii="Arial" w:cs="Arial" w:eastAsia="Arial" w:hAnsi="Arial"/>
                <w:sz w:val="15"/>
                <w:szCs w:val="15"/>
                <w:color w:val="auto"/>
              </w:rPr>
              <w:t>(default)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Obligation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00" w:type="dxa"/>
            <w:vAlign w:val="bottom"/>
            <w:tcBorders>
              <w:right w:val="single" w:sz="8" w:color="auto"/>
            </w:tcBorders>
            <w:vMerge w:val="continue"/>
          </w:tcPr>
          <w:p>
            <w:pPr>
              <w:spacing w:after="0"/>
              <w:rPr>
                <w:sz w:val="9"/>
                <w:szCs w:val="9"/>
                <w:color w:val="auto"/>
              </w:rPr>
            </w:pPr>
          </w:p>
        </w:tc>
        <w:tc>
          <w:tcPr>
            <w:tcW w:w="1140" w:type="dxa"/>
            <w:vAlign w:val="bottom"/>
          </w:tcPr>
          <w:p>
            <w:pPr>
              <w:ind w:left="40"/>
              <w:spacing w:after="0" w:line="115" w:lineRule="exact"/>
              <w:rPr>
                <w:sz w:val="20"/>
                <w:szCs w:val="20"/>
                <w:color w:val="auto"/>
              </w:rPr>
            </w:pPr>
            <w:r>
              <w:rPr>
                <w:rFonts w:ascii="Arial" w:cs="Arial" w:eastAsia="Arial" w:hAnsi="Arial"/>
                <w:sz w:val="13"/>
                <w:szCs w:val="13"/>
                <w:color w:val="auto"/>
              </w:rPr>
              <w:t>Early</w:t>
            </w:r>
          </w:p>
        </w:tc>
        <w:tc>
          <w:tcPr>
            <w:tcW w:w="340" w:type="dxa"/>
            <w:vAlign w:val="bottom"/>
            <w:gridSpan w:val="2"/>
            <w:vMerge w:val="restart"/>
          </w:tcPr>
          <w:p>
            <w:pPr>
              <w:ind w:left="100"/>
              <w:spacing w:after="0"/>
              <w:rPr>
                <w:sz w:val="20"/>
                <w:szCs w:val="20"/>
                <w:color w:val="auto"/>
              </w:rPr>
            </w:pPr>
            <w:r>
              <w:rPr>
                <w:rFonts w:ascii="Arial" w:cs="Arial" w:eastAsia="Arial" w:hAnsi="Arial"/>
                <w:sz w:val="15"/>
                <w:szCs w:val="15"/>
                <w:color w:val="auto"/>
                <w:w w:val="97"/>
              </w:rPr>
              <w:t>OR</w:t>
            </w: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tcBorders>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500" w:type="dxa"/>
            <w:vAlign w:val="bottom"/>
            <w:tcBorders>
              <w:right w:val="single" w:sz="8" w:color="auto"/>
            </w:tcBorders>
          </w:tcPr>
          <w:p>
            <w:pPr>
              <w:spacing w:after="0"/>
              <w:rPr>
                <w:sz w:val="8"/>
                <w:szCs w:val="8"/>
                <w:color w:val="auto"/>
              </w:rPr>
            </w:pPr>
          </w:p>
        </w:tc>
        <w:tc>
          <w:tcPr>
            <w:tcW w:w="1140" w:type="dxa"/>
            <w:vAlign w:val="bottom"/>
            <w:vMerge w:val="restart"/>
          </w:tcPr>
          <w:p>
            <w:pPr>
              <w:ind w:left="40"/>
              <w:spacing w:after="0" w:line="148" w:lineRule="exact"/>
              <w:rPr>
                <w:sz w:val="20"/>
                <w:szCs w:val="20"/>
                <w:color w:val="auto"/>
              </w:rPr>
            </w:pPr>
            <w:r>
              <w:rPr>
                <w:rFonts w:ascii="Arial" w:cs="Arial" w:eastAsia="Arial" w:hAnsi="Arial"/>
                <w:sz w:val="15"/>
                <w:szCs w:val="15"/>
                <w:color w:val="auto"/>
              </w:rPr>
              <w:t>Termination</w:t>
            </w:r>
          </w:p>
        </w:tc>
        <w:tc>
          <w:tcPr>
            <w:tcW w:w="3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26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Borders>
              <w:right w:val="single" w:sz="8" w:color="auto"/>
            </w:tcBorders>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Damages</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8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5"/>
                <w:szCs w:val="15"/>
                <w:color w:val="auto"/>
              </w:rPr>
              <w:t>Early Termination Damages Do Not Apply</w:t>
            </w:r>
          </w:p>
        </w:tc>
        <w:tc>
          <w:tcPr>
            <w:tcW w:w="0" w:type="dxa"/>
            <w:vAlign w:val="bottom"/>
          </w:tcPr>
          <w:p>
            <w:pPr>
              <w:spacing w:after="0"/>
              <w:rPr>
                <w:sz w:val="1"/>
                <w:szCs w:val="1"/>
                <w:color w:val="auto"/>
              </w:rPr>
            </w:pPr>
          </w:p>
        </w:tc>
      </w:tr>
      <w:tr>
        <w:trPr>
          <w:trHeight w:val="156"/>
        </w:trPr>
        <w:tc>
          <w:tcPr>
            <w:tcW w:w="5640" w:type="dxa"/>
            <w:vAlign w:val="bottom"/>
            <w:tcBorders>
              <w:left w:val="single" w:sz="8" w:color="auto"/>
              <w:right w:val="single" w:sz="8" w:color="auto"/>
            </w:tcBorders>
            <w:gridSpan w:val="6"/>
          </w:tcPr>
          <w:p>
            <w:pPr>
              <w:ind w:left="80"/>
              <w:spacing w:after="0" w:line="156" w:lineRule="exact"/>
              <w:rPr>
                <w:sz w:val="20"/>
                <w:szCs w:val="20"/>
                <w:color w:val="auto"/>
              </w:rPr>
            </w:pPr>
            <w:r>
              <w:rPr>
                <w:rFonts w:ascii="Arial" w:cs="Arial" w:eastAsia="Arial" w:hAnsi="Arial"/>
                <w:sz w:val="15"/>
                <w:szCs w:val="15"/>
                <w:b w:val="1"/>
                <w:bCs w:val="1"/>
                <w:i w:val="1"/>
                <w:iCs w:val="1"/>
                <w:color w:val="auto"/>
              </w:rPr>
              <w:t>Note: The following Spot Price Publication applies to both of the</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2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5"/>
                <w:szCs w:val="15"/>
                <w:b w:val="1"/>
                <w:bCs w:val="1"/>
                <w:i w:val="1"/>
                <w:iCs w:val="1"/>
                <w:color w:val="auto"/>
              </w:rPr>
              <w:t>immediately preceding.</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00" w:type="dxa"/>
            <w:vAlign w:val="bottom"/>
            <w:tcBorders>
              <w:bottom w:val="single" w:sz="8" w:color="auto"/>
              <w:right w:val="single" w:sz="8" w:color="auto"/>
            </w:tcBorders>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5"/>
                <w:szCs w:val="15"/>
                <w:b w:val="1"/>
                <w:bCs w:val="1"/>
                <w:color w:val="auto"/>
              </w:rPr>
              <w:t>Section</w:t>
            </w:r>
          </w:p>
        </w:tc>
        <w:tc>
          <w:tcPr>
            <w:tcW w:w="100" w:type="dxa"/>
            <w:vAlign w:val="bottom"/>
          </w:tcPr>
          <w:p>
            <w:pPr>
              <w:spacing w:after="0"/>
              <w:rPr>
                <w:sz w:val="18"/>
                <w:szCs w:val="18"/>
                <w:color w:val="auto"/>
              </w:rPr>
            </w:pPr>
          </w:p>
        </w:tc>
        <w:tc>
          <w:tcPr>
            <w:tcW w:w="3620" w:type="dxa"/>
            <w:vAlign w:val="bottom"/>
            <w:tcBorders>
              <w:right w:val="single" w:sz="8" w:color="auto"/>
            </w:tcBorders>
            <w:gridSpan w:val="7"/>
          </w:tcPr>
          <w:p>
            <w:pPr>
              <w:spacing w:after="0"/>
              <w:rPr>
                <w:sz w:val="20"/>
                <w:szCs w:val="20"/>
                <w:color w:val="auto"/>
              </w:rPr>
            </w:pPr>
            <w:r>
              <w:rPr>
                <w:rFonts w:ascii="Arial" w:cs="Arial" w:eastAsia="Arial" w:hAnsi="Arial"/>
                <w:sz w:val="15"/>
                <w:szCs w:val="15"/>
                <w:color w:val="auto"/>
              </w:rPr>
              <w:t>■   Other Agreement Setoffs Apply (default)</w:t>
            </w: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00" w:type="dxa"/>
            <w:vAlign w:val="bottom"/>
            <w:tcBorders>
              <w:right w:val="single" w:sz="8" w:color="auto"/>
            </w:tcBorders>
          </w:tcPr>
          <w:p>
            <w:pPr>
              <w:spacing w:after="0"/>
              <w:rPr>
                <w:sz w:val="11"/>
                <w:szCs w:val="11"/>
                <w:color w:val="auto"/>
              </w:rPr>
            </w:pPr>
          </w:p>
        </w:tc>
        <w:tc>
          <w:tcPr>
            <w:tcW w:w="1140" w:type="dxa"/>
            <w:vAlign w:val="bottom"/>
          </w:tcPr>
          <w:p>
            <w:pPr>
              <w:ind w:left="40"/>
              <w:spacing w:after="0" w:line="132" w:lineRule="exact"/>
              <w:rPr>
                <w:sz w:val="20"/>
                <w:szCs w:val="20"/>
                <w:color w:val="auto"/>
              </w:rPr>
            </w:pPr>
            <w:r>
              <w:rPr>
                <w:rFonts w:ascii="Arial" w:cs="Arial" w:eastAsia="Arial" w:hAnsi="Arial"/>
                <w:sz w:val="15"/>
                <w:szCs w:val="15"/>
                <w:b w:val="1"/>
                <w:bCs w:val="1"/>
                <w:color w:val="auto"/>
              </w:rPr>
              <w:t>10.3.2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5"/>
                <w:szCs w:val="15"/>
                <w:b w:val="1"/>
                <w:bCs w:val="1"/>
                <w:color w:val="auto"/>
              </w:rPr>
              <w:t>Section 2.31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00" w:type="dxa"/>
            <w:vAlign w:val="bottom"/>
            <w:tcBorders>
              <w:right w:val="single" w:sz="8" w:color="auto"/>
            </w:tcBorders>
          </w:tcPr>
          <w:p>
            <w:pPr>
              <w:spacing w:after="0"/>
              <w:rPr>
                <w:sz w:val="12"/>
                <w:szCs w:val="12"/>
                <w:color w:val="auto"/>
              </w:rPr>
            </w:pPr>
          </w:p>
        </w:tc>
        <w:tc>
          <w:tcPr>
            <w:tcW w:w="1140" w:type="dxa"/>
            <w:vAlign w:val="bottom"/>
          </w:tcPr>
          <w:p>
            <w:pPr>
              <w:ind w:left="40"/>
              <w:spacing w:after="0" w:line="148" w:lineRule="exact"/>
              <w:rPr>
                <w:sz w:val="20"/>
                <w:szCs w:val="20"/>
                <w:color w:val="auto"/>
              </w:rPr>
            </w:pPr>
            <w:r>
              <w:rPr>
                <w:rFonts w:ascii="Arial" w:cs="Arial" w:eastAsia="Arial" w:hAnsi="Arial"/>
                <w:sz w:val="15"/>
                <w:szCs w:val="15"/>
                <w:color w:val="auto"/>
              </w:rPr>
              <w:t>Other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820" w:type="dxa"/>
            <w:vAlign w:val="bottom"/>
            <w:tcBorders>
              <w:lef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00" w:type="dxa"/>
            <w:vAlign w:val="bottom"/>
            <w:tcBorders>
              <w:right w:val="single" w:sz="8" w:color="auto"/>
            </w:tcBorders>
            <w:vMerge w:val="restart"/>
          </w:tcPr>
          <w:p>
            <w:pPr>
              <w:ind w:left="120"/>
              <w:spacing w:after="0" w:line="156" w:lineRule="exact"/>
              <w:rPr>
                <w:sz w:val="20"/>
                <w:szCs w:val="20"/>
                <w:color w:val="auto"/>
              </w:rPr>
            </w:pPr>
            <w:r>
              <w:rPr>
                <w:rFonts w:ascii="Arial" w:cs="Arial" w:eastAsia="Arial" w:hAnsi="Arial"/>
                <w:sz w:val="15"/>
                <w:szCs w:val="15"/>
                <w:color w:val="auto"/>
              </w:rPr>
              <w:t>Gas Daily Midpoint (default) OR</w:t>
            </w:r>
          </w:p>
        </w:tc>
        <w:tc>
          <w:tcPr>
            <w:tcW w:w="1140" w:type="dxa"/>
            <w:vAlign w:val="bottom"/>
            <w:vMerge w:val="restart"/>
          </w:tcPr>
          <w:p>
            <w:pPr>
              <w:ind w:left="40"/>
              <w:spacing w:after="0" w:line="156" w:lineRule="exact"/>
              <w:rPr>
                <w:sz w:val="20"/>
                <w:szCs w:val="20"/>
                <w:color w:val="auto"/>
              </w:rPr>
            </w:pPr>
            <w:r>
              <w:rPr>
                <w:rFonts w:ascii="Arial" w:cs="Arial" w:eastAsia="Arial" w:hAnsi="Arial"/>
                <w:sz w:val="15"/>
                <w:szCs w:val="15"/>
                <w:color w:val="auto"/>
              </w:rPr>
              <w:t>Agreement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restart"/>
          </w:tcPr>
          <w:p>
            <w:pPr>
              <w:ind w:left="420"/>
              <w:spacing w:after="0" w:line="156" w:lineRule="exact"/>
              <w:rPr>
                <w:sz w:val="20"/>
                <w:szCs w:val="20"/>
                <w:color w:val="auto"/>
              </w:rPr>
            </w:pPr>
            <w:r>
              <w:rPr>
                <w:rFonts w:ascii="Arial" w:cs="Arial" w:eastAsia="Arial" w:hAnsi="Arial"/>
                <w:sz w:val="15"/>
                <w:szCs w:val="15"/>
                <w:color w:val="auto"/>
              </w:rPr>
              <w:t>■</w:t>
            </w:r>
          </w:p>
        </w:tc>
        <w:tc>
          <w:tcPr>
            <w:tcW w:w="2820" w:type="dxa"/>
            <w:vAlign w:val="bottom"/>
            <w:tcBorders>
              <w:right w:val="single" w:sz="8" w:color="auto"/>
            </w:tcBorders>
            <w:gridSpan w:val="5"/>
            <w:vMerge w:val="restart"/>
          </w:tcPr>
          <w:p>
            <w:pPr>
              <w:ind w:left="340"/>
              <w:spacing w:after="0" w:line="156" w:lineRule="exact"/>
              <w:rPr>
                <w:sz w:val="20"/>
                <w:szCs w:val="20"/>
                <w:color w:val="auto"/>
              </w:rPr>
            </w:pPr>
            <w:r>
              <w:rPr>
                <w:rFonts w:ascii="Arial" w:cs="Arial" w:eastAsia="Arial" w:hAnsi="Arial"/>
                <w:sz w:val="15"/>
                <w:szCs w:val="15"/>
                <w:color w:val="auto"/>
              </w:rPr>
              <w:t>Bilateral (default)</w:t>
            </w:r>
          </w:p>
        </w:tc>
        <w:tc>
          <w:tcPr>
            <w:tcW w:w="0" w:type="dxa"/>
            <w:vAlign w:val="bottom"/>
          </w:tcPr>
          <w:p>
            <w:pPr>
              <w:spacing w:after="0"/>
              <w:rPr>
                <w:sz w:val="1"/>
                <w:szCs w:val="1"/>
                <w:color w:val="auto"/>
              </w:rPr>
            </w:pPr>
          </w:p>
        </w:tc>
      </w:tr>
      <w:tr>
        <w:trPr>
          <w:trHeight w:val="33"/>
        </w:trPr>
        <w:tc>
          <w:tcPr>
            <w:tcW w:w="182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Spot Price</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Borders>
              <w:right w:val="single" w:sz="8" w:color="auto"/>
            </w:tcBorders>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820" w:type="dxa"/>
            <w:vAlign w:val="bottom"/>
            <w:tcBorders>
              <w:right w:val="single" w:sz="8" w:color="auto"/>
            </w:tcBorders>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820" w:type="dxa"/>
            <w:vAlign w:val="bottom"/>
            <w:tcBorders>
              <w:left w:val="single" w:sz="8" w:color="auto"/>
            </w:tcBorders>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tcBorders>
              <w:right w:val="single" w:sz="8" w:color="auto"/>
            </w:tcBorders>
          </w:tcPr>
          <w:p>
            <w:pPr>
              <w:spacing w:after="0"/>
              <w:rPr>
                <w:sz w:val="15"/>
                <w:szCs w:val="15"/>
                <w:color w:val="auto"/>
              </w:rPr>
            </w:pPr>
          </w:p>
        </w:tc>
        <w:tc>
          <w:tcPr>
            <w:tcW w:w="1140" w:type="dxa"/>
            <w:vAlign w:val="bottom"/>
          </w:tcPr>
          <w:p>
            <w:pPr>
              <w:ind w:left="40"/>
              <w:spacing w:after="0"/>
              <w:rPr>
                <w:sz w:val="20"/>
                <w:szCs w:val="20"/>
                <w:color w:val="auto"/>
              </w:rPr>
            </w:pPr>
            <w:r>
              <w:rPr>
                <w:rFonts w:ascii="Arial" w:cs="Arial" w:eastAsia="Arial" w:hAnsi="Arial"/>
                <w:sz w:val="15"/>
                <w:szCs w:val="15"/>
                <w:color w:val="auto"/>
              </w:rPr>
              <w:t>Setoffs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80" w:type="dxa"/>
            <w:vAlign w:val="bottom"/>
            <w:tcBorders>
              <w:right w:val="single" w:sz="8" w:color="auto"/>
            </w:tcBorders>
            <w:gridSpan w:val="6"/>
          </w:tcPr>
          <w:p>
            <w:pPr>
              <w:ind w:left="420"/>
              <w:spacing w:after="0"/>
              <w:rPr>
                <w:sz w:val="20"/>
                <w:szCs w:val="20"/>
                <w:color w:val="auto"/>
              </w:rPr>
            </w:pPr>
            <w:r>
              <w:rPr>
                <w:rFonts w:ascii="Arial" w:cs="Arial" w:eastAsia="Arial" w:hAnsi="Arial"/>
                <w:sz w:val="15"/>
                <w:szCs w:val="15"/>
                <w:color w:val="auto"/>
              </w:rPr>
              <w:t>Triangular</w:t>
            </w:r>
          </w:p>
        </w:tc>
        <w:tc>
          <w:tcPr>
            <w:tcW w:w="0" w:type="dxa"/>
            <w:vAlign w:val="bottom"/>
          </w:tcPr>
          <w:p>
            <w:pPr>
              <w:spacing w:after="0"/>
              <w:rPr>
                <w:sz w:val="1"/>
                <w:szCs w:val="1"/>
                <w:color w:val="auto"/>
              </w:rPr>
            </w:pPr>
          </w:p>
        </w:tc>
      </w:tr>
      <w:tr>
        <w:trPr>
          <w:trHeight w:val="188"/>
        </w:trPr>
        <w:tc>
          <w:tcPr>
            <w:tcW w:w="1820" w:type="dxa"/>
            <w:vAlign w:val="bottom"/>
            <w:tcBorders>
              <w:left w:val="single" w:sz="8" w:color="auto"/>
            </w:tcBorders>
            <w:gridSpan w:val="3"/>
          </w:tcPr>
          <w:p>
            <w:pPr>
              <w:ind w:left="80"/>
              <w:spacing w:after="0"/>
              <w:rPr>
                <w:sz w:val="20"/>
                <w:szCs w:val="20"/>
                <w:color w:val="auto"/>
              </w:rPr>
            </w:pPr>
            <w:r>
              <w:rPr>
                <w:rFonts w:ascii="Arial" w:cs="Arial" w:eastAsia="Arial" w:hAnsi="Arial"/>
                <w:sz w:val="15"/>
                <w:szCs w:val="15"/>
                <w:color w:val="auto"/>
              </w:rPr>
              <w:t>Publication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tcBorders>
              <w:righ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gridSpan w:val="2"/>
          </w:tcPr>
          <w:p>
            <w:pPr>
              <w:ind w:left="100"/>
              <w:spacing w:after="0"/>
              <w:rPr>
                <w:sz w:val="20"/>
                <w:szCs w:val="20"/>
                <w:color w:val="auto"/>
              </w:rPr>
            </w:pPr>
            <w:r>
              <w:rPr>
                <w:rFonts w:ascii="Arial" w:cs="Arial" w:eastAsia="Arial" w:hAnsi="Arial"/>
                <w:sz w:val="15"/>
                <w:szCs w:val="15"/>
                <w:color w:val="auto"/>
                <w:w w:val="97"/>
              </w:rPr>
              <w:t>OR</w:t>
            </w: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12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Borders>
              <w:right w:val="single" w:sz="8" w:color="auto"/>
            </w:tcBorders>
            <w:gridSpan w:val="6"/>
          </w:tcPr>
          <w:p>
            <w:pPr>
              <w:ind w:left="20"/>
              <w:spacing w:after="0"/>
              <w:rPr>
                <w:sz w:val="20"/>
                <w:szCs w:val="20"/>
                <w:color w:val="auto"/>
              </w:rPr>
            </w:pPr>
            <w:r>
              <w:rPr>
                <w:rFonts w:ascii="Arial" w:cs="Arial" w:eastAsia="Arial" w:hAnsi="Arial"/>
                <w:sz w:val="15"/>
                <w:szCs w:val="15"/>
                <w:color w:val="auto"/>
              </w:rPr>
              <w:t>Other Agreement Setoffs Do Not Apply</w:t>
            </w:r>
          </w:p>
        </w:tc>
        <w:tc>
          <w:tcPr>
            <w:tcW w:w="0" w:type="dxa"/>
            <w:vAlign w:val="bottom"/>
          </w:tcPr>
          <w:p>
            <w:pPr>
              <w:spacing w:after="0"/>
              <w:rPr>
                <w:sz w:val="1"/>
                <w:szCs w:val="1"/>
                <w:color w:val="auto"/>
              </w:rPr>
            </w:pPr>
          </w:p>
        </w:tc>
      </w:tr>
      <w:tr>
        <w:trPr>
          <w:trHeight w:val="1188"/>
        </w:trPr>
        <w:tc>
          <w:tcPr>
            <w:tcW w:w="12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820" w:type="dxa"/>
            <w:vAlign w:val="bottom"/>
            <w:tcBorders>
              <w:left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Section 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5"/>
                <w:szCs w:val="15"/>
                <w:color w:val="auto"/>
              </w:rPr>
              <w:t>Buyer Pays At and After Delivery Point (default)</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82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Taxes</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500" w:type="dxa"/>
            <w:vAlign w:val="bottom"/>
            <w:tcBorders>
              <w:right w:val="single" w:sz="8" w:color="auto"/>
            </w:tcBorders>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820" w:type="dxa"/>
            <w:vAlign w:val="bottom"/>
            <w:tcBorders>
              <w:left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36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5"/>
                <w:szCs w:val="15"/>
                <w:color w:val="auto"/>
              </w:rPr>
              <w:t>OR</w:t>
            </w: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260" w:type="dxa"/>
            <w:vAlign w:val="bottom"/>
            <w:tcBorders>
              <w:lef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20" w:type="dxa"/>
            <w:vAlign w:val="bottom"/>
            <w:tcBorders>
              <w:right w:val="single" w:sz="8" w:color="auto"/>
            </w:tcBorders>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Seller Pays Before and At Delivery Point</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26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1820" w:type="dxa"/>
            <w:vAlign w:val="bottom"/>
            <w:tcBorders>
              <w:left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Section 7.2</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350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25th Day of Month following Month of</w:t>
            </w:r>
          </w:p>
        </w:tc>
        <w:tc>
          <w:tcPr>
            <w:tcW w:w="1140" w:type="dxa"/>
            <w:vAlign w:val="bottom"/>
          </w:tcPr>
          <w:p>
            <w:pPr>
              <w:ind w:left="40"/>
              <w:spacing w:after="0"/>
              <w:rPr>
                <w:sz w:val="20"/>
                <w:szCs w:val="20"/>
                <w:color w:val="auto"/>
              </w:rPr>
            </w:pPr>
            <w:r>
              <w:rPr>
                <w:rFonts w:ascii="Arial" w:cs="Arial" w:eastAsia="Arial" w:hAnsi="Arial"/>
                <w:sz w:val="15"/>
                <w:szCs w:val="15"/>
                <w:b w:val="1"/>
                <w:bCs w:val="1"/>
                <w:color w:val="auto"/>
              </w:rPr>
              <w:t>Section 15.5</w:t>
            </w:r>
          </w:p>
        </w:tc>
        <w:tc>
          <w:tcPr>
            <w:tcW w:w="900" w:type="dxa"/>
            <w:vAlign w:val="bottom"/>
            <w:gridSpan w:val="3"/>
          </w:tcPr>
          <w:p>
            <w:pPr>
              <w:ind w:left="100"/>
              <w:spacing w:after="0"/>
              <w:rPr>
                <w:sz w:val="20"/>
                <w:szCs w:val="20"/>
                <w:color w:val="auto"/>
              </w:rPr>
            </w:pPr>
            <w:r>
              <w:rPr>
                <w:rFonts w:ascii="Arial" w:cs="Arial" w:eastAsia="Arial" w:hAnsi="Arial"/>
                <w:sz w:val="15"/>
                <w:szCs w:val="15"/>
                <w:color w:val="auto"/>
              </w:rPr>
              <w:t>New York</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tcBorders>
            <w:gridSpan w:val="3"/>
          </w:tcPr>
          <w:p>
            <w:pPr>
              <w:ind w:left="80"/>
              <w:spacing w:after="0" w:line="168" w:lineRule="exact"/>
              <w:rPr>
                <w:sz w:val="20"/>
                <w:szCs w:val="20"/>
                <w:color w:val="auto"/>
              </w:rPr>
            </w:pPr>
            <w:r>
              <w:rPr>
                <w:rFonts w:ascii="Arial" w:cs="Arial" w:eastAsia="Arial" w:hAnsi="Arial"/>
                <w:sz w:val="15"/>
                <w:szCs w:val="15"/>
                <w:color w:val="auto"/>
              </w:rPr>
              <w:t>Payment Date</w:t>
            </w:r>
          </w:p>
        </w:tc>
        <w:tc>
          <w:tcPr>
            <w:tcW w:w="200" w:type="dxa"/>
            <w:vAlign w:val="bottom"/>
          </w:tcPr>
          <w:p>
            <w:pPr>
              <w:spacing w:after="0"/>
              <w:rPr>
                <w:sz w:val="14"/>
                <w:szCs w:val="14"/>
                <w:color w:val="auto"/>
              </w:rPr>
            </w:pPr>
          </w:p>
        </w:tc>
        <w:tc>
          <w:tcPr>
            <w:tcW w:w="362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5"/>
                <w:szCs w:val="15"/>
                <w:color w:val="auto"/>
              </w:rPr>
              <w:t xml:space="preserve">delivery </w:t>
            </w:r>
            <w:r>
              <w:rPr>
                <w:rFonts w:ascii="Arial" w:cs="Arial" w:eastAsia="Arial" w:hAnsi="Arial"/>
                <w:sz w:val="13"/>
                <w:szCs w:val="13"/>
                <w:color w:val="auto"/>
              </w:rPr>
              <w:t>(default)</w:t>
            </w:r>
          </w:p>
        </w:tc>
        <w:tc>
          <w:tcPr>
            <w:tcW w:w="1140" w:type="dxa"/>
            <w:vAlign w:val="bottom"/>
          </w:tcPr>
          <w:p>
            <w:pPr>
              <w:ind w:left="40"/>
              <w:spacing w:after="0" w:line="169" w:lineRule="exact"/>
              <w:rPr>
                <w:sz w:val="20"/>
                <w:szCs w:val="20"/>
                <w:color w:val="auto"/>
              </w:rPr>
            </w:pPr>
            <w:r>
              <w:rPr>
                <w:rFonts w:ascii="Arial" w:cs="Arial" w:eastAsia="Arial" w:hAnsi="Arial"/>
                <w:sz w:val="15"/>
                <w:szCs w:val="15"/>
                <w:color w:val="auto"/>
              </w:rPr>
              <w:t>Choice Of Law</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OR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260" w:type="dxa"/>
            <w:vAlign w:val="bottom"/>
            <w:tcBorders>
              <w:left w:val="single" w:sz="8" w:color="auto"/>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Day of Month following Month of delivery</w:t>
            </w: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1820" w:type="dxa"/>
            <w:vAlign w:val="bottom"/>
            <w:tcBorders>
              <w:left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Section 7.2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5"/>
                <w:szCs w:val="15"/>
                <w:b w:val="1"/>
                <w:bCs w:val="1"/>
                <w:color w:val="auto"/>
              </w:rPr>
              <w:t>Section 15.10</w:t>
            </w:r>
          </w:p>
        </w:tc>
        <w:tc>
          <w:tcPr>
            <w:tcW w:w="34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380" w:type="dxa"/>
            <w:vAlign w:val="bottom"/>
            <w:tcBorders>
              <w:right w:val="single" w:sz="8" w:color="auto"/>
            </w:tcBorders>
            <w:gridSpan w:val="6"/>
          </w:tcPr>
          <w:p>
            <w:pPr>
              <w:ind w:left="300"/>
              <w:spacing w:after="0"/>
              <w:rPr>
                <w:sz w:val="20"/>
                <w:szCs w:val="20"/>
                <w:color w:val="auto"/>
              </w:rPr>
            </w:pPr>
            <w:r>
              <w:rPr>
                <w:rFonts w:ascii="Arial" w:cs="Arial" w:eastAsia="Arial" w:hAnsi="Arial"/>
                <w:sz w:val="15"/>
                <w:szCs w:val="15"/>
                <w:color w:val="auto"/>
              </w:rPr>
              <w:t>Confidentiality applies (default) OR</w:t>
            </w: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tcBorders>
            <w:gridSpan w:val="3"/>
          </w:tcPr>
          <w:p>
            <w:pPr>
              <w:ind w:left="80"/>
              <w:spacing w:after="0" w:line="164" w:lineRule="exact"/>
              <w:rPr>
                <w:sz w:val="20"/>
                <w:szCs w:val="20"/>
                <w:color w:val="auto"/>
              </w:rPr>
            </w:pPr>
            <w:r>
              <w:rPr>
                <w:rFonts w:ascii="Arial" w:cs="Arial" w:eastAsia="Arial" w:hAnsi="Arial"/>
                <w:sz w:val="15"/>
                <w:szCs w:val="15"/>
                <w:color w:val="auto"/>
              </w:rPr>
              <w:t>Method of</w:t>
            </w:r>
          </w:p>
        </w:tc>
        <w:tc>
          <w:tcPr>
            <w:tcW w:w="2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3500" w:type="dxa"/>
            <w:vAlign w:val="bottom"/>
            <w:tcBorders>
              <w:right w:val="single" w:sz="8" w:color="auto"/>
            </w:tcBorders>
            <w:vMerge w:val="restart"/>
          </w:tcPr>
          <w:p>
            <w:pPr>
              <w:ind w:left="420"/>
              <w:spacing w:after="0"/>
              <w:rPr>
                <w:sz w:val="20"/>
                <w:szCs w:val="20"/>
                <w:color w:val="auto"/>
              </w:rPr>
            </w:pPr>
            <w:r>
              <w:rPr>
                <w:rFonts w:ascii="Arial" w:cs="Arial" w:eastAsia="Arial" w:hAnsi="Arial"/>
                <w:sz w:val="15"/>
                <w:szCs w:val="15"/>
                <w:color w:val="auto"/>
              </w:rPr>
              <w:t>Wire transfer (default)</w:t>
            </w:r>
          </w:p>
        </w:tc>
        <w:tc>
          <w:tcPr>
            <w:tcW w:w="1140" w:type="dxa"/>
            <w:vAlign w:val="bottom"/>
          </w:tcPr>
          <w:p>
            <w:pPr>
              <w:ind w:left="40"/>
              <w:spacing w:after="0" w:line="164" w:lineRule="exact"/>
              <w:rPr>
                <w:sz w:val="20"/>
                <w:szCs w:val="20"/>
                <w:color w:val="auto"/>
              </w:rPr>
            </w:pPr>
            <w:r>
              <w:rPr>
                <w:rFonts w:ascii="Arial" w:cs="Arial" w:eastAsia="Arial" w:hAnsi="Arial"/>
                <w:sz w:val="15"/>
                <w:szCs w:val="15"/>
                <w:color w:val="auto"/>
              </w:rPr>
              <w:t>Confidentiality</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Borders>
              <w:right w:val="single" w:sz="8" w:color="auto"/>
            </w:tcBorders>
            <w:gridSpan w:val="6"/>
            <w:vMerge w:val="restart"/>
          </w:tcPr>
          <w:p>
            <w:pPr>
              <w:ind w:left="20"/>
              <w:spacing w:after="0"/>
              <w:rPr>
                <w:sz w:val="20"/>
                <w:szCs w:val="20"/>
                <w:color w:val="auto"/>
              </w:rPr>
            </w:pPr>
            <w:r>
              <w:rPr>
                <w:rFonts w:ascii="Arial" w:cs="Arial" w:eastAsia="Arial" w:hAnsi="Arial"/>
                <w:sz w:val="15"/>
                <w:szCs w:val="15"/>
                <w:color w:val="auto"/>
              </w:rPr>
              <w:t>Confidentiality does not apply</w:t>
            </w:r>
          </w:p>
        </w:tc>
        <w:tc>
          <w:tcPr>
            <w:tcW w:w="0" w:type="dxa"/>
            <w:vAlign w:val="bottom"/>
          </w:tcPr>
          <w:p>
            <w:pPr>
              <w:spacing w:after="0"/>
              <w:rPr>
                <w:sz w:val="1"/>
                <w:szCs w:val="1"/>
                <w:color w:val="auto"/>
              </w:rPr>
            </w:pPr>
          </w:p>
        </w:tc>
      </w:tr>
      <w:tr>
        <w:trPr>
          <w:trHeight w:val="123"/>
        </w:trPr>
        <w:tc>
          <w:tcPr>
            <w:tcW w:w="182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Payment</w:t>
            </w:r>
          </w:p>
        </w:tc>
        <w:tc>
          <w:tcPr>
            <w:tcW w:w="2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3500" w:type="dxa"/>
            <w:vAlign w:val="bottom"/>
            <w:tcBorders>
              <w:right w:val="single" w:sz="8" w:color="auto"/>
            </w:tcBorders>
            <w:vMerge w:val="continue"/>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380" w:type="dxa"/>
            <w:vAlign w:val="bottom"/>
            <w:tcBorders>
              <w:right w:val="single" w:sz="8" w:color="auto"/>
            </w:tcBorders>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820" w:type="dxa"/>
            <w:vAlign w:val="bottom"/>
            <w:tcBorders>
              <w:lef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5"/>
                <w:szCs w:val="15"/>
                <w:color w:val="auto"/>
              </w:rPr>
              <w:t>Automated Clearinghouse Credit (ACH) Check</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00" w:type="dxa"/>
            <w:vAlign w:val="bottom"/>
            <w:tcBorders>
              <w:right w:val="single" w:sz="8" w:color="auto"/>
            </w:tcBorders>
            <w:vMerge w:val="continue"/>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26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1820" w:type="dxa"/>
            <w:vAlign w:val="bottom"/>
            <w:tcBorders>
              <w:left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Section 7.7</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350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Netting applies (default) OR</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20" w:type="dxa"/>
            <w:vAlign w:val="bottom"/>
            <w:tcBorders>
              <w:left w:val="single" w:sz="8" w:color="auto"/>
            </w:tcBorders>
            <w:gridSpan w:val="3"/>
          </w:tcPr>
          <w:p>
            <w:pPr>
              <w:ind w:left="80"/>
              <w:spacing w:after="0"/>
              <w:rPr>
                <w:sz w:val="20"/>
                <w:szCs w:val="20"/>
                <w:color w:val="auto"/>
              </w:rPr>
            </w:pPr>
            <w:r>
              <w:rPr>
                <w:rFonts w:ascii="Arial" w:cs="Arial" w:eastAsia="Arial" w:hAnsi="Arial"/>
                <w:sz w:val="15"/>
                <w:szCs w:val="15"/>
                <w:color w:val="auto"/>
              </w:rPr>
              <w:t>Netting</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5"/>
                <w:szCs w:val="15"/>
                <w:color w:val="auto"/>
              </w:rPr>
              <w:t>Netting does not apply</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260" w:type="dxa"/>
            <w:vAlign w:val="bottom"/>
            <w:tcBorders>
              <w:left w:val="single" w:sz="8" w:color="auto"/>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5640" w:type="dxa"/>
            <w:vAlign w:val="bottom"/>
            <w:tcBorders>
              <w:left w:val="single" w:sz="8" w:color="auto"/>
            </w:tcBorders>
            <w:gridSpan w:val="6"/>
          </w:tcPr>
          <w:p>
            <w:pPr>
              <w:ind w:left="440"/>
              <w:spacing w:after="0"/>
              <w:rPr>
                <w:sz w:val="20"/>
                <w:szCs w:val="20"/>
                <w:color w:val="auto"/>
              </w:rPr>
            </w:pPr>
            <w:r>
              <w:rPr>
                <w:rFonts w:ascii="Arial" w:cs="Arial" w:eastAsia="Arial" w:hAnsi="Arial"/>
                <w:sz w:val="15"/>
                <w:szCs w:val="15"/>
                <w:b w:val="1"/>
                <w:bCs w:val="1"/>
                <w:color w:val="auto"/>
              </w:rPr>
              <w:t xml:space="preserve">Special Provisions </w:t>
            </w:r>
            <w:r>
              <w:rPr>
                <w:rFonts w:ascii="Arial" w:cs="Arial" w:eastAsia="Arial" w:hAnsi="Arial"/>
                <w:sz w:val="15"/>
                <w:szCs w:val="15"/>
                <w:color w:val="auto"/>
              </w:rPr>
              <w:t>Number of sheets attached:</w:t>
            </w:r>
            <w:r>
              <w:rPr>
                <w:rFonts w:ascii="Arial" w:cs="Arial" w:eastAsia="Arial" w:hAnsi="Arial"/>
                <w:sz w:val="15"/>
                <w:szCs w:val="15"/>
                <w:b w:val="1"/>
                <w:bCs w:val="1"/>
                <w:color w:val="auto"/>
              </w:rPr>
              <w:t xml:space="preserve"> None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auto"/>
            </w:tcBorders>
            <w:gridSpan w:val="3"/>
          </w:tcPr>
          <w:p>
            <w:pPr>
              <w:ind w:left="220"/>
              <w:spacing w:after="0" w:line="164" w:lineRule="exact"/>
              <w:rPr>
                <w:sz w:val="20"/>
                <w:szCs w:val="20"/>
                <w:color w:val="auto"/>
              </w:rPr>
            </w:pPr>
            <w:r>
              <w:rPr>
                <w:rFonts w:ascii="Arial" w:cs="Arial" w:eastAsia="Arial" w:hAnsi="Arial"/>
                <w:sz w:val="15"/>
                <w:szCs w:val="15"/>
                <w:b w:val="1"/>
                <w:bCs w:val="1"/>
                <w:color w:val="auto"/>
              </w:rPr>
              <w:t>Addendum(s):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-6760210</wp:posOffset>
            </wp:positionV>
            <wp:extent cx="132715" cy="101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-6760210</wp:posOffset>
            </wp:positionV>
            <wp:extent cx="132715" cy="101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-6353175</wp:posOffset>
            </wp:positionV>
            <wp:extent cx="132715" cy="2114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132715" cy="2114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-5938520</wp:posOffset>
            </wp:positionV>
            <wp:extent cx="132715" cy="101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-6142355</wp:posOffset>
            </wp:positionV>
            <wp:extent cx="132715" cy="101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-5766435</wp:posOffset>
            </wp:positionV>
            <wp:extent cx="132715" cy="101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-5610225</wp:posOffset>
            </wp:positionV>
            <wp:extent cx="132715" cy="101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-5054600</wp:posOffset>
            </wp:positionV>
            <wp:extent cx="132715" cy="101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-4835525</wp:posOffset>
            </wp:positionV>
            <wp:extent cx="132715" cy="101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-4264025</wp:posOffset>
            </wp:positionV>
            <wp:extent cx="132715" cy="101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-3622675</wp:posOffset>
            </wp:positionV>
            <wp:extent cx="132715" cy="101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-4256405</wp:posOffset>
            </wp:positionV>
            <wp:extent cx="132715" cy="101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-3958590</wp:posOffset>
            </wp:positionV>
            <wp:extent cx="1784350" cy="101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1784350" cy="10160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-2542540</wp:posOffset>
            </wp:positionV>
            <wp:extent cx="132715" cy="101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-2292350</wp:posOffset>
            </wp:positionV>
            <wp:extent cx="132715" cy="101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-1619250</wp:posOffset>
            </wp:positionV>
            <wp:extent cx="132715" cy="101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-1282700</wp:posOffset>
            </wp:positionV>
            <wp:extent cx="132715" cy="2114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132715" cy="21145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-1172845</wp:posOffset>
            </wp:positionV>
            <wp:extent cx="132715" cy="101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-601980</wp:posOffset>
            </wp:positionV>
            <wp:extent cx="132715" cy="101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-398780</wp:posOffset>
            </wp:positionV>
            <wp:extent cx="132715" cy="2190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132715" cy="219075"/>
                    </a:xfrm>
                    <a:prstGeom prst="rect">
                      <a:avLst/>
                    </a:prstGeom>
                    <a:noFill/>
                  </pic:spPr>
                </pic:pic>
              </a:graphicData>
            </a:graphic>
          </wp:anchor>
        </w:drawing>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WITNESS WHEREOF, the parties hereto have executed this Base Contract in duplicate.</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620" w:type="dxa"/>
            <w:vAlign w:val="bottom"/>
            <w:vMerge w:val="restart"/>
          </w:tcPr>
          <w:p>
            <w:pPr>
              <w:ind w:left="340"/>
              <w:spacing w:after="0"/>
              <w:rPr>
                <w:sz w:val="20"/>
                <w:szCs w:val="20"/>
                <w:color w:val="auto"/>
              </w:rPr>
            </w:pPr>
            <w:r>
              <w:rPr>
                <w:rFonts w:ascii="Arial" w:cs="Arial" w:eastAsia="Arial" w:hAnsi="Arial"/>
                <w:sz w:val="13"/>
                <w:szCs w:val="13"/>
                <w:color w:val="auto"/>
              </w:rPr>
              <w:t>All Rights Reserved</w:t>
            </w:r>
          </w:p>
        </w:tc>
        <w:tc>
          <w:tcPr>
            <w:tcW w:w="880" w:type="dxa"/>
            <w:vAlign w:val="bottom"/>
            <w:vMerge w:val="restart"/>
          </w:tcPr>
          <w:p>
            <w:pPr>
              <w:ind w:left="120"/>
              <w:spacing w:after="0"/>
              <w:rPr>
                <w:sz w:val="20"/>
                <w:szCs w:val="20"/>
                <w:color w:val="auto"/>
              </w:rPr>
            </w:pPr>
            <w:r>
              <w:rPr>
                <w:rFonts w:ascii="Arial" w:cs="Arial" w:eastAsia="Arial" w:hAnsi="Arial"/>
                <w:sz w:val="13"/>
                <w:szCs w:val="13"/>
                <w:color w:val="auto"/>
              </w:rPr>
              <w:t>Page 2 of 13</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40" w:top="173" w:right="57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80" w:type="dxa"/>
            <w:vAlign w:val="bottom"/>
            <w:tcBorders>
              <w:right w:val="single" w:sz="8" w:color="auto"/>
            </w:tcBorders>
          </w:tcPr>
          <w:p>
            <w:pPr>
              <w:spacing w:after="0"/>
              <w:rPr>
                <w:sz w:val="22"/>
                <w:szCs w:val="22"/>
                <w:color w:val="auto"/>
              </w:rPr>
            </w:pPr>
          </w:p>
        </w:tc>
        <w:tc>
          <w:tcPr>
            <w:tcW w:w="388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3"/>
                <w:szCs w:val="13"/>
                <w:b w:val="1"/>
                <w:bCs w:val="1"/>
                <w:color w:val="auto"/>
              </w:rPr>
              <w:t>Richmond Energy LLC</w:t>
            </w:r>
          </w:p>
        </w:tc>
        <w:tc>
          <w:tcPr>
            <w:tcW w:w="780" w:type="dxa"/>
            <w:vAlign w:val="bottom"/>
            <w:tcBorders>
              <w:top w:val="single" w:sz="8" w:color="auto"/>
              <w:bottom w:val="single" w:sz="8" w:color="auto"/>
              <w:right w:val="single" w:sz="8" w:color="auto"/>
            </w:tcBorders>
          </w:tcPr>
          <w:p>
            <w:pPr>
              <w:spacing w:after="0"/>
              <w:rPr>
                <w:sz w:val="22"/>
                <w:szCs w:val="22"/>
                <w:color w:val="auto"/>
              </w:rPr>
            </w:pP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6"/>
              </w:rPr>
              <w:t>PARTY NAME</w:t>
            </w:r>
          </w:p>
        </w:tc>
        <w:tc>
          <w:tcPr>
            <w:tcW w:w="5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tcPr>
          <w:p>
            <w:pPr>
              <w:jc w:val="right"/>
              <w:ind w:right="1374"/>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4"/>
        </w:trPr>
        <w:tc>
          <w:tcPr>
            <w:tcW w:w="180" w:type="dxa"/>
            <w:vAlign w:val="bottom"/>
            <w:tcBorders>
              <w:right w:val="single" w:sz="8" w:color="auto"/>
            </w:tcBorders>
          </w:tcPr>
          <w:p>
            <w:pPr>
              <w:spacing w:after="0"/>
              <w:rPr>
                <w:sz w:val="24"/>
                <w:szCs w:val="24"/>
                <w:color w:val="auto"/>
              </w:rPr>
            </w:pP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By: /s/ Jonathan Maurer</w:t>
            </w:r>
          </w:p>
        </w:tc>
        <w:tc>
          <w:tcPr>
            <w:tcW w:w="7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0"/>
                <w:szCs w:val="10"/>
                <w:b w:val="1"/>
                <w:bCs w:val="1"/>
                <w:i w:val="1"/>
                <w:iCs w:val="1"/>
                <w:color w:val="auto"/>
                <w:w w:val="98"/>
              </w:rPr>
              <w:t>SIGNATURE</w:t>
            </w: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w:t>
            </w:r>
          </w:p>
        </w:tc>
        <w:tc>
          <w:tcPr>
            <w:tcW w:w="1420" w:type="dxa"/>
            <w:vAlign w:val="bottom"/>
            <w:tcBorders>
              <w:bottom w:val="single" w:sz="8" w:color="auto"/>
            </w:tcBorders>
          </w:tcPr>
          <w:p>
            <w:pPr>
              <w:jc w:val="right"/>
              <w:ind w:right="854"/>
              <w:spacing w:after="0"/>
              <w:rPr>
                <w:sz w:val="20"/>
                <w:szCs w:val="20"/>
                <w:color w:val="auto"/>
              </w:rPr>
            </w:pPr>
            <w:r>
              <w:rPr>
                <w:rFonts w:ascii="Arial" w:cs="Arial" w:eastAsia="Arial" w:hAnsi="Arial"/>
                <w:sz w:val="13"/>
                <w:szCs w:val="13"/>
                <w:color w:val="auto"/>
              </w:rPr>
              <w:t>By: [***]</w:t>
            </w:r>
          </w:p>
        </w:tc>
        <w:tc>
          <w:tcPr>
            <w:tcW w:w="18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80" w:type="dxa"/>
            <w:vAlign w:val="bottom"/>
            <w:tcBorders>
              <w:right w:val="single" w:sz="8" w:color="auto"/>
            </w:tcBorders>
          </w:tcPr>
          <w:p>
            <w:pPr>
              <w:spacing w:after="0"/>
              <w:rPr>
                <w:sz w:val="21"/>
                <w:szCs w:val="21"/>
                <w:color w:val="auto"/>
              </w:rPr>
            </w:pPr>
          </w:p>
        </w:tc>
        <w:tc>
          <w:tcPr>
            <w:tcW w:w="3880" w:type="dxa"/>
            <w:vAlign w:val="bottom"/>
            <w:tcBorders>
              <w:bottom w:val="single" w:sz="8" w:color="auto"/>
            </w:tcBorders>
          </w:tcPr>
          <w:p>
            <w:pPr>
              <w:jc w:val="center"/>
              <w:ind w:left="674"/>
              <w:spacing w:after="0"/>
              <w:rPr>
                <w:sz w:val="20"/>
                <w:szCs w:val="20"/>
                <w:color w:val="auto"/>
              </w:rPr>
            </w:pPr>
            <w:r>
              <w:rPr>
                <w:rFonts w:ascii="Arial" w:cs="Arial" w:eastAsia="Arial" w:hAnsi="Arial"/>
                <w:sz w:val="13"/>
                <w:szCs w:val="13"/>
                <w:b w:val="1"/>
                <w:bCs w:val="1"/>
                <w:color w:val="auto"/>
              </w:rPr>
              <w:t>Jonathan Maurer</w:t>
            </w:r>
          </w:p>
        </w:tc>
        <w:tc>
          <w:tcPr>
            <w:tcW w:w="78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9"/>
              </w:rPr>
              <w:t>PRINTED NAME</w:t>
            </w: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w:t>
            </w:r>
          </w:p>
        </w:tc>
        <w:tc>
          <w:tcPr>
            <w:tcW w:w="18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80" w:type="dxa"/>
            <w:vAlign w:val="bottom"/>
            <w:tcBorders>
              <w:right w:val="single" w:sz="8" w:color="auto"/>
            </w:tcBorders>
          </w:tcPr>
          <w:p>
            <w:pPr>
              <w:spacing w:after="0"/>
              <w:rPr>
                <w:sz w:val="21"/>
                <w:szCs w:val="21"/>
                <w:color w:val="auto"/>
              </w:rPr>
            </w:pPr>
          </w:p>
        </w:tc>
        <w:tc>
          <w:tcPr>
            <w:tcW w:w="3880" w:type="dxa"/>
            <w:vAlign w:val="bottom"/>
            <w:tcBorders>
              <w:bottom w:val="single" w:sz="8" w:color="auto"/>
            </w:tcBorders>
          </w:tcPr>
          <w:p>
            <w:pPr>
              <w:jc w:val="center"/>
              <w:ind w:left="674"/>
              <w:spacing w:after="0"/>
              <w:rPr>
                <w:sz w:val="20"/>
                <w:szCs w:val="20"/>
                <w:color w:val="auto"/>
              </w:rPr>
            </w:pPr>
            <w:r>
              <w:rPr>
                <w:rFonts w:ascii="Arial" w:cs="Arial" w:eastAsia="Arial" w:hAnsi="Arial"/>
                <w:sz w:val="13"/>
                <w:szCs w:val="13"/>
                <w:b w:val="1"/>
                <w:bCs w:val="1"/>
                <w:color w:val="auto"/>
              </w:rPr>
              <w:t>CO-CEO</w:t>
            </w:r>
          </w:p>
        </w:tc>
        <w:tc>
          <w:tcPr>
            <w:tcW w:w="78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rPr>
              <w:t>TITLE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ind w:right="994"/>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060" w:type="dxa"/>
            <w:vAlign w:val="bottom"/>
            <w:gridSpan w:val="2"/>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80" w:type="dxa"/>
            <w:vAlign w:val="bottom"/>
            <w:gridSpan w:val="2"/>
          </w:tcPr>
          <w:p>
            <w:pPr>
              <w:jc w:val="right"/>
              <w:ind w:right="74"/>
              <w:spacing w:after="0"/>
              <w:rPr>
                <w:sz w:val="20"/>
                <w:szCs w:val="20"/>
                <w:color w:val="auto"/>
              </w:rPr>
            </w:pPr>
            <w:r>
              <w:rPr>
                <w:rFonts w:ascii="Arial" w:cs="Arial" w:eastAsia="Arial" w:hAnsi="Arial"/>
                <w:sz w:val="13"/>
                <w:szCs w:val="13"/>
                <w:color w:val="auto"/>
              </w:rPr>
              <w:t>NAESB Standard 6.3.1</w:t>
            </w:r>
          </w:p>
        </w:tc>
        <w:tc>
          <w:tcPr>
            <w:tcW w:w="1820" w:type="dxa"/>
            <w:vAlign w:val="bottom"/>
            <w:vMerge w:val="restart"/>
          </w:tcPr>
          <w:p>
            <w:pPr>
              <w:jc w:val="right"/>
              <w:ind w:right="54"/>
              <w:spacing w:after="0"/>
              <w:rPr>
                <w:sz w:val="20"/>
                <w:szCs w:val="20"/>
                <w:color w:val="auto"/>
              </w:rPr>
            </w:pPr>
            <w:r>
              <w:rPr>
                <w:rFonts w:ascii="Arial" w:cs="Arial" w:eastAsia="Arial" w:hAnsi="Arial"/>
                <w:sz w:val="13"/>
                <w:szCs w:val="13"/>
                <w:color w:val="auto"/>
              </w:rPr>
              <w:t>All Rights Reserved</w:t>
            </w:r>
          </w:p>
        </w:tc>
        <w:tc>
          <w:tcPr>
            <w:tcW w:w="880" w:type="dxa"/>
            <w:vAlign w:val="bottom"/>
            <w:gridSpan w:val="2"/>
            <w:vMerge w:val="restart"/>
          </w:tcPr>
          <w:p>
            <w:pPr>
              <w:ind w:left="120"/>
              <w:spacing w:after="0"/>
              <w:rPr>
                <w:sz w:val="20"/>
                <w:szCs w:val="20"/>
                <w:color w:val="auto"/>
              </w:rPr>
            </w:pPr>
            <w:r>
              <w:rPr>
                <w:rFonts w:ascii="Arial" w:cs="Arial" w:eastAsia="Arial" w:hAnsi="Arial"/>
                <w:sz w:val="13"/>
                <w:szCs w:val="13"/>
                <w:color w:val="auto"/>
              </w:rPr>
              <w:t>Page 2 of 13</w:t>
            </w:r>
          </w:p>
        </w:tc>
        <w:tc>
          <w:tcPr>
            <w:tcW w:w="0" w:type="dxa"/>
            <w:vAlign w:val="bottom"/>
          </w:tcPr>
          <w:p>
            <w:pPr>
              <w:spacing w:after="0"/>
              <w:rPr>
                <w:sz w:val="1"/>
                <w:szCs w:val="1"/>
                <w:color w:val="auto"/>
              </w:rPr>
            </w:pPr>
          </w:p>
        </w:tc>
      </w:tr>
      <w:tr>
        <w:trPr>
          <w:trHeight w:val="165"/>
        </w:trPr>
        <w:tc>
          <w:tcPr>
            <w:tcW w:w="4060" w:type="dxa"/>
            <w:vAlign w:val="bottom"/>
            <w:gridSpan w:val="2"/>
            <w:vMerge w:val="continue"/>
          </w:tcPr>
          <w:p>
            <w:pPr>
              <w:spacing w:after="0"/>
              <w:rPr>
                <w:sz w:val="14"/>
                <w:szCs w:val="14"/>
                <w:color w:val="auto"/>
              </w:rPr>
            </w:pPr>
          </w:p>
        </w:tc>
        <w:tc>
          <w:tcPr>
            <w:tcW w:w="4200" w:type="dxa"/>
            <w:vAlign w:val="bottom"/>
            <w:gridSpan w:val="4"/>
          </w:tcPr>
          <w:p>
            <w:pPr>
              <w:jc w:val="right"/>
              <w:ind w:right="94"/>
              <w:spacing w:after="0"/>
              <w:rPr>
                <w:sz w:val="20"/>
                <w:szCs w:val="20"/>
                <w:color w:val="auto"/>
              </w:rPr>
            </w:pPr>
            <w:r>
              <w:rPr>
                <w:rFonts w:ascii="Arial" w:cs="Arial" w:eastAsia="Arial" w:hAnsi="Arial"/>
                <w:sz w:val="13"/>
                <w:szCs w:val="13"/>
                <w:color w:val="auto"/>
              </w:rPr>
              <w:t>September 5, 2006 (Revised by R15003/R15007, April 4, 2016)</w:t>
            </w:r>
          </w:p>
        </w:tc>
        <w:tc>
          <w:tcPr>
            <w:tcW w:w="18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-414655</wp:posOffset>
            </wp:positionV>
            <wp:extent cx="558736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5587365" cy="7620"/>
                    </a:xfrm>
                    <a:prstGeom prst="rect">
                      <a:avLst/>
                    </a:prstGeom>
                    <a:noFill/>
                  </pic:spPr>
                </pic:pic>
              </a:graphicData>
            </a:graphic>
          </wp:anchor>
        </w:drawing>
      </w:r>
    </w:p>
    <w:p>
      <w:pPr>
        <w:sectPr>
          <w:pgSz w:w="11900" w:h="16838" w:orient="portrait"/>
          <w:cols w:equalWidth="0" w:num="1">
            <w:col w:w="10980"/>
          </w:cols>
          <w:pgMar w:left="340" w:top="173" w:right="57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39"/>
        <w:spacing w:after="0"/>
        <w:rPr>
          <w:sz w:val="20"/>
          <w:szCs w:val="20"/>
          <w:color w:val="auto"/>
        </w:rPr>
      </w:pPr>
      <w:r>
        <w:rPr>
          <w:rFonts w:ascii="Arial" w:cs="Arial" w:eastAsia="Arial" w:hAnsi="Arial"/>
          <w:sz w:val="23"/>
          <w:szCs w:val="23"/>
          <w:color w:val="auto"/>
        </w:rPr>
        <w:t>General Terms and Conditions</w:t>
      </w:r>
    </w:p>
    <w:p>
      <w:pPr>
        <w:jc w:val="center"/>
        <w:ind w:right="-439"/>
        <w:spacing w:after="0"/>
        <w:rPr>
          <w:sz w:val="20"/>
          <w:szCs w:val="20"/>
          <w:color w:val="auto"/>
        </w:rPr>
      </w:pPr>
      <w:r>
        <w:rPr>
          <w:rFonts w:ascii="Arial" w:cs="Arial" w:eastAsia="Arial" w:hAnsi="Arial"/>
          <w:sz w:val="23"/>
          <w:szCs w:val="23"/>
          <w:color w:val="auto"/>
        </w:rPr>
        <w:t>Base Contract for Sale and Purchase of Natural Gas</w:t>
      </w:r>
    </w:p>
    <w:p>
      <w:pPr>
        <w:spacing w:after="0" w:line="175"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1.</w:t>
      </w:r>
      <w:r>
        <w:rPr>
          <w:sz w:val="20"/>
          <w:szCs w:val="20"/>
          <w:color w:val="auto"/>
        </w:rPr>
        <w:tab/>
      </w:r>
      <w:r>
        <w:rPr>
          <w:rFonts w:ascii="Arial" w:cs="Arial" w:eastAsia="Arial" w:hAnsi="Arial"/>
          <w:sz w:val="18"/>
          <w:szCs w:val="18"/>
          <w:color w:val="auto"/>
        </w:rPr>
        <w:t>PURPOSE AND PROCEDURES</w:t>
      </w:r>
    </w:p>
    <w:p>
      <w:pPr>
        <w:spacing w:after="0" w:line="45" w:lineRule="exact"/>
        <w:rPr>
          <w:sz w:val="20"/>
          <w:szCs w:val="20"/>
          <w:color w:val="auto"/>
        </w:rPr>
      </w:pPr>
    </w:p>
    <w:p>
      <w:pPr>
        <w:jc w:val="both"/>
        <w:ind w:left="500"/>
        <w:spacing w:after="0" w:line="259"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4"/>
          <w:szCs w:val="14"/>
          <w:color w:val="auto"/>
        </w:rPr>
        <w:t>These General Terms and Conditions are intended to facilitate purchase and sale transactions of Gas on a Firm or Interruptible basis. "Buyer" refers to</w:t>
      </w:r>
      <w:r>
        <w:rPr>
          <w:rFonts w:ascii="Arial" w:cs="Arial" w:eastAsia="Arial" w:hAnsi="Arial"/>
          <w:sz w:val="16"/>
          <w:szCs w:val="16"/>
          <w:color w:val="auto"/>
        </w:rPr>
        <w:t xml:space="preserve"> </w:t>
      </w:r>
      <w:r>
        <w:rPr>
          <w:rFonts w:ascii="Arial" w:cs="Arial" w:eastAsia="Arial" w:hAnsi="Arial"/>
          <w:sz w:val="14"/>
          <w:szCs w:val="14"/>
          <w:color w:val="auto"/>
        </w:rPr>
        <w:t>the party receiving Gas and "Seller" refers to the party delivering Gas. The entire agreement between the parties shall be the Contract as defined in Section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123825</wp:posOffset>
            </wp:positionV>
            <wp:extent cx="6103620" cy="255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6103620" cy="2559050"/>
                    </a:xfrm>
                    <a:prstGeom prst="rect">
                      <a:avLst/>
                    </a:prstGeom>
                    <a:noFill/>
                  </pic:spPr>
                </pic:pic>
              </a:graphicData>
            </a:graphic>
          </wp:anchor>
        </w:drawing>
      </w:r>
    </w:p>
    <w:p>
      <w:pPr>
        <w:spacing w:after="0" w:line="183" w:lineRule="exact"/>
        <w:rPr>
          <w:sz w:val="20"/>
          <w:szCs w:val="20"/>
          <w:color w:val="auto"/>
        </w:rPr>
      </w:pPr>
    </w:p>
    <w:p>
      <w:pPr>
        <w:ind w:left="620" w:right="920"/>
        <w:spacing w:after="0" w:line="252" w:lineRule="auto"/>
        <w:rPr>
          <w:sz w:val="20"/>
          <w:szCs w:val="20"/>
          <w:color w:val="auto"/>
        </w:rPr>
      </w:pPr>
      <w:r>
        <w:rPr>
          <w:rFonts w:ascii="Arial" w:cs="Arial" w:eastAsia="Arial" w:hAnsi="Arial"/>
          <w:sz w:val="15"/>
          <w:szCs w:val="15"/>
          <w:b w:val="1"/>
          <w:bCs w:val="1"/>
          <w:color w:val="auto"/>
        </w:rPr>
        <w:t>The parties have selected either the “Oral Transaction Procedure” or the “Written Transaction Procedure” as indicated on the Base Contract.</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Oral Transaction Procedure:</w:t>
      </w:r>
    </w:p>
    <w:p>
      <w:pPr>
        <w:spacing w:after="0" w:line="127" w:lineRule="exact"/>
        <w:rPr>
          <w:sz w:val="20"/>
          <w:szCs w:val="20"/>
          <w:color w:val="auto"/>
        </w:rPr>
      </w:pPr>
    </w:p>
    <w:p>
      <w:pPr>
        <w:ind w:left="620" w:right="74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4"/>
          <w:szCs w:val="14"/>
          <w:color w:val="auto"/>
        </w:rPr>
        <w:t>The parties will use the following Transaction Confirmation procedure. Any Gas purchase and sale transaction may be effectuated in an</w:t>
      </w:r>
      <w:r>
        <w:rPr>
          <w:rFonts w:ascii="Arial" w:cs="Arial" w:eastAsia="Arial" w:hAnsi="Arial"/>
          <w:sz w:val="16"/>
          <w:szCs w:val="16"/>
          <w:color w:val="auto"/>
        </w:rPr>
        <w:t xml:space="preserve"> </w:t>
      </w:r>
      <w:r>
        <w:rPr>
          <w:rFonts w:ascii="Arial" w:cs="Arial" w:eastAsia="Arial" w:hAnsi="Arial"/>
          <w:sz w:val="14"/>
          <w:szCs w:val="14"/>
          <w:color w:val="auto"/>
        </w:rPr>
        <w:t>EDI transmission or telephone conversation with the offer and acceptance constituting the agreement of the parties. The parties shall be legally bound from the time they so agree to transaction terms and may each rely thereon. Any such transaction shall be considered a “writing” and to have been “signed”. Notwithstanding the foregoing sentence, the parties agree that Confirming Party shall, and the other party may, confirm a telephonic transaction by sending the other party a Transaction Confirmation by facsimile, EDI or mutually agreeable electronic means within three Business Days of a transaction covered by this Section 1.2 (Oral Transaction Procedure) provided that the failure to send a Transaction Confirmation shall not invalidate the oral agreement of the parties. Confirming Party adopts its confirming letterhead, or the like, as its signature on any Transaction Confirmation as the identification and authentication of Confirming Party. If the Transaction Confirmation contains any provisions other than those relating to the commercial terms of the transaction (i.e., price, quantity, performance obligation, delivery point, period of delivery and/or transportation conditions), which modify or supplement the Base Contract or General Terms and Conditions of this Contract (e.g., arbitration or additional representations and warranties), such provisions shall not be deemed to be accepted pursuant to Section 1.3 but must be expressly agreed to by both parties; provided that the foregoing shall not invalidate any transaction agreed to by the parties.</w:t>
      </w:r>
    </w:p>
    <w:p>
      <w:pPr>
        <w:spacing w:after="0" w:line="100"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Written Transaction Procedure:</w:t>
      </w:r>
    </w:p>
    <w:p>
      <w:pPr>
        <w:spacing w:after="0" w:line="131" w:lineRule="exact"/>
        <w:rPr>
          <w:sz w:val="20"/>
          <w:szCs w:val="20"/>
          <w:color w:val="auto"/>
        </w:rPr>
      </w:pPr>
    </w:p>
    <w:p>
      <w:pPr>
        <w:jc w:val="both"/>
        <w:ind w:left="620" w:right="740"/>
        <w:spacing w:after="0" w:line="208" w:lineRule="auto"/>
        <w:rPr>
          <w:sz w:val="20"/>
          <w:szCs w:val="20"/>
          <w:color w:val="auto"/>
        </w:rPr>
      </w:pPr>
      <w:r>
        <w:rPr>
          <w:rFonts w:ascii="Arial" w:cs="Arial" w:eastAsia="Arial" w:hAnsi="Arial"/>
          <w:sz w:val="15"/>
          <w:szCs w:val="15"/>
          <w:color w:val="auto"/>
        </w:rPr>
        <w:t>1.2. The parties will use the following Transaction Confirmation procedure. Should the parties come to an agreement regarding a Gas purchase and sale transaction for a particular Delivery Period, the Confirming Party shall, and the other party may, record that agreement on a Transaction Confirmation and communicate such Transaction Confirmation by facsimile, EDI or mutually agreeable electronic means, to the other party by the close of the Business Day following the date of agreement. The parties acknowledge that their agreement will not be binding until the exchange of nonconflicting Transaction Confirmations or the</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passage of the Confirm Deadline without objection from the receiving party, as provided in Section 1.3.</w:t>
      </w:r>
    </w:p>
    <w:p>
      <w:pPr>
        <w:spacing w:after="0" w:line="146"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color w:val="auto"/>
        </w:rPr>
        <w:t>If a sending party's Transaction Confirmation is materially different from the receiving party's understanding of the agreement referred to in Section</w:t>
      </w:r>
    </w:p>
    <w:p>
      <w:pPr>
        <w:spacing w:after="0" w:line="3" w:lineRule="exact"/>
        <w:rPr>
          <w:sz w:val="20"/>
          <w:szCs w:val="20"/>
          <w:color w:val="auto"/>
        </w:rPr>
      </w:pPr>
    </w:p>
    <w:p>
      <w:pPr>
        <w:jc w:val="both"/>
        <w:ind w:left="500"/>
        <w:spacing w:after="0" w:line="205" w:lineRule="auto"/>
        <w:rPr>
          <w:sz w:val="20"/>
          <w:szCs w:val="20"/>
          <w:color w:val="auto"/>
        </w:rPr>
      </w:pPr>
      <w:r>
        <w:rPr>
          <w:rFonts w:ascii="Arial" w:cs="Arial" w:eastAsia="Arial" w:hAnsi="Arial"/>
          <w:sz w:val="15"/>
          <w:szCs w:val="15"/>
          <w:color w:val="auto"/>
        </w:rPr>
        <w:t>1.2, such receiving party shall notify the sending party via facsimile, EDI or mutually agreeable electronic means by the Confirm Deadline, unless such receiving party has previously sent a Transaction Confirmation to the sending party. The failure of the receiving party to so notify the sending party in writing by the Confirm Deadline constitutes the receiving party's agreement to the terms of the transaction described in the sending party's Transaction Confirmation. If there are any material differences between timely sent Transaction Confirmations governing the same transaction, then neither Transaction Confirmation shall be binding until or unless such differences are resolved including the use of any evidence that clearly resolves the differences in the Transaction Confirmations. In the event of a conflict among the terms of (i) a binding Transaction Confirmation pursuant to Section 1.2, (ii) the oral agreement of the parties which may be evidenced by a recorded conversation, where the parties have selected the Oral Transaction Procedure of the Base Contract,</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(iii) the Base Contract, and (iv) these General Terms and Conditions, the terms of the documents shall govern in the priority listed in this sentence.</w:t>
      </w:r>
    </w:p>
    <w:p>
      <w:pPr>
        <w:spacing w:after="0" w:line="35" w:lineRule="exact"/>
        <w:rPr>
          <w:sz w:val="20"/>
          <w:szCs w:val="20"/>
          <w:color w:val="auto"/>
        </w:rPr>
      </w:pPr>
    </w:p>
    <w:p>
      <w:pPr>
        <w:jc w:val="both"/>
        <w:ind w:left="500"/>
        <w:spacing w:after="0" w:line="260"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4"/>
          <w:szCs w:val="14"/>
          <w:color w:val="auto"/>
        </w:rPr>
        <w:t>The parties agree that each party may electronically record all telephone conversations with respect to this Contract between their respective</w:t>
      </w:r>
      <w:r>
        <w:rPr>
          <w:rFonts w:ascii="Arial" w:cs="Arial" w:eastAsia="Arial" w:hAnsi="Arial"/>
          <w:sz w:val="16"/>
          <w:szCs w:val="16"/>
          <w:color w:val="auto"/>
        </w:rPr>
        <w:t xml:space="preserve"> </w:t>
      </w:r>
      <w:r>
        <w:rPr>
          <w:rFonts w:ascii="Arial" w:cs="Arial" w:eastAsia="Arial" w:hAnsi="Arial"/>
          <w:sz w:val="14"/>
          <w:szCs w:val="14"/>
          <w:color w:val="auto"/>
        </w:rPr>
        <w:t>employees, without any special or further notice to the other party. Each party shall obtain any necessary consent of its agents and employees to such recording. Where the parties have selected the Oral Transaction Procedure in Section 1.2 of the Base Contract, the parties agree not to contest the validity or enforceability of telephonic recordings entered into in accordance with the requirements of this Base Contract.</w:t>
      </w:r>
    </w:p>
    <w:p>
      <w:pPr>
        <w:spacing w:after="0" w:line="40"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17"/>
          <w:szCs w:val="17"/>
          <w:color w:val="auto"/>
        </w:rPr>
        <w:t>DEFINITIONS</w:t>
      </w:r>
    </w:p>
    <w:p>
      <w:pPr>
        <w:spacing w:after="0" w:line="38" w:lineRule="exact"/>
        <w:rPr>
          <w:sz w:val="20"/>
          <w:szCs w:val="20"/>
          <w:color w:val="auto"/>
        </w:rPr>
      </w:pPr>
    </w:p>
    <w:p>
      <w:pPr>
        <w:jc w:val="both"/>
        <w:ind w:left="500"/>
        <w:spacing w:after="0" w:line="233" w:lineRule="auto"/>
        <w:rPr>
          <w:sz w:val="20"/>
          <w:szCs w:val="20"/>
          <w:color w:val="auto"/>
        </w:rPr>
      </w:pPr>
      <w:r>
        <w:rPr>
          <w:rFonts w:ascii="Arial" w:cs="Arial" w:eastAsia="Arial" w:hAnsi="Arial"/>
          <w:sz w:val="15"/>
          <w:szCs w:val="15"/>
          <w:color w:val="auto"/>
        </w:rPr>
        <w:t>The terms set forth below shall have the meaning ascribed to them below. Other terms are also defined elsewhere in the Contract and shall have the meanings ascribed to them herein.</w:t>
      </w:r>
    </w:p>
    <w:p>
      <w:pPr>
        <w:spacing w:after="0" w:line="18"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4"/>
          <w:szCs w:val="14"/>
          <w:color w:val="auto"/>
        </w:rPr>
        <w:t>“Additional Event of Default” shall mean Transactional Cross Default or Indebtedness Cross Default, each as and if selected by the parties</w:t>
      </w:r>
      <w:r>
        <w:rPr>
          <w:rFonts w:ascii="Arial" w:cs="Arial" w:eastAsia="Arial" w:hAnsi="Arial"/>
          <w:sz w:val="16"/>
          <w:szCs w:val="16"/>
          <w:color w:val="auto"/>
        </w:rPr>
        <w:t xml:space="preserve"> </w:t>
      </w:r>
      <w:r>
        <w:rPr>
          <w:rFonts w:ascii="Arial" w:cs="Arial" w:eastAsia="Arial" w:hAnsi="Arial"/>
          <w:sz w:val="14"/>
          <w:szCs w:val="14"/>
          <w:color w:val="auto"/>
        </w:rPr>
        <w:t>pursuant to the Base Contract.</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060" w:type="dxa"/>
            <w:vAlign w:val="bottom"/>
          </w:tcPr>
          <w:p>
            <w:pPr>
              <w:spacing w:after="0"/>
              <w:rPr>
                <w:sz w:val="20"/>
                <w:szCs w:val="20"/>
                <w:color w:val="auto"/>
              </w:rPr>
            </w:pPr>
            <w:r>
              <w:rPr>
                <w:rFonts w:ascii="Arial" w:cs="Arial" w:eastAsia="Arial" w:hAnsi="Arial"/>
                <w:sz w:val="13"/>
                <w:szCs w:val="13"/>
                <w:color w:val="auto"/>
              </w:rPr>
              <w:t>Page 3 of</w:t>
            </w:r>
          </w:p>
        </w:tc>
        <w:tc>
          <w:tcPr>
            <w:tcW w:w="4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356" w:lineRule="exact"/>
        <w:rPr>
          <w:sz w:val="20"/>
          <w:szCs w:val="20"/>
          <w:color w:val="auto"/>
        </w:rPr>
      </w:pPr>
    </w:p>
    <w:p>
      <w:pPr>
        <w:jc w:val="both"/>
        <w:ind w:left="500"/>
        <w:spacing w:after="0" w:line="27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4"/>
          <w:szCs w:val="14"/>
          <w:color w:val="auto"/>
        </w:rPr>
        <w:t>“Affiliate” shall mean, in relation to any person, any entity controlled, directly or indirectly, by the person, any entity that controls, directly or</w:t>
      </w:r>
      <w:r>
        <w:rPr>
          <w:rFonts w:ascii="Arial" w:cs="Arial" w:eastAsia="Arial" w:hAnsi="Arial"/>
          <w:sz w:val="16"/>
          <w:szCs w:val="16"/>
          <w:color w:val="auto"/>
        </w:rPr>
        <w:t xml:space="preserve"> </w:t>
      </w:r>
      <w:r>
        <w:rPr>
          <w:rFonts w:ascii="Arial" w:cs="Arial" w:eastAsia="Arial" w:hAnsi="Arial"/>
          <w:sz w:val="14"/>
          <w:szCs w:val="14"/>
          <w:color w:val="auto"/>
        </w:rPr>
        <w:t>indirectly, the person or any entity directly or indirectly under common control with the person. For this purpose, “control” of any entity or person means ownership of at least 50 percent of the voting power of the entity or person.</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0"/>
                <w:szCs w:val="20"/>
                <w:color w:val="auto"/>
              </w:rPr>
            </w:pPr>
            <w:r>
              <w:rPr>
                <w:rFonts w:ascii="Arial" w:cs="Arial" w:eastAsia="Arial" w:hAnsi="Arial"/>
                <w:sz w:val="13"/>
                <w:szCs w:val="13"/>
                <w:color w:val="auto"/>
              </w:rPr>
              <w:t>Page 4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4"/>
          <w:szCs w:val="14"/>
          <w:color w:val="auto"/>
        </w:rPr>
        <w:t>“Alternative Damages” shall mean such damages, expressed in dollars or dollars per MMBtu, as the parties shall agree upon in the Transaction</w:t>
      </w:r>
      <w:r>
        <w:rPr>
          <w:rFonts w:ascii="Arial" w:cs="Arial" w:eastAsia="Arial" w:hAnsi="Arial"/>
          <w:sz w:val="16"/>
          <w:szCs w:val="16"/>
          <w:color w:val="auto"/>
        </w:rPr>
        <w:t xml:space="preserve"> </w:t>
      </w:r>
      <w:r>
        <w:rPr>
          <w:rFonts w:ascii="Arial" w:cs="Arial" w:eastAsia="Arial" w:hAnsi="Arial"/>
          <w:sz w:val="14"/>
          <w:szCs w:val="14"/>
          <w:color w:val="auto"/>
        </w:rPr>
        <w:t>Confirmation, in the event either Seller or Buyer fails to perform a Firm obligation to deliver Gas in the case of Seller or to receive Gas in the case of Buyer.</w:t>
      </w:r>
    </w:p>
    <w:p>
      <w:pPr>
        <w:spacing w:after="0" w:line="17" w:lineRule="exact"/>
        <w:rPr>
          <w:sz w:val="20"/>
          <w:szCs w:val="20"/>
          <w:color w:val="auto"/>
        </w:rPr>
      </w:pPr>
    </w:p>
    <w:p>
      <w:pPr>
        <w:jc w:val="both"/>
        <w:ind w:left="500"/>
        <w:spacing w:after="0" w:line="27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4"/>
          <w:szCs w:val="14"/>
          <w:color w:val="auto"/>
        </w:rPr>
        <w:t>"Base Contract" shall mean a contract executed by the parties that incorporates these General Terms and Conditions by reference; that specifies</w:t>
      </w:r>
      <w:r>
        <w:rPr>
          <w:rFonts w:ascii="Arial" w:cs="Arial" w:eastAsia="Arial" w:hAnsi="Arial"/>
          <w:sz w:val="16"/>
          <w:szCs w:val="16"/>
          <w:color w:val="auto"/>
        </w:rPr>
        <w:t xml:space="preserve"> </w:t>
      </w:r>
      <w:r>
        <w:rPr>
          <w:rFonts w:ascii="Arial" w:cs="Arial" w:eastAsia="Arial" w:hAnsi="Arial"/>
          <w:sz w:val="14"/>
          <w:szCs w:val="14"/>
          <w:color w:val="auto"/>
        </w:rPr>
        <w:t>the agreed selections of provisions contained herein; and that sets forth other information required herein and any Special Provisions and addendum(s) as identified on page one.</w:t>
      </w:r>
    </w:p>
    <w:p>
      <w:pPr>
        <w:spacing w:after="0" w:line="22"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"British thermal unit" or "Btu" shall mean the International BTU, which is also called the Btu (IT).</w:t>
      </w:r>
    </w:p>
    <w:p>
      <w:pPr>
        <w:spacing w:after="0" w:line="38"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4"/>
          <w:szCs w:val="14"/>
          <w:color w:val="auto"/>
        </w:rPr>
        <w:t>"Business Day(s)" shall mean Monday through Friday, excluding Federal Banking Holidays for transactions in the U.S.</w:t>
      </w:r>
    </w:p>
    <w:p>
      <w:pPr>
        <w:spacing w:after="0" w:line="62" w:lineRule="exact"/>
        <w:rPr>
          <w:sz w:val="20"/>
          <w:szCs w:val="20"/>
          <w:color w:val="auto"/>
        </w:rPr>
      </w:pPr>
    </w:p>
    <w:p>
      <w:pPr>
        <w:jc w:val="both"/>
        <w:ind w:left="500"/>
        <w:spacing w:after="0" w:line="261"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4"/>
          <w:szCs w:val="14"/>
          <w:color w:val="auto"/>
        </w:rPr>
        <w:t>"Confirm Deadline" shall mean 5:00 p.m. in the receiving party's time zone on the second Business Day following the Day a Transaction</w:t>
      </w:r>
      <w:r>
        <w:rPr>
          <w:rFonts w:ascii="Arial" w:cs="Arial" w:eastAsia="Arial" w:hAnsi="Arial"/>
          <w:sz w:val="16"/>
          <w:szCs w:val="16"/>
          <w:color w:val="auto"/>
        </w:rPr>
        <w:t xml:space="preserve"> </w:t>
      </w:r>
      <w:r>
        <w:rPr>
          <w:rFonts w:ascii="Arial" w:cs="Arial" w:eastAsia="Arial" w:hAnsi="Arial"/>
          <w:sz w:val="14"/>
          <w:szCs w:val="14"/>
          <w:color w:val="auto"/>
        </w:rPr>
        <w:t>Confirmation is received or, if applicable, on the Business Day agreed to by the parties in the Base Contract; provided, if the Transaction Confirmation is time stamped after 5:00 p.m. in the receiving party's time zone, it shall be deemed received at the opening of the next Business Day.</w:t>
      </w:r>
    </w:p>
    <w:p>
      <w:pPr>
        <w:spacing w:after="0" w:line="54"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4"/>
          <w:szCs w:val="14"/>
          <w:color w:val="auto"/>
        </w:rPr>
        <w:t>"Confirming Party" shall mean the party designated in the Base Contract to prepare and forward Transaction Confirmations to the other party.</w:t>
      </w:r>
    </w:p>
    <w:p>
      <w:pPr>
        <w:spacing w:after="0" w:line="73"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5"/>
          <w:szCs w:val="15"/>
          <w:color w:val="auto"/>
        </w:rPr>
        <w:t>"Contract" shall mean the legally-binding relationship established by (i) the Base Contract, (ii) any and all binding Transaction Confirmations and</w:t>
      </w:r>
    </w:p>
    <w:p>
      <w:pPr>
        <w:spacing w:after="0" w:line="3" w:lineRule="exact"/>
        <w:rPr>
          <w:sz w:val="20"/>
          <w:szCs w:val="20"/>
          <w:color w:val="auto"/>
        </w:rPr>
      </w:pPr>
    </w:p>
    <w:p>
      <w:pPr>
        <w:jc w:val="both"/>
        <w:ind w:left="500" w:firstLine="4"/>
        <w:spacing w:after="0" w:line="243" w:lineRule="auto"/>
        <w:tabs>
          <w:tab w:leader="none" w:pos="758" w:val="left"/>
        </w:tabs>
        <w:numPr>
          <w:ilvl w:val="0"/>
          <w:numId w:val="43"/>
        </w:numPr>
        <w:rPr>
          <w:rFonts w:ascii="Arial" w:cs="Arial" w:eastAsia="Arial" w:hAnsi="Arial"/>
          <w:sz w:val="15"/>
          <w:szCs w:val="15"/>
          <w:color w:val="auto"/>
        </w:rPr>
      </w:pPr>
      <w:r>
        <w:rPr>
          <w:rFonts w:ascii="Arial" w:cs="Arial" w:eastAsia="Arial" w:hAnsi="Arial"/>
          <w:sz w:val="15"/>
          <w:szCs w:val="15"/>
          <w:color w:val="auto"/>
        </w:rPr>
        <w:t>where the parties have selected the Oral Transaction Procedure in Section 1.2 of the Base Contract, any and all transactions that the parties have entered into through an EDI transmission or by telephone, but that have not been confirmed in a binding Transaction Confirmation, all of which shall form a single integrated agreement between the parties.</w:t>
      </w:r>
    </w:p>
    <w:p>
      <w:pPr>
        <w:spacing w:after="0" w:line="53"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4"/>
          <w:szCs w:val="14"/>
          <w:color w:val="auto"/>
        </w:rPr>
        <w:t>"Contract Price" shall mean the amount expressed in U.S. Dollars per MMBtu to be paid by Buyer to Seller for the purchase of Gas as agreed to by</w:t>
      </w:r>
      <w:r>
        <w:rPr>
          <w:rFonts w:ascii="Arial" w:cs="Arial" w:eastAsia="Arial" w:hAnsi="Arial"/>
          <w:sz w:val="16"/>
          <w:szCs w:val="16"/>
          <w:color w:val="auto"/>
        </w:rPr>
        <w:t xml:space="preserve"> </w:t>
      </w:r>
      <w:r>
        <w:rPr>
          <w:rFonts w:ascii="Arial" w:cs="Arial" w:eastAsia="Arial" w:hAnsi="Arial"/>
          <w:sz w:val="14"/>
          <w:szCs w:val="14"/>
          <w:color w:val="auto"/>
        </w:rPr>
        <w:t>the parties in a transaction.</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2.11. </w:t>
      </w:r>
      <w:r>
        <w:rPr>
          <w:rFonts w:ascii="Arial" w:cs="Arial" w:eastAsia="Arial" w:hAnsi="Arial"/>
          <w:sz w:val="14"/>
          <w:szCs w:val="14"/>
          <w:color w:val="auto"/>
        </w:rPr>
        <w:t>"Contract Quantity" shall mean the quantity of Gas to be delivered and taken as agreed to by the parties in a transaction.</w:t>
      </w:r>
    </w:p>
    <w:p>
      <w:pPr>
        <w:spacing w:after="0" w:line="36"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5"/>
          <w:szCs w:val="15"/>
          <w:color w:val="auto"/>
        </w:rPr>
        <w:t>"Cover Standard", as referred to in Section 3.2, shall mean that if there is an unexcused failure to take or deliver any quantity of Gas pursuant to</w:t>
      </w:r>
    </w:p>
    <w:p>
      <w:pPr>
        <w:spacing w:after="0" w:line="3" w:lineRule="exact"/>
        <w:rPr>
          <w:sz w:val="20"/>
          <w:szCs w:val="20"/>
          <w:color w:val="auto"/>
        </w:rPr>
      </w:pPr>
    </w:p>
    <w:p>
      <w:pPr>
        <w:jc w:val="both"/>
        <w:ind w:left="500"/>
        <w:spacing w:after="0" w:line="231" w:lineRule="auto"/>
        <w:rPr>
          <w:sz w:val="20"/>
          <w:szCs w:val="20"/>
          <w:color w:val="auto"/>
        </w:rPr>
      </w:pPr>
      <w:r>
        <w:rPr>
          <w:rFonts w:ascii="Arial" w:cs="Arial" w:eastAsia="Arial" w:hAnsi="Arial"/>
          <w:sz w:val="14"/>
          <w:szCs w:val="14"/>
          <w:color w:val="auto"/>
        </w:rPr>
        <w:t>this Contract, then the performing party shall use commercially reasonable efforts to (i) if Buyer is the performing party, obtain Gas, (or an alternate fuel if elected by Buyer and replacement Gas is not available), or (ii) if Seller is the performing party, sell Gas, in either case, at a price reasonable for the delivery or production area, as applicable, consistent with: the amount of notice provided by the nonperforming party; the immediacy of the Buyer's Gas consumption needs or Seller's Gas sales requirements, as applicable; the quantities involved; and the anticipated length of failure by the nonperforming party.</w:t>
      </w:r>
    </w:p>
    <w:p>
      <w:pPr>
        <w:spacing w:after="0" w:line="31"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4"/>
          <w:szCs w:val="14"/>
          <w:color w:val="auto"/>
        </w:rPr>
        <w:t>"Credit Support Obligation(s)” shall mean any obligation(s) to provide or establish credit support for, or on behalf of, a party to this Contract such as</w:t>
      </w:r>
      <w:r>
        <w:rPr>
          <w:rFonts w:ascii="Arial" w:cs="Arial" w:eastAsia="Arial" w:hAnsi="Arial"/>
          <w:sz w:val="16"/>
          <w:szCs w:val="16"/>
          <w:color w:val="auto"/>
        </w:rPr>
        <w:t xml:space="preserve"> </w:t>
      </w:r>
      <w:r>
        <w:rPr>
          <w:rFonts w:ascii="Arial" w:cs="Arial" w:eastAsia="Arial" w:hAnsi="Arial"/>
          <w:sz w:val="14"/>
          <w:szCs w:val="14"/>
          <w:color w:val="auto"/>
        </w:rPr>
        <w:t>cash, an irrevocable standby letter of credit, a margin agreement, a prepayment, a security interest in an asset, guaranty, or other good and sufficient security of a continuing nature.</w:t>
      </w:r>
    </w:p>
    <w:p>
      <w:pPr>
        <w:spacing w:after="0" w:line="41"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4"/>
          <w:szCs w:val="14"/>
          <w:color w:val="auto"/>
        </w:rPr>
        <w:t>"Day" shall mean a period of 24 consecutive hours, coextensive with a "day" as defined by the Receiving Transporter in a particular transaction.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2.15. </w:t>
      </w:r>
      <w:r>
        <w:rPr>
          <w:rFonts w:ascii="Arial" w:cs="Arial" w:eastAsia="Arial" w:hAnsi="Arial"/>
          <w:sz w:val="14"/>
          <w:szCs w:val="14"/>
          <w:color w:val="auto"/>
        </w:rPr>
        <w:t>"Delivery Period" shall be the period during which deliveries are to be made as agreed to by the parties in a transaction.</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2.16. </w:t>
      </w:r>
      <w:r>
        <w:rPr>
          <w:rFonts w:ascii="Arial" w:cs="Arial" w:eastAsia="Arial" w:hAnsi="Arial"/>
          <w:sz w:val="14"/>
          <w:szCs w:val="14"/>
          <w:color w:val="auto"/>
        </w:rPr>
        <w:t>"Delivery Point(s)" shall mean such point(s) as are agreed to by the parties in a transaction.</w:t>
      </w:r>
    </w:p>
    <w:p>
      <w:pPr>
        <w:spacing w:after="0" w:line="50"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4"/>
          <w:szCs w:val="14"/>
          <w:color w:val="auto"/>
        </w:rPr>
        <w:t>"EDI" shall mean an electronic data interchange pursuant to an agreement entered into by the parties, specifically relating to the communication of</w:t>
      </w:r>
      <w:r>
        <w:rPr>
          <w:rFonts w:ascii="Arial" w:cs="Arial" w:eastAsia="Arial" w:hAnsi="Arial"/>
          <w:sz w:val="16"/>
          <w:szCs w:val="16"/>
          <w:color w:val="auto"/>
        </w:rPr>
        <w:t xml:space="preserve"> </w:t>
      </w:r>
      <w:r>
        <w:rPr>
          <w:rFonts w:ascii="Arial" w:cs="Arial" w:eastAsia="Arial" w:hAnsi="Arial"/>
          <w:sz w:val="14"/>
          <w:szCs w:val="14"/>
          <w:color w:val="auto"/>
        </w:rPr>
        <w:t>Transaction Confirmations under this Contract.</w:t>
      </w:r>
    </w:p>
    <w:p>
      <w:pPr>
        <w:spacing w:after="0" w:line="17" w:lineRule="exact"/>
        <w:rPr>
          <w:sz w:val="20"/>
          <w:szCs w:val="20"/>
          <w:color w:val="auto"/>
        </w:rPr>
      </w:pPr>
    </w:p>
    <w:p>
      <w:pPr>
        <w:jc w:val="both"/>
        <w:ind w:left="500"/>
        <w:spacing w:after="0" w:line="261"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4"/>
          <w:szCs w:val="14"/>
          <w:color w:val="auto"/>
        </w:rPr>
        <w:t>"EFP" shall mean the purchase, sale or exchange of natural Gas as the "physical" side of an exchange for physical transaction involving gas</w:t>
      </w:r>
      <w:r>
        <w:rPr>
          <w:rFonts w:ascii="Arial" w:cs="Arial" w:eastAsia="Arial" w:hAnsi="Arial"/>
          <w:sz w:val="16"/>
          <w:szCs w:val="16"/>
          <w:color w:val="auto"/>
        </w:rPr>
        <w:t xml:space="preserve"> </w:t>
      </w:r>
      <w:r>
        <w:rPr>
          <w:rFonts w:ascii="Arial" w:cs="Arial" w:eastAsia="Arial" w:hAnsi="Arial"/>
          <w:sz w:val="14"/>
          <w:szCs w:val="14"/>
          <w:color w:val="auto"/>
        </w:rPr>
        <w:t>futures contracts. EFP shall incorporate the meaning and remedies of "Firm", provided that a party’s excuse for nonperformance of its obligations to deliver or receive Gas will be governed by the rules of the relevant futures exchange regulated under the Commodity Exchange Act.</w:t>
      </w:r>
    </w:p>
    <w:p>
      <w:pPr>
        <w:spacing w:after="0" w:line="41" w:lineRule="exact"/>
        <w:rPr>
          <w:sz w:val="20"/>
          <w:szCs w:val="20"/>
          <w:color w:val="auto"/>
        </w:rPr>
      </w:pPr>
    </w:p>
    <w:p>
      <w:pPr>
        <w:jc w:val="both"/>
        <w:ind w:left="500"/>
        <w:spacing w:after="0" w:line="264"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4"/>
          <w:szCs w:val="14"/>
          <w:color w:val="auto"/>
        </w:rPr>
        <w:t>"Firm" shall mean that either party may interrupt its performance without liability only to the extent that such performance is prevented for reasons</w:t>
      </w:r>
      <w:r>
        <w:rPr>
          <w:rFonts w:ascii="Arial" w:cs="Arial" w:eastAsia="Arial" w:hAnsi="Arial"/>
          <w:sz w:val="16"/>
          <w:szCs w:val="16"/>
          <w:color w:val="auto"/>
        </w:rPr>
        <w:t xml:space="preserve"> </w:t>
      </w:r>
      <w:r>
        <w:rPr>
          <w:rFonts w:ascii="Arial" w:cs="Arial" w:eastAsia="Arial" w:hAnsi="Arial"/>
          <w:sz w:val="14"/>
          <w:szCs w:val="14"/>
          <w:color w:val="auto"/>
        </w:rPr>
        <w:t>of Force Majeure; provided, however, that during Force Majeure interruptions, the party invoking Force Majeure may be responsible for any Imbalance Charges as set forth in Section 4.3 related to its interruption after the nomination is made to the Transporter and until the change in deliveries and/or receipts is confirmed by the Transporter.</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2.20. </w:t>
      </w:r>
      <w:r>
        <w:rPr>
          <w:rFonts w:ascii="Arial" w:cs="Arial" w:eastAsia="Arial" w:hAnsi="Arial"/>
          <w:sz w:val="14"/>
          <w:szCs w:val="14"/>
          <w:color w:val="auto"/>
        </w:rPr>
        <w:t>"Gas" shall mean any mixture of hydrocarbons and noncombustible gases in a gaseous state consisting primarily of methane.</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4"/>
          <w:szCs w:val="14"/>
          <w:color w:val="auto"/>
        </w:rPr>
        <w:t>“Guarantor” shall mean any entity that has provided a guaranty of the obligations of a party hereunder.</w:t>
      </w:r>
    </w:p>
    <w:p>
      <w:pPr>
        <w:spacing w:after="0" w:line="50"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4"/>
          <w:szCs w:val="14"/>
          <w:color w:val="auto"/>
        </w:rPr>
        <w:t>"Imbalance Charges" shall mean any fees, penalties, costs or charges (in cash or in kind) assessed by a Transporter for failure to satisfy the</w:t>
      </w:r>
      <w:r>
        <w:rPr>
          <w:rFonts w:ascii="Arial" w:cs="Arial" w:eastAsia="Arial" w:hAnsi="Arial"/>
          <w:sz w:val="16"/>
          <w:szCs w:val="16"/>
          <w:color w:val="auto"/>
        </w:rPr>
        <w:t xml:space="preserve"> </w:t>
      </w:r>
      <w:r>
        <w:rPr>
          <w:rFonts w:ascii="Arial" w:cs="Arial" w:eastAsia="Arial" w:hAnsi="Arial"/>
          <w:sz w:val="14"/>
          <w:szCs w:val="14"/>
          <w:color w:val="auto"/>
        </w:rPr>
        <w:t>Transporter's balance and/or nomination requirements.</w:t>
      </w:r>
    </w:p>
    <w:p>
      <w:pPr>
        <w:spacing w:after="0" w:line="5" w:lineRule="exact"/>
        <w:rPr>
          <w:sz w:val="20"/>
          <w:szCs w:val="20"/>
          <w:color w:val="auto"/>
        </w:rPr>
      </w:pPr>
    </w:p>
    <w:p>
      <w:pPr>
        <w:jc w:val="both"/>
        <w:ind w:left="500"/>
        <w:spacing w:after="0" w:line="230"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4"/>
          <w:szCs w:val="14"/>
          <w:color w:val="auto"/>
        </w:rPr>
        <w:t>“Indebtedness Cross Default” shall mean if selected on the Base Contract by the parties with respect to a party, that it or its Guarantor, if any,</w:t>
      </w:r>
      <w:r>
        <w:rPr>
          <w:rFonts w:ascii="Arial" w:cs="Arial" w:eastAsia="Arial" w:hAnsi="Arial"/>
          <w:sz w:val="16"/>
          <w:szCs w:val="16"/>
          <w:color w:val="auto"/>
        </w:rPr>
        <w:t xml:space="preserve"> </w:t>
      </w:r>
      <w:r>
        <w:rPr>
          <w:rFonts w:ascii="Arial" w:cs="Arial" w:eastAsia="Arial" w:hAnsi="Arial"/>
          <w:sz w:val="14"/>
          <w:szCs w:val="14"/>
          <w:color w:val="auto"/>
        </w:rPr>
        <w:t>experiences a default, or similar condition or event however therein defined, under one or more agreements or instruments, individually or collectively, relating to indebtedness (such indebtedness to include any obligation whether present or future, contingent or otherwise, as principal or surety or otherwise) for the payment or repayment of borrowed money in an aggregate amount greater than the threshold specified in the Base Contract with respect to such party or its Guarantor, if any, which results in such indebtedness becoming immediately due and payable.</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0"/>
                <w:szCs w:val="20"/>
                <w:color w:val="auto"/>
              </w:rPr>
            </w:pPr>
            <w:r>
              <w:rPr>
                <w:rFonts w:ascii="Arial" w:cs="Arial" w:eastAsia="Arial" w:hAnsi="Arial"/>
                <w:sz w:val="13"/>
                <w:szCs w:val="13"/>
                <w:color w:val="auto"/>
              </w:rPr>
              <w:t>Page 5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356" w:lineRule="exact"/>
        <w:rPr>
          <w:sz w:val="20"/>
          <w:szCs w:val="20"/>
          <w:color w:val="auto"/>
        </w:rPr>
      </w:pPr>
    </w:p>
    <w:p>
      <w:pPr>
        <w:ind w:left="500"/>
        <w:spacing w:after="0" w:line="288"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4"/>
          <w:szCs w:val="14"/>
          <w:color w:val="auto"/>
        </w:rPr>
        <w:t>"Interruptible" shall mean that either party may interrupt its performance at any time for any reason, whether or not caused by an event of Force</w:t>
      </w:r>
      <w:r>
        <w:rPr>
          <w:rFonts w:ascii="Arial" w:cs="Arial" w:eastAsia="Arial" w:hAnsi="Arial"/>
          <w:sz w:val="16"/>
          <w:szCs w:val="16"/>
          <w:color w:val="auto"/>
        </w:rPr>
        <w:t xml:space="preserve"> </w:t>
      </w:r>
      <w:r>
        <w:rPr>
          <w:rFonts w:ascii="Arial" w:cs="Arial" w:eastAsia="Arial" w:hAnsi="Arial"/>
          <w:sz w:val="14"/>
          <w:szCs w:val="14"/>
          <w:color w:val="auto"/>
        </w:rPr>
        <w:t>Majeure, with no liability, except such interrupting party may be responsible for any Imbalance Charges as set</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0"/>
                <w:szCs w:val="20"/>
                <w:color w:val="auto"/>
              </w:rPr>
            </w:pPr>
            <w:r>
              <w:rPr>
                <w:rFonts w:ascii="Arial" w:cs="Arial" w:eastAsia="Arial" w:hAnsi="Arial"/>
                <w:sz w:val="13"/>
                <w:szCs w:val="13"/>
                <w:color w:val="auto"/>
              </w:rPr>
              <w:t>Page 6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40" w:top="173" w:right="81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385" w:lineRule="exact"/>
        <w:rPr>
          <w:sz w:val="20"/>
          <w:szCs w:val="20"/>
          <w:color w:val="auto"/>
        </w:rPr>
      </w:pPr>
    </w:p>
    <w:p>
      <w:pPr>
        <w:ind w:left="500" w:right="20"/>
        <w:spacing w:after="0" w:line="233" w:lineRule="auto"/>
        <w:rPr>
          <w:sz w:val="20"/>
          <w:szCs w:val="20"/>
          <w:color w:val="auto"/>
        </w:rPr>
      </w:pPr>
      <w:r>
        <w:rPr>
          <w:rFonts w:ascii="Arial" w:cs="Arial" w:eastAsia="Arial" w:hAnsi="Arial"/>
          <w:sz w:val="15"/>
          <w:szCs w:val="15"/>
          <w:color w:val="auto"/>
        </w:rPr>
        <w:t>forth in Section 4.3 related to its interruption after the nomination is made to the Transporter and until the change in deliveries and/or receipts is confirmed by Transporter.</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2.25. </w:t>
      </w:r>
      <w:r>
        <w:rPr>
          <w:rFonts w:ascii="Arial" w:cs="Arial" w:eastAsia="Arial" w:hAnsi="Arial"/>
          <w:sz w:val="14"/>
          <w:szCs w:val="14"/>
          <w:color w:val="auto"/>
        </w:rPr>
        <w:t>"MMBtu" shall mean one million British thermal units, which is equivalent to one dekatherm.</w:t>
      </w:r>
    </w:p>
    <w:p>
      <w:pPr>
        <w:spacing w:after="0" w:line="50" w:lineRule="exact"/>
        <w:rPr>
          <w:sz w:val="20"/>
          <w:szCs w:val="20"/>
          <w:color w:val="auto"/>
        </w:rPr>
      </w:pPr>
    </w:p>
    <w:p>
      <w:pPr>
        <w:ind w:left="500" w:right="20"/>
        <w:spacing w:after="0" w:line="288"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4"/>
          <w:szCs w:val="14"/>
          <w:color w:val="auto"/>
        </w:rPr>
        <w:t>"Month" shall mean the period beginning on the first Day of the calendar month and ending immediately prior to the commencement of the first Day</w:t>
      </w:r>
      <w:r>
        <w:rPr>
          <w:rFonts w:ascii="Arial" w:cs="Arial" w:eastAsia="Arial" w:hAnsi="Arial"/>
          <w:sz w:val="16"/>
          <w:szCs w:val="16"/>
          <w:color w:val="auto"/>
        </w:rPr>
        <w:t xml:space="preserve"> </w:t>
      </w:r>
      <w:r>
        <w:rPr>
          <w:rFonts w:ascii="Arial" w:cs="Arial" w:eastAsia="Arial" w:hAnsi="Arial"/>
          <w:sz w:val="14"/>
          <w:szCs w:val="14"/>
          <w:color w:val="auto"/>
        </w:rPr>
        <w:t>of the next calendar month.</w:t>
      </w:r>
    </w:p>
    <w:p>
      <w:pPr>
        <w:spacing w:after="0" w:line="17" w:lineRule="exact"/>
        <w:rPr>
          <w:sz w:val="20"/>
          <w:szCs w:val="20"/>
          <w:color w:val="auto"/>
        </w:rPr>
      </w:pPr>
    </w:p>
    <w:p>
      <w:pPr>
        <w:ind w:left="500" w:right="160"/>
        <w:spacing w:after="0" w:line="288"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4"/>
          <w:szCs w:val="14"/>
          <w:color w:val="auto"/>
        </w:rPr>
        <w:t>"Payment Date" shall mean a date, as indicated on the Base Contract, on or before which payment is due Seller for Gas received by Buyer in the</w:t>
      </w:r>
      <w:r>
        <w:rPr>
          <w:rFonts w:ascii="Arial" w:cs="Arial" w:eastAsia="Arial" w:hAnsi="Arial"/>
          <w:sz w:val="16"/>
          <w:szCs w:val="16"/>
          <w:color w:val="auto"/>
        </w:rPr>
        <w:t xml:space="preserve"> </w:t>
      </w:r>
      <w:r>
        <w:rPr>
          <w:rFonts w:ascii="Arial" w:cs="Arial" w:eastAsia="Arial" w:hAnsi="Arial"/>
          <w:sz w:val="14"/>
          <w:szCs w:val="14"/>
          <w:color w:val="auto"/>
        </w:rPr>
        <w:t>previous Month.</w:t>
      </w:r>
    </w:p>
    <w:p>
      <w:pPr>
        <w:spacing w:after="0" w:line="5" w:lineRule="exact"/>
        <w:rPr>
          <w:sz w:val="20"/>
          <w:szCs w:val="20"/>
          <w:color w:val="auto"/>
        </w:rPr>
      </w:pPr>
    </w:p>
    <w:p>
      <w:pPr>
        <w:ind w:left="500" w:right="520"/>
        <w:spacing w:after="0" w:line="288"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4"/>
          <w:szCs w:val="14"/>
          <w:color w:val="auto"/>
        </w:rPr>
        <w:t>"Receiving Transporter" shall mean the Transporter receiving Gas at a Delivery Point, or absent such receiving Transporter, the Transporter</w:t>
      </w:r>
      <w:r>
        <w:rPr>
          <w:rFonts w:ascii="Arial" w:cs="Arial" w:eastAsia="Arial" w:hAnsi="Arial"/>
          <w:sz w:val="16"/>
          <w:szCs w:val="16"/>
          <w:color w:val="auto"/>
        </w:rPr>
        <w:t xml:space="preserve"> </w:t>
      </w:r>
      <w:r>
        <w:rPr>
          <w:rFonts w:ascii="Arial" w:cs="Arial" w:eastAsia="Arial" w:hAnsi="Arial"/>
          <w:sz w:val="14"/>
          <w:szCs w:val="14"/>
          <w:color w:val="auto"/>
        </w:rPr>
        <w:t>delivering Gas at a Delivery Point.</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2.29. </w:t>
      </w:r>
      <w:r>
        <w:rPr>
          <w:rFonts w:ascii="Arial" w:cs="Arial" w:eastAsia="Arial" w:hAnsi="Arial"/>
          <w:sz w:val="14"/>
          <w:szCs w:val="14"/>
          <w:color w:val="auto"/>
        </w:rPr>
        <w:t>"Scheduled Gas" shall mean the quantity of Gas confirmed by Transporter(s) for movement, transportation or management.</w:t>
      </w:r>
    </w:p>
    <w:p>
      <w:pPr>
        <w:spacing w:after="0" w:line="38"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4"/>
          <w:szCs w:val="14"/>
          <w:color w:val="auto"/>
        </w:rPr>
        <w:t>“Specified Transaction(s)” shall mean any other transaction or agreement between the parties for the purchase, sale or exchange of physical Gas,</w:t>
      </w:r>
      <w:r>
        <w:rPr>
          <w:rFonts w:ascii="Arial" w:cs="Arial" w:eastAsia="Arial" w:hAnsi="Arial"/>
          <w:sz w:val="16"/>
          <w:szCs w:val="16"/>
          <w:color w:val="auto"/>
        </w:rPr>
        <w:t xml:space="preserve"> </w:t>
      </w:r>
      <w:r>
        <w:rPr>
          <w:rFonts w:ascii="Arial" w:cs="Arial" w:eastAsia="Arial" w:hAnsi="Arial"/>
          <w:sz w:val="14"/>
          <w:szCs w:val="14"/>
          <w:color w:val="auto"/>
        </w:rPr>
        <w:t>and any other transaction or agreement identified as a Specified Transaction under the Base Contract.</w:t>
      </w:r>
    </w:p>
    <w:p>
      <w:pPr>
        <w:spacing w:after="0" w:line="17" w:lineRule="exact"/>
        <w:rPr>
          <w:sz w:val="20"/>
          <w:szCs w:val="20"/>
          <w:color w:val="auto"/>
        </w:rPr>
      </w:pPr>
    </w:p>
    <w:p>
      <w:pPr>
        <w:jc w:val="both"/>
        <w:ind w:left="500"/>
        <w:spacing w:after="0" w:line="259"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4"/>
          <w:szCs w:val="14"/>
          <w:color w:val="auto"/>
        </w:rPr>
        <w:t>"Spot Price " as referred to in Section 3.2 shall mean the price listed in the publication indicated on the Base Contract, under the listing applicable</w:t>
      </w:r>
      <w:r>
        <w:rPr>
          <w:rFonts w:ascii="Arial" w:cs="Arial" w:eastAsia="Arial" w:hAnsi="Arial"/>
          <w:sz w:val="16"/>
          <w:szCs w:val="16"/>
          <w:color w:val="auto"/>
        </w:rPr>
        <w:t xml:space="preserve"> </w:t>
      </w:r>
      <w:r>
        <w:rPr>
          <w:rFonts w:ascii="Arial" w:cs="Arial" w:eastAsia="Arial" w:hAnsi="Arial"/>
          <w:sz w:val="14"/>
          <w:szCs w:val="14"/>
          <w:color w:val="auto"/>
        </w:rPr>
        <w:t>to the geographic location closest in proximity to the Delivery Point(s) for the relevant Day; provided, if there is no single price published for such location for such Day, but there is published a range of prices, then the Spot Price shall be the average of such high and low prices. If no price or range of prices is published for such Day, then the Spot Price shall be the average of the following: (i) the price (determined as stated above) for the first Day for which a price or range of prices is published that next precedes the relevant Day; and (ii) the price (determined as stated above) for the first Day for which a price or range of prices is published that next follows the relevant Day.</w:t>
      </w:r>
    </w:p>
    <w:p>
      <w:pPr>
        <w:spacing w:after="0" w:line="42"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4"/>
          <w:szCs w:val="14"/>
          <w:color w:val="auto"/>
        </w:rPr>
        <w:t>"Transaction Confirmation" shall mean a document, similar to the form of Exhibit A, setting forth the terms of a transaction formed pursuant to</w:t>
      </w:r>
      <w:r>
        <w:rPr>
          <w:rFonts w:ascii="Arial" w:cs="Arial" w:eastAsia="Arial" w:hAnsi="Arial"/>
          <w:sz w:val="16"/>
          <w:szCs w:val="16"/>
          <w:color w:val="auto"/>
        </w:rPr>
        <w:t xml:space="preserve"> </w:t>
      </w:r>
      <w:r>
        <w:rPr>
          <w:rFonts w:ascii="Arial" w:cs="Arial" w:eastAsia="Arial" w:hAnsi="Arial"/>
          <w:sz w:val="14"/>
          <w:szCs w:val="14"/>
          <w:color w:val="auto"/>
        </w:rPr>
        <w:t>Section 1 for a particular Delivery Period.</w:t>
      </w:r>
    </w:p>
    <w:p>
      <w:pPr>
        <w:spacing w:after="0" w:line="17"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4"/>
          <w:szCs w:val="14"/>
          <w:color w:val="auto"/>
        </w:rPr>
        <w:t>“Transactional Cross Default” shall mean if selected on the Base Contract by the parties with respect to a party, that it shall be in default, however</w:t>
      </w:r>
      <w:r>
        <w:rPr>
          <w:rFonts w:ascii="Arial" w:cs="Arial" w:eastAsia="Arial" w:hAnsi="Arial"/>
          <w:sz w:val="16"/>
          <w:szCs w:val="16"/>
          <w:color w:val="auto"/>
        </w:rPr>
        <w:t xml:space="preserve"> </w:t>
      </w:r>
      <w:r>
        <w:rPr>
          <w:rFonts w:ascii="Arial" w:cs="Arial" w:eastAsia="Arial" w:hAnsi="Arial"/>
          <w:sz w:val="14"/>
          <w:szCs w:val="14"/>
          <w:color w:val="auto"/>
        </w:rPr>
        <w:t>therein defined, under any Specified Transaction.</w:t>
      </w:r>
    </w:p>
    <w:p>
      <w:pPr>
        <w:spacing w:after="0" w:line="17" w:lineRule="exact"/>
        <w:rPr>
          <w:sz w:val="20"/>
          <w:szCs w:val="20"/>
          <w:color w:val="auto"/>
        </w:rPr>
      </w:pPr>
    </w:p>
    <w:p>
      <w:pPr>
        <w:jc w:val="both"/>
        <w:ind w:left="500"/>
        <w:spacing w:after="0" w:line="261"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4"/>
          <w:szCs w:val="14"/>
          <w:color w:val="auto"/>
        </w:rPr>
        <w:t>“Termination Option” shall mean the option of either party to terminate a transaction in the event that the other party fails to perform a Firm</w:t>
      </w:r>
      <w:r>
        <w:rPr>
          <w:rFonts w:ascii="Arial" w:cs="Arial" w:eastAsia="Arial" w:hAnsi="Arial"/>
          <w:sz w:val="16"/>
          <w:szCs w:val="16"/>
          <w:color w:val="auto"/>
        </w:rPr>
        <w:t xml:space="preserve"> </w:t>
      </w:r>
      <w:r>
        <w:rPr>
          <w:rFonts w:ascii="Arial" w:cs="Arial" w:eastAsia="Arial" w:hAnsi="Arial"/>
          <w:sz w:val="14"/>
          <w:szCs w:val="14"/>
          <w:color w:val="auto"/>
        </w:rPr>
        <w:t>obligation to deliver Gas in the case of Seller or to receive Gas in the case of Buyer for a designated number of days during a period as specified on the applicable Transaction Confirmation.</w:t>
      </w:r>
    </w:p>
    <w:p>
      <w:pPr>
        <w:spacing w:after="0" w:line="54" w:lineRule="exact"/>
        <w:rPr>
          <w:sz w:val="20"/>
          <w:szCs w:val="20"/>
          <w:color w:val="auto"/>
        </w:rPr>
      </w:pPr>
    </w:p>
    <w:p>
      <w:pPr>
        <w:jc w:val="both"/>
        <w:ind w:left="500" w:right="20"/>
        <w:spacing w:after="0" w:line="269" w:lineRule="auto"/>
        <w:rPr>
          <w:sz w:val="20"/>
          <w:szCs w:val="20"/>
          <w:color w:val="auto"/>
        </w:rPr>
      </w:pPr>
      <w:r>
        <w:rPr>
          <w:rFonts w:ascii="Arial" w:cs="Arial" w:eastAsia="Arial" w:hAnsi="Arial"/>
          <w:sz w:val="16"/>
          <w:szCs w:val="16"/>
          <w:color w:val="auto"/>
        </w:rPr>
        <w:t xml:space="preserve">2.35. </w:t>
      </w:r>
      <w:r>
        <w:rPr>
          <w:rFonts w:ascii="Arial" w:cs="Arial" w:eastAsia="Arial" w:hAnsi="Arial"/>
          <w:sz w:val="14"/>
          <w:szCs w:val="14"/>
          <w:color w:val="auto"/>
        </w:rPr>
        <w:t>"Transporter(s)" shall mean all Gas gathering or pipeline companies, or local distribution companies, acting in the capacity of a transporter,</w:t>
      </w:r>
      <w:r>
        <w:rPr>
          <w:rFonts w:ascii="Arial" w:cs="Arial" w:eastAsia="Arial" w:hAnsi="Arial"/>
          <w:sz w:val="16"/>
          <w:szCs w:val="16"/>
          <w:color w:val="auto"/>
        </w:rPr>
        <w:t xml:space="preserve"> </w:t>
      </w:r>
      <w:r>
        <w:rPr>
          <w:rFonts w:ascii="Arial" w:cs="Arial" w:eastAsia="Arial" w:hAnsi="Arial"/>
          <w:sz w:val="14"/>
          <w:szCs w:val="14"/>
          <w:color w:val="auto"/>
        </w:rPr>
        <w:t>transporting Gas for Seller or Buyer upstream or downstream, respectively, of the Delivery Point pursuant to a particular transaction.</w:t>
      </w:r>
    </w:p>
    <w:p>
      <w:pPr>
        <w:spacing w:after="0" w:line="30"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3.</w:t>
      </w:r>
      <w:r>
        <w:rPr>
          <w:sz w:val="20"/>
          <w:szCs w:val="20"/>
          <w:color w:val="auto"/>
        </w:rPr>
        <w:tab/>
      </w:r>
      <w:r>
        <w:rPr>
          <w:rFonts w:ascii="Arial" w:cs="Arial" w:eastAsia="Arial" w:hAnsi="Arial"/>
          <w:sz w:val="17"/>
          <w:szCs w:val="17"/>
          <w:color w:val="auto"/>
        </w:rPr>
        <w:t>PERFORMANCE OBLIGATION</w:t>
      </w:r>
    </w:p>
    <w:p>
      <w:pPr>
        <w:spacing w:after="0" w:line="45" w:lineRule="exact"/>
        <w:rPr>
          <w:sz w:val="20"/>
          <w:szCs w:val="20"/>
          <w:color w:val="auto"/>
        </w:rPr>
      </w:pPr>
    </w:p>
    <w:p>
      <w:pPr>
        <w:jc w:val="both"/>
        <w:ind w:left="500"/>
        <w:spacing w:after="0" w:line="26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4"/>
          <w:szCs w:val="14"/>
          <w:color w:val="auto"/>
        </w:rPr>
        <w:t>Seller agrees to sell and deliver, and Buyer agrees to receive and purchase, the Contract Quantity for a particular transaction in accordance with</w:t>
      </w:r>
      <w:r>
        <w:rPr>
          <w:rFonts w:ascii="Arial" w:cs="Arial" w:eastAsia="Arial" w:hAnsi="Arial"/>
          <w:sz w:val="16"/>
          <w:szCs w:val="16"/>
          <w:color w:val="auto"/>
        </w:rPr>
        <w:t xml:space="preserve"> </w:t>
      </w:r>
      <w:r>
        <w:rPr>
          <w:rFonts w:ascii="Arial" w:cs="Arial" w:eastAsia="Arial" w:hAnsi="Arial"/>
          <w:sz w:val="14"/>
          <w:szCs w:val="14"/>
          <w:color w:val="auto"/>
        </w:rPr>
        <w:t>the terms of the Contract. Sales and purchases will be on a Firm or Interruptible basis, as agreed to by the parties in a transaction.</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0"/>
                <w:szCs w:val="20"/>
                <w:color w:val="auto"/>
              </w:rPr>
            </w:pPr>
            <w:r>
              <w:rPr>
                <w:rFonts w:ascii="Arial" w:cs="Arial" w:eastAsia="Arial" w:hAnsi="Arial"/>
                <w:sz w:val="13"/>
                <w:szCs w:val="13"/>
                <w:color w:val="auto"/>
              </w:rPr>
              <w:t>Page 7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337820</wp:posOffset>
            </wp:positionV>
            <wp:extent cx="6103620" cy="2699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6103620" cy="269938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The parties have selected either the “Cover Standard” or the “Spot Price Standard” as indicated on the Base Contract.</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Cover Standard:</w:t>
      </w:r>
    </w:p>
    <w:p>
      <w:pPr>
        <w:spacing w:after="0" w:line="114" w:lineRule="exact"/>
        <w:rPr>
          <w:sz w:val="20"/>
          <w:szCs w:val="20"/>
          <w:color w:val="auto"/>
        </w:rPr>
      </w:pPr>
    </w:p>
    <w:p>
      <w:pPr>
        <w:jc w:val="both"/>
        <w:ind w:left="620" w:right="99"/>
        <w:spacing w:after="0" w:line="23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4"/>
          <w:szCs w:val="14"/>
          <w:color w:val="auto"/>
        </w:rPr>
        <w:t>The sole and exclusive remedy of the parties in the event of a breach of a Firm obligation to deliver or receive Gas shall be recovery of the</w:t>
      </w:r>
      <w:r>
        <w:rPr>
          <w:rFonts w:ascii="Arial" w:cs="Arial" w:eastAsia="Arial" w:hAnsi="Arial"/>
          <w:sz w:val="16"/>
          <w:szCs w:val="16"/>
          <w:color w:val="auto"/>
        </w:rPr>
        <w:t xml:space="preserve"> </w:t>
      </w:r>
      <w:r>
        <w:rPr>
          <w:rFonts w:ascii="Arial" w:cs="Arial" w:eastAsia="Arial" w:hAnsi="Arial"/>
          <w:sz w:val="14"/>
          <w:szCs w:val="14"/>
          <w:color w:val="auto"/>
        </w:rPr>
        <w:t>following: (i) in the event of a breach by Seller on any Day(s), payment by Seller to Buyer in an amount equal to the positive difference, if any, between the purchase price paid by Buyer utilizing the Cover Standard and the Contract Price, adjusted for commercially reasonable differences in transportation costs to or from the Delivery Point(s), multiplied by the difference between the Contract Quantity and the quantity actually delivered by Seller for such Day(s) excluding any quantity for which no replacement is available; or (ii) in the event of a breach by Buyer on any Day(s), payment by Buyer to Seller in the amount equal to the positive difference, if any, between the Contract Price and the price received by Seller utilizing the Cover Standard for the resale of such Gas, adjusted for commercially reasonable differences in transportation costs to or from the Delivery Point(s), multiplied by the difference between the Contract Quantity and the quantity actually taken by Buyer for such Day(s) excluding any quantity for which no sale is available; and (iii) in the event that Buyer has used commercially reasonable efforts to replace the Gas or Seller has used commercially reasonable efforts to sell the Gas to a third party, and no such replacement or sale is available for all or any portion of the Contract Quantity of Gas, then in addition to (i) or (ii) above, as applicable, the sole and exclusive remedy of the performing party with respect to the Gas not replaced or sold shall be an amount equal to any unfavorable difference between the Contract Price and the Spot Price, adjusted for such transportation to the applicable Delivery Point, multiplied by the quantity of such Gas not replaced or sold. Imbalance Charges shall not be recovered under this Section 3.2, but Seller and/or Buyer shall be responsible for Imbalance Charges, if any, as provided in Section 4.3. The amount of such unfavorable difference shall be payable five Business Days after presentation of the performing party’s invoice,</w:t>
      </w:r>
    </w:p>
    <w:p>
      <w:pPr>
        <w:spacing w:after="0" w:line="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which shall set forth the basis upon which such amount was calculated.</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Spot Price Standard:</w:t>
      </w:r>
    </w:p>
    <w:p>
      <w:pPr>
        <w:spacing w:after="0" w:line="119" w:lineRule="exact"/>
        <w:rPr>
          <w:sz w:val="20"/>
          <w:szCs w:val="20"/>
          <w:color w:val="auto"/>
        </w:rPr>
      </w:pPr>
    </w:p>
    <w:p>
      <w:pPr>
        <w:jc w:val="both"/>
        <w:ind w:left="620" w:right="99"/>
        <w:spacing w:after="0" w:line="210" w:lineRule="auto"/>
        <w:rPr>
          <w:sz w:val="20"/>
          <w:szCs w:val="20"/>
          <w:color w:val="auto"/>
        </w:rPr>
      </w:pPr>
      <w:r>
        <w:rPr>
          <w:rFonts w:ascii="Arial" w:cs="Arial" w:eastAsia="Arial" w:hAnsi="Arial"/>
          <w:sz w:val="15"/>
          <w:szCs w:val="15"/>
          <w:color w:val="auto"/>
        </w:rPr>
        <w:t>3.2. The sole and exclusive remedy of the parties in the event of a breach of a Firm obligation to deliver or receive Gas shall be recovery of the following: (i) in the event of a breach by Seller on any Day(s), payment by Seller to Buyer in an amount equal to the difference between the Contract Quantity and the actual quantity delivered by Seller and received by Buyer for such Day(s),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multiplied by the positive difference, if any, obtained by subtracting the Contract Price from the Spot Price; or (ii) in the event of a</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0"/>
                <w:szCs w:val="20"/>
                <w:color w:val="auto"/>
              </w:rPr>
            </w:pPr>
            <w:r>
              <w:rPr>
                <w:rFonts w:ascii="Arial" w:cs="Arial" w:eastAsia="Arial" w:hAnsi="Arial"/>
                <w:sz w:val="13"/>
                <w:szCs w:val="13"/>
                <w:color w:val="auto"/>
              </w:rPr>
              <w:t>Page 8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119"/>
          </w:cols>
          <w:pgMar w:left="340" w:top="173" w:right="1440"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619760</wp:posOffset>
            </wp:positionV>
            <wp:extent cx="6103620" cy="6184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6103620" cy="61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20" w:right="740"/>
        <w:spacing w:after="0" w:line="215" w:lineRule="auto"/>
        <w:rPr>
          <w:sz w:val="20"/>
          <w:szCs w:val="20"/>
          <w:color w:val="auto"/>
        </w:rPr>
      </w:pPr>
      <w:r>
        <w:rPr>
          <w:rFonts w:ascii="Arial" w:cs="Arial" w:eastAsia="Arial" w:hAnsi="Arial"/>
          <w:sz w:val="15"/>
          <w:szCs w:val="15"/>
          <w:color w:val="auto"/>
        </w:rPr>
        <w:t>breach by Buyer on any Day(s), payment by Buyer to Seller in an amount equal to the difference between the Contract Quantity and the actual quantity delivered by Seller and received by Buyer for such Day(s), multiplied by the positive difference, if any, obtained by subtracting the applicable Spot Price from the Contract Price. Imbalance Charges shall not be recovered under this Section 3.2, but Seller and/or Buyer shall be responsible for Imbalance Charges, if any, as provided in Section 4.3. The amount of such unfavorable difference shall be payable five Business Days after presentation of the performing party’s invoice, which shall set forth the basis upon which such amount was calculated.</w:t>
      </w:r>
    </w:p>
    <w:p>
      <w:pPr>
        <w:spacing w:after="0" w:line="165"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Notwithstanding Section 3.2, the parties may agree to Alternative Damages in a Transaction Confirmation executed in writing by both parties.</w:t>
      </w:r>
    </w:p>
    <w:p>
      <w:pPr>
        <w:spacing w:after="0" w:line="75" w:lineRule="exact"/>
        <w:rPr>
          <w:sz w:val="20"/>
          <w:szCs w:val="20"/>
          <w:color w:val="auto"/>
        </w:rPr>
      </w:pPr>
    </w:p>
    <w:p>
      <w:pPr>
        <w:jc w:val="both"/>
        <w:ind w:left="500" w:right="20"/>
        <w:spacing w:after="0" w:line="27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4"/>
          <w:szCs w:val="14"/>
          <w:color w:val="auto"/>
        </w:rPr>
        <w:t>In addition to Sections 3.2 and 3.3, the parties may provide for a Termination Option in a Transaction Confirmation executed in writing by both</w:t>
      </w:r>
      <w:r>
        <w:rPr>
          <w:rFonts w:ascii="Arial" w:cs="Arial" w:eastAsia="Arial" w:hAnsi="Arial"/>
          <w:sz w:val="16"/>
          <w:szCs w:val="16"/>
          <w:color w:val="auto"/>
        </w:rPr>
        <w:t xml:space="preserve"> </w:t>
      </w:r>
      <w:r>
        <w:rPr>
          <w:rFonts w:ascii="Arial" w:cs="Arial" w:eastAsia="Arial" w:hAnsi="Arial"/>
          <w:sz w:val="14"/>
          <w:szCs w:val="14"/>
          <w:color w:val="auto"/>
        </w:rPr>
        <w:t>parties. The Transaction Confirmation containing the Termination Option will designate the length of nonperformance triggering the Termination Option and the procedures for exercise thereof, how damages for nonperformance will be compensated, and how liquidation costs will be calculated.</w:t>
      </w:r>
    </w:p>
    <w:p>
      <w:pPr>
        <w:spacing w:after="0" w:line="20"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4.</w:t>
      </w:r>
      <w:r>
        <w:rPr>
          <w:sz w:val="20"/>
          <w:szCs w:val="20"/>
          <w:color w:val="auto"/>
        </w:rPr>
        <w:tab/>
      </w:r>
      <w:r>
        <w:rPr>
          <w:rFonts w:ascii="Arial" w:cs="Arial" w:eastAsia="Arial" w:hAnsi="Arial"/>
          <w:sz w:val="17"/>
          <w:szCs w:val="17"/>
          <w:color w:val="auto"/>
        </w:rPr>
        <w:t>TRANSPORTATION, NOMINATIONS, AND IMBALANCES</w:t>
      </w:r>
    </w:p>
    <w:p>
      <w:pPr>
        <w:spacing w:after="0" w:line="33"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4"/>
          <w:szCs w:val="14"/>
          <w:color w:val="auto"/>
        </w:rPr>
        <w:t>Seller shall have the sole responsibility for transporting the Gas to the Delivery Point(s). Buyer shall have the sole responsibility for transporting the</w:t>
      </w:r>
      <w:r>
        <w:rPr>
          <w:rFonts w:ascii="Arial" w:cs="Arial" w:eastAsia="Arial" w:hAnsi="Arial"/>
          <w:sz w:val="16"/>
          <w:szCs w:val="16"/>
          <w:color w:val="auto"/>
        </w:rPr>
        <w:t xml:space="preserve"> </w:t>
      </w:r>
      <w:r>
        <w:rPr>
          <w:rFonts w:ascii="Arial" w:cs="Arial" w:eastAsia="Arial" w:hAnsi="Arial"/>
          <w:sz w:val="14"/>
          <w:szCs w:val="14"/>
          <w:color w:val="auto"/>
        </w:rPr>
        <w:t>Gas from the Delivery Point(s).</w:t>
      </w:r>
    </w:p>
    <w:p>
      <w:pPr>
        <w:spacing w:after="0" w:line="17" w:lineRule="exact"/>
        <w:rPr>
          <w:sz w:val="20"/>
          <w:szCs w:val="20"/>
          <w:color w:val="auto"/>
        </w:rPr>
      </w:pPr>
    </w:p>
    <w:p>
      <w:pPr>
        <w:jc w:val="both"/>
        <w:ind w:left="500"/>
        <w:spacing w:after="0" w:line="26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4"/>
          <w:szCs w:val="14"/>
          <w:color w:val="auto"/>
        </w:rPr>
        <w:t>The parties shall coordinate their nomination activities, giving sufficient time to meet the deadlines of the affected Transporter(s). Each party shall</w:t>
      </w:r>
      <w:r>
        <w:rPr>
          <w:rFonts w:ascii="Arial" w:cs="Arial" w:eastAsia="Arial" w:hAnsi="Arial"/>
          <w:sz w:val="16"/>
          <w:szCs w:val="16"/>
          <w:color w:val="auto"/>
        </w:rPr>
        <w:t xml:space="preserve"> </w:t>
      </w:r>
      <w:r>
        <w:rPr>
          <w:rFonts w:ascii="Arial" w:cs="Arial" w:eastAsia="Arial" w:hAnsi="Arial"/>
          <w:sz w:val="14"/>
          <w:szCs w:val="14"/>
          <w:color w:val="auto"/>
        </w:rPr>
        <w:t>give the other party timely prior Notice, sufficient to meet the requirements of all Transporter(s) involved in the transaction, of the quantities of Gas to be delivered and purchased each Day. Should either party become aware that actual deliveries at the Delivery Point(s) are greater or lesser than the Scheduled Gas, such party shall promptly notify the other party.</w:t>
      </w:r>
    </w:p>
    <w:p>
      <w:pPr>
        <w:spacing w:after="0" w:line="37" w:lineRule="exact"/>
        <w:rPr>
          <w:sz w:val="20"/>
          <w:szCs w:val="20"/>
          <w:color w:val="auto"/>
        </w:rPr>
      </w:pPr>
    </w:p>
    <w:p>
      <w:pPr>
        <w:jc w:val="both"/>
        <w:ind w:left="500"/>
        <w:spacing w:after="0" w:line="25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4"/>
          <w:szCs w:val="14"/>
          <w:color w:val="auto"/>
        </w:rPr>
        <w:t>The parties shall use commercially reasonable efforts to avoid imposition of any Imbalance Charges. If Buyer or Seller receives an invoice from a</w:t>
      </w:r>
      <w:r>
        <w:rPr>
          <w:rFonts w:ascii="Arial" w:cs="Arial" w:eastAsia="Arial" w:hAnsi="Arial"/>
          <w:sz w:val="16"/>
          <w:szCs w:val="16"/>
          <w:color w:val="auto"/>
        </w:rPr>
        <w:t xml:space="preserve"> </w:t>
      </w:r>
      <w:r>
        <w:rPr>
          <w:rFonts w:ascii="Arial" w:cs="Arial" w:eastAsia="Arial" w:hAnsi="Arial"/>
          <w:sz w:val="14"/>
          <w:szCs w:val="14"/>
          <w:color w:val="auto"/>
        </w:rPr>
        <w:t>Transporter that includes Imbalance Charges, the parties shall determine the validity as well as the cause of such Imbalance Charges. If the Imbalance Charges were incurred as a result of Buyer’s receipt of quantities of Gas greater than or less than the Scheduled Gas, then Buyer shall pay for such Imbalance Charges or reimburse Seller for such Imbalance Charges paid by Seller. If the Imbalance Charges were incurred as a result of Seller’s delivery of quantities of Gas greater than or less than the Scheduled Gas, then Seller shall pay for such Imbalance Charges or reimburse Buyer for such Imbalance Charges paid by Buyer.</w:t>
      </w:r>
    </w:p>
    <w:p>
      <w:pPr>
        <w:spacing w:after="0" w:line="217"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5.</w:t>
      </w:r>
      <w:r>
        <w:rPr>
          <w:sz w:val="20"/>
          <w:szCs w:val="20"/>
          <w:color w:val="auto"/>
        </w:rPr>
        <w:tab/>
      </w:r>
      <w:r>
        <w:rPr>
          <w:rFonts w:ascii="Arial" w:cs="Arial" w:eastAsia="Arial" w:hAnsi="Arial"/>
          <w:sz w:val="18"/>
          <w:szCs w:val="18"/>
          <w:color w:val="auto"/>
        </w:rPr>
        <w:t>QUALITY AND MEASUREMENT</w:t>
      </w:r>
    </w:p>
    <w:p>
      <w:pPr>
        <w:spacing w:after="0" w:line="38" w:lineRule="exact"/>
        <w:rPr>
          <w:sz w:val="20"/>
          <w:szCs w:val="20"/>
          <w:color w:val="auto"/>
        </w:rPr>
      </w:pPr>
    </w:p>
    <w:p>
      <w:pPr>
        <w:jc w:val="both"/>
        <w:ind w:left="500"/>
        <w:spacing w:after="0" w:line="224" w:lineRule="auto"/>
        <w:rPr>
          <w:sz w:val="20"/>
          <w:szCs w:val="20"/>
          <w:color w:val="auto"/>
        </w:rPr>
      </w:pPr>
      <w:r>
        <w:rPr>
          <w:rFonts w:ascii="Arial" w:cs="Arial" w:eastAsia="Arial" w:hAnsi="Arial"/>
          <w:sz w:val="15"/>
          <w:szCs w:val="15"/>
          <w:color w:val="auto"/>
        </w:rPr>
        <w:t>All Gas delivered by Seller shall meet the pressure, quality and heat content requirements of the Receiving Transporter. The unit of quantity measurement for purposes of this Contract shall be one MMBtu dry. Measurement of Gas quantities hereunder shall be in accordance with the established procedures of the Receiving Transporter.</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23"/>
          <w:szCs w:val="23"/>
          <w:color w:val="auto"/>
        </w:rPr>
        <w:t xml:space="preserve">SECTION 6. </w:t>
      </w:r>
      <w:r>
        <w:rPr>
          <w:rFonts w:ascii="Arial" w:cs="Arial" w:eastAsia="Arial" w:hAnsi="Arial"/>
          <w:sz w:val="18"/>
          <w:szCs w:val="18"/>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21590</wp:posOffset>
            </wp:positionV>
            <wp:extent cx="6103620" cy="17056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6103620" cy="1705610"/>
                    </a:xfrm>
                    <a:prstGeom prst="rect">
                      <a:avLst/>
                    </a:prstGeom>
                    <a:noFill/>
                  </pic:spPr>
                </pic:pic>
              </a:graphicData>
            </a:graphic>
          </wp:anchor>
        </w:drawing>
      </w:r>
    </w:p>
    <w:p>
      <w:pPr>
        <w:spacing w:after="0" w:line="71" w:lineRule="exact"/>
        <w:rPr>
          <w:sz w:val="20"/>
          <w:szCs w:val="20"/>
          <w:color w:val="auto"/>
        </w:rPr>
      </w:pPr>
    </w:p>
    <w:p>
      <w:pPr>
        <w:ind w:left="620" w:right="880"/>
        <w:spacing w:after="0" w:line="252" w:lineRule="auto"/>
        <w:rPr>
          <w:sz w:val="20"/>
          <w:szCs w:val="20"/>
          <w:color w:val="auto"/>
        </w:rPr>
      </w:pPr>
      <w:r>
        <w:rPr>
          <w:rFonts w:ascii="Arial" w:cs="Arial" w:eastAsia="Arial" w:hAnsi="Arial"/>
          <w:sz w:val="15"/>
          <w:szCs w:val="15"/>
          <w:b w:val="1"/>
          <w:bCs w:val="1"/>
          <w:color w:val="auto"/>
        </w:rPr>
        <w:t>The parties have selected either “Buyer Pays At and After Delivery Point” or “Seller Pays Before and At Delivery Point” as indicated on the Base Contract.</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Buyer Pays At and After Delivery Point:</w:t>
      </w:r>
    </w:p>
    <w:p>
      <w:pPr>
        <w:spacing w:after="0" w:line="119" w:lineRule="exact"/>
        <w:rPr>
          <w:sz w:val="20"/>
          <w:szCs w:val="20"/>
          <w:color w:val="auto"/>
        </w:rPr>
      </w:pPr>
    </w:p>
    <w:p>
      <w:pPr>
        <w:jc w:val="both"/>
        <w:ind w:left="620" w:right="740"/>
        <w:spacing w:after="0" w:line="216" w:lineRule="auto"/>
        <w:rPr>
          <w:sz w:val="20"/>
          <w:szCs w:val="20"/>
          <w:color w:val="auto"/>
        </w:rPr>
      </w:pPr>
      <w:r>
        <w:rPr>
          <w:rFonts w:ascii="Arial" w:cs="Arial" w:eastAsia="Arial" w:hAnsi="Arial"/>
          <w:sz w:val="15"/>
          <w:szCs w:val="15"/>
          <w:color w:val="auto"/>
        </w:rPr>
        <w:t>Seller shall pay or cause to be paid all taxes, fees, levies, penalties, licenses or charges imposed by any government authority (“Taxes”) on or with respect to the Gas prior to the Delivery Point(s). Buyer shall pay or cause to be paid all Taxes on or with respect to the Gas at the Delivery Point(s) and all Taxes after the Delivery Point(s). If a party is required to remit or pay Taxes that are the other party’s responsibility hereunder, the party responsible for such Taxes shall promptly reimburse the other party for such Taxes. Any party entitled to an exemption from any such Taxes or charges shall furnish the other party any necessary documentation thereof.</w:t>
      </w:r>
    </w:p>
    <w:p>
      <w:pPr>
        <w:spacing w:after="0" w:line="66"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Seller Pays Before and At Delivery Point:</w:t>
      </w:r>
    </w:p>
    <w:p>
      <w:pPr>
        <w:spacing w:after="0" w:line="119" w:lineRule="exact"/>
        <w:rPr>
          <w:sz w:val="20"/>
          <w:szCs w:val="20"/>
          <w:color w:val="auto"/>
        </w:rPr>
      </w:pPr>
    </w:p>
    <w:p>
      <w:pPr>
        <w:jc w:val="both"/>
        <w:ind w:left="620" w:right="740"/>
        <w:spacing w:after="0" w:line="216" w:lineRule="auto"/>
        <w:rPr>
          <w:sz w:val="20"/>
          <w:szCs w:val="20"/>
          <w:color w:val="auto"/>
        </w:rPr>
      </w:pPr>
      <w:r>
        <w:rPr>
          <w:rFonts w:ascii="Arial" w:cs="Arial" w:eastAsia="Arial" w:hAnsi="Arial"/>
          <w:sz w:val="15"/>
          <w:szCs w:val="15"/>
          <w:color w:val="auto"/>
        </w:rPr>
        <w:t>Seller shall pay or cause to be paid all taxes, fees, levies, penalties, licenses or charges imposed by any government authority (“Taxes”) on or with respect to the Gas prior to the Delivery Point(s) and all Taxes at the Delivery Point(s). Buyer shall pay or cause to be paid all Taxes on or with respect to the Gas after the Delivery Point(s). If a party is required to remit or pay Taxes that are the other party’s responsibility hereunder, the party responsible for such Taxes shall promptly reimburse the other party for such Taxes. Any party entitled to an exemption from any such Taxes or charges shall furnish the other party any necessary documentation thereof.</w:t>
      </w:r>
    </w:p>
    <w:p>
      <w:pPr>
        <w:spacing w:after="0" w:line="129"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7.</w:t>
      </w:r>
      <w:r>
        <w:rPr>
          <w:sz w:val="20"/>
          <w:szCs w:val="20"/>
          <w:color w:val="auto"/>
        </w:rPr>
        <w:tab/>
      </w:r>
      <w:r>
        <w:rPr>
          <w:rFonts w:ascii="Arial" w:cs="Arial" w:eastAsia="Arial" w:hAnsi="Arial"/>
          <w:sz w:val="17"/>
          <w:szCs w:val="17"/>
          <w:color w:val="auto"/>
        </w:rPr>
        <w:t>BILLING, PAYMENT, AND AUDIT</w:t>
      </w:r>
    </w:p>
    <w:p>
      <w:pPr>
        <w:spacing w:after="0" w:line="45" w:lineRule="exact"/>
        <w:rPr>
          <w:sz w:val="20"/>
          <w:szCs w:val="20"/>
          <w:color w:val="auto"/>
        </w:rPr>
      </w:pPr>
    </w:p>
    <w:p>
      <w:pPr>
        <w:jc w:val="both"/>
        <w:ind w:left="500"/>
        <w:spacing w:after="0" w:line="26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4"/>
          <w:szCs w:val="14"/>
          <w:color w:val="auto"/>
        </w:rPr>
        <w:t>Seller shall invoice Buyer for Gas delivered and received in the preceding Month and for any other applicable charges, providing supporting</w:t>
      </w:r>
      <w:r>
        <w:rPr>
          <w:rFonts w:ascii="Arial" w:cs="Arial" w:eastAsia="Arial" w:hAnsi="Arial"/>
          <w:sz w:val="16"/>
          <w:szCs w:val="16"/>
          <w:color w:val="auto"/>
        </w:rPr>
        <w:t xml:space="preserve"> </w:t>
      </w:r>
      <w:r>
        <w:rPr>
          <w:rFonts w:ascii="Arial" w:cs="Arial" w:eastAsia="Arial" w:hAnsi="Arial"/>
          <w:sz w:val="14"/>
          <w:szCs w:val="14"/>
          <w:color w:val="auto"/>
        </w:rPr>
        <w:t>documentation acceptable in industry practice to support the amount charged. If the actual quantity delivered is not known by the billing date, billing will be prepared based on the quantity of Scheduled Gas. The invoiced quantity will then be adjusted to the actual quantity on the following Month's billing or as soon thereafter as actual delivery information is available.</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060" w:type="dxa"/>
            <w:vAlign w:val="bottom"/>
          </w:tcPr>
          <w:p>
            <w:pPr>
              <w:spacing w:after="0"/>
              <w:rPr>
                <w:sz w:val="20"/>
                <w:szCs w:val="20"/>
                <w:color w:val="auto"/>
              </w:rPr>
            </w:pPr>
            <w:r>
              <w:rPr>
                <w:rFonts w:ascii="Arial" w:cs="Arial" w:eastAsia="Arial" w:hAnsi="Arial"/>
                <w:sz w:val="13"/>
                <w:szCs w:val="13"/>
                <w:color w:val="auto"/>
              </w:rPr>
              <w:t>Page 9 of</w:t>
            </w:r>
          </w:p>
        </w:tc>
        <w:tc>
          <w:tcPr>
            <w:tcW w:w="4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356" w:lineRule="exact"/>
        <w:rPr>
          <w:sz w:val="20"/>
          <w:szCs w:val="20"/>
          <w:color w:val="auto"/>
        </w:rPr>
      </w:pPr>
    </w:p>
    <w:p>
      <w:pPr>
        <w:jc w:val="both"/>
        <w:ind w:left="500"/>
        <w:spacing w:after="0" w:line="26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4"/>
          <w:szCs w:val="14"/>
          <w:color w:val="auto"/>
        </w:rPr>
        <w:t>Buyer shall remit the amount due under Section 7.1 in the manner specified in the Base Contract, in immediately available funds, on or before the</w:t>
      </w:r>
      <w:r>
        <w:rPr>
          <w:rFonts w:ascii="Arial" w:cs="Arial" w:eastAsia="Arial" w:hAnsi="Arial"/>
          <w:sz w:val="16"/>
          <w:szCs w:val="16"/>
          <w:color w:val="auto"/>
        </w:rPr>
        <w:t xml:space="preserve"> </w:t>
      </w:r>
      <w:r>
        <w:rPr>
          <w:rFonts w:ascii="Arial" w:cs="Arial" w:eastAsia="Arial" w:hAnsi="Arial"/>
          <w:sz w:val="14"/>
          <w:szCs w:val="14"/>
          <w:color w:val="auto"/>
        </w:rPr>
        <w:t>later of the Payment Date or 10 Days after receipt of the invoice by Buyer; provided that if the Payment Date is not a Business Day, payment is due on the next Business Day following that date. In the event any payments are due Buyer hereunder, payment to Buyer shall be made in accordance with this Section 7.2.</w:t>
      </w: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0"/>
                <w:szCs w:val="20"/>
                <w:color w:val="auto"/>
              </w:rPr>
            </w:pPr>
            <w:r>
              <w:rPr>
                <w:rFonts w:ascii="Arial" w:cs="Arial" w:eastAsia="Arial" w:hAnsi="Arial"/>
                <w:sz w:val="13"/>
                <w:szCs w:val="13"/>
                <w:color w:val="auto"/>
              </w:rPr>
              <w:t>Page 10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500"/>
        <w:spacing w:after="0" w:line="27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4"/>
          <w:szCs w:val="14"/>
          <w:color w:val="auto"/>
        </w:rPr>
        <w:t>In the event payments become due pursuant to Sections 3.2 or 3.3, the performing party may submit an invoice to the nonperforming party for an</w:t>
      </w:r>
      <w:r>
        <w:rPr>
          <w:rFonts w:ascii="Arial" w:cs="Arial" w:eastAsia="Arial" w:hAnsi="Arial"/>
          <w:sz w:val="16"/>
          <w:szCs w:val="16"/>
          <w:color w:val="auto"/>
        </w:rPr>
        <w:t xml:space="preserve"> </w:t>
      </w:r>
      <w:r>
        <w:rPr>
          <w:rFonts w:ascii="Arial" w:cs="Arial" w:eastAsia="Arial" w:hAnsi="Arial"/>
          <w:sz w:val="14"/>
          <w:szCs w:val="14"/>
          <w:color w:val="auto"/>
        </w:rPr>
        <w:t>accelerated payment setting forth the basis upon which the invoiced amount was calculated. Payment from the nonperforming party will be due five Business Days after receipt of invoice.</w:t>
      </w:r>
    </w:p>
    <w:p>
      <w:pPr>
        <w:spacing w:after="0" w:line="35" w:lineRule="exact"/>
        <w:rPr>
          <w:sz w:val="20"/>
          <w:szCs w:val="20"/>
          <w:color w:val="auto"/>
        </w:rPr>
      </w:pPr>
    </w:p>
    <w:p>
      <w:pPr>
        <w:jc w:val="both"/>
        <w:ind w:left="500"/>
        <w:spacing w:after="0" w:line="26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4"/>
          <w:szCs w:val="14"/>
          <w:color w:val="auto"/>
        </w:rPr>
        <w:t>If the invoiced party, in good faith, disputes the amount of any such invoice or any part thereof, such invoiced party will pay such amount as it</w:t>
      </w:r>
      <w:r>
        <w:rPr>
          <w:rFonts w:ascii="Arial" w:cs="Arial" w:eastAsia="Arial" w:hAnsi="Arial"/>
          <w:sz w:val="16"/>
          <w:szCs w:val="16"/>
          <w:color w:val="auto"/>
        </w:rPr>
        <w:t xml:space="preserve"> </w:t>
      </w:r>
      <w:r>
        <w:rPr>
          <w:rFonts w:ascii="Arial" w:cs="Arial" w:eastAsia="Arial" w:hAnsi="Arial"/>
          <w:sz w:val="14"/>
          <w:szCs w:val="14"/>
          <w:color w:val="auto"/>
        </w:rPr>
        <w:t>concedes to be correct; provided, however, if the invoiced party disputes the amount due, it must provide supporting documentation acceptable in industry practice to support the amount paid or disputed without undue delay. In the event the parties are unable to resolve such dispute, either party may pursue any remedy available at law or in equity to enforce its rights pursuant to this Section.</w:t>
      </w:r>
    </w:p>
    <w:p>
      <w:pPr>
        <w:spacing w:after="0" w:line="37" w:lineRule="exact"/>
        <w:rPr>
          <w:sz w:val="20"/>
          <w:szCs w:val="20"/>
          <w:color w:val="auto"/>
        </w:rPr>
      </w:pPr>
    </w:p>
    <w:p>
      <w:pPr>
        <w:jc w:val="both"/>
        <w:ind w:left="500"/>
        <w:spacing w:after="0" w:line="26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4"/>
          <w:szCs w:val="14"/>
          <w:color w:val="auto"/>
        </w:rPr>
        <w:t>If the invoiced party fails to remit the full amount payable when due, interest on the unpaid portion shall accrue from the date due until the date of</w:t>
      </w:r>
      <w:r>
        <w:rPr>
          <w:rFonts w:ascii="Arial" w:cs="Arial" w:eastAsia="Arial" w:hAnsi="Arial"/>
          <w:sz w:val="16"/>
          <w:szCs w:val="16"/>
          <w:color w:val="auto"/>
        </w:rPr>
        <w:t xml:space="preserve"> </w:t>
      </w:r>
      <w:r>
        <w:rPr>
          <w:rFonts w:ascii="Arial" w:cs="Arial" w:eastAsia="Arial" w:hAnsi="Arial"/>
          <w:sz w:val="14"/>
          <w:szCs w:val="14"/>
          <w:color w:val="auto"/>
        </w:rPr>
        <w:t>payment at a rate equal to the lower of (i) the then-effective prime rate of interest published under "Money Rates" by The Wall Street Journal, plus two percent per annum; or (ii) the maximum applicable lawful interest rate.</w:t>
      </w:r>
    </w:p>
    <w:p>
      <w:pPr>
        <w:spacing w:after="0" w:line="2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4"/>
          <w:szCs w:val="14"/>
          <w:color w:val="auto"/>
        </w:rPr>
        <w:t>A party shall have the right, at its own expense, upon reasonable Notice and at reasonable times, to examine and audit and to obtain copies of the</w:t>
      </w:r>
    </w:p>
    <w:p>
      <w:pPr>
        <w:spacing w:after="0" w:line="3" w:lineRule="exact"/>
        <w:rPr>
          <w:sz w:val="20"/>
          <w:szCs w:val="20"/>
          <w:color w:val="auto"/>
        </w:rPr>
      </w:pPr>
    </w:p>
    <w:p>
      <w:pPr>
        <w:jc w:val="both"/>
        <w:ind w:left="500"/>
        <w:spacing w:after="0" w:line="212" w:lineRule="auto"/>
        <w:rPr>
          <w:sz w:val="20"/>
          <w:szCs w:val="20"/>
          <w:color w:val="auto"/>
        </w:rPr>
      </w:pPr>
      <w:r>
        <w:rPr>
          <w:rFonts w:ascii="Arial" w:cs="Arial" w:eastAsia="Arial" w:hAnsi="Arial"/>
          <w:sz w:val="15"/>
          <w:szCs w:val="15"/>
          <w:color w:val="auto"/>
        </w:rPr>
        <w:t>relevant portion of the books, records, and telephone recordings of the other party only to the extent reasonably necessary to verify the accuracy of any statement, charge, payment, or computation made under the Contract. This right to examine, audit, and to obtain copies shall not be available with respect to proprietary information not directly relevant to transactions under this Contract. All invoices and billings shall be conclusively presumed final and accurate and all associated claims for under- or overpayments shall be deemed waived unless such invoices or billings are objected to in writing, with adequate explanation and/or documentation, within two years after the Month of Gas delivery. All retroactive adjustments under Section 7 shall be paid in full by the party owing payment within 30 Days of Notice and substantiation of such inaccuracy.</w:t>
      </w:r>
    </w:p>
    <w:p>
      <w:pPr>
        <w:spacing w:after="0" w:line="20" w:lineRule="exact"/>
        <w:rPr>
          <w:sz w:val="20"/>
          <w:szCs w:val="20"/>
          <w:color w:val="auto"/>
        </w:rPr>
      </w:pPr>
    </w:p>
    <w:p>
      <w:pPr>
        <w:jc w:val="both"/>
        <w:ind w:left="500"/>
        <w:spacing w:after="0" w:line="230"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4"/>
          <w:szCs w:val="14"/>
          <w:color w:val="auto"/>
        </w:rPr>
        <w:t>Unless the parties have elected on the Base Contract not to make this Section 7.7 applicable to this Contract, the parties shall net all undisputed</w:t>
      </w:r>
      <w:r>
        <w:rPr>
          <w:rFonts w:ascii="Arial" w:cs="Arial" w:eastAsia="Arial" w:hAnsi="Arial"/>
          <w:sz w:val="16"/>
          <w:szCs w:val="16"/>
          <w:color w:val="auto"/>
        </w:rPr>
        <w:t xml:space="preserve"> </w:t>
      </w:r>
      <w:r>
        <w:rPr>
          <w:rFonts w:ascii="Arial" w:cs="Arial" w:eastAsia="Arial" w:hAnsi="Arial"/>
          <w:sz w:val="14"/>
          <w:szCs w:val="14"/>
          <w:color w:val="auto"/>
        </w:rPr>
        <w:t>amounts due and owing, and/or past due, arising under the Contract such that the party owing the greater amount shall make a single payment of the net amount to the other party in accordance with Section 7; provided that no payment required to be made pursuant to the terms of any Credit Support Obligation or pursuant to Section 7.3 shall be subject to netting under this Section. If the parties have executed a separate netting agreement, the terms and conditions therein shall prevail to the extent inconsistent herewith.</w:t>
      </w:r>
    </w:p>
    <w:p>
      <w:pPr>
        <w:spacing w:after="0" w:line="18"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8.</w:t>
      </w:r>
      <w:r>
        <w:rPr>
          <w:sz w:val="20"/>
          <w:szCs w:val="20"/>
          <w:color w:val="auto"/>
        </w:rPr>
        <w:tab/>
      </w:r>
      <w:r>
        <w:rPr>
          <w:rFonts w:ascii="Arial" w:cs="Arial" w:eastAsia="Arial" w:hAnsi="Arial"/>
          <w:sz w:val="17"/>
          <w:szCs w:val="17"/>
          <w:color w:val="auto"/>
        </w:rPr>
        <w:t>TITLE, WARRANTY, AND INDEMNITY</w:t>
      </w:r>
    </w:p>
    <w:p>
      <w:pPr>
        <w:spacing w:after="0" w:line="45" w:lineRule="exact"/>
        <w:rPr>
          <w:sz w:val="20"/>
          <w:szCs w:val="20"/>
          <w:color w:val="auto"/>
        </w:rPr>
      </w:pPr>
    </w:p>
    <w:p>
      <w:pPr>
        <w:jc w:val="both"/>
        <w:ind w:left="500"/>
        <w:spacing w:after="0" w:line="27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4"/>
          <w:szCs w:val="14"/>
          <w:color w:val="auto"/>
        </w:rPr>
        <w:t>Unless otherwise specifically agreed, title to the Gas shall pass from Seller to Buyer at the Delivery Point(s). Seller shall have responsibility for and</w:t>
      </w:r>
      <w:r>
        <w:rPr>
          <w:rFonts w:ascii="Arial" w:cs="Arial" w:eastAsia="Arial" w:hAnsi="Arial"/>
          <w:sz w:val="16"/>
          <w:szCs w:val="16"/>
          <w:color w:val="auto"/>
        </w:rPr>
        <w:t xml:space="preserve"> </w:t>
      </w:r>
      <w:r>
        <w:rPr>
          <w:rFonts w:ascii="Arial" w:cs="Arial" w:eastAsia="Arial" w:hAnsi="Arial"/>
          <w:sz w:val="14"/>
          <w:szCs w:val="14"/>
          <w:color w:val="auto"/>
        </w:rPr>
        <w:t>assume any liability with respect to the Gas prior to its delivery to Buyer at the specified Delivery Point(s). Buyer shall have responsibility for and assume any liability with respect to said Gas after its delivery to Buyer at the Delivery Point(s).</w:t>
      </w:r>
    </w:p>
    <w:p>
      <w:pPr>
        <w:spacing w:after="0" w:line="35" w:lineRule="exact"/>
        <w:rPr>
          <w:sz w:val="20"/>
          <w:szCs w:val="20"/>
          <w:color w:val="auto"/>
        </w:rPr>
      </w:pPr>
    </w:p>
    <w:p>
      <w:pPr>
        <w:jc w:val="both"/>
        <w:ind w:left="500"/>
        <w:spacing w:after="0" w:line="26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4"/>
          <w:szCs w:val="14"/>
          <w:color w:val="auto"/>
        </w:rPr>
        <w:t>Seller warrants that it will have the right to convey and will transfer good and merchantable title to all Gas sold hereunder and delivered by it to</w:t>
      </w:r>
      <w:r>
        <w:rPr>
          <w:rFonts w:ascii="Arial" w:cs="Arial" w:eastAsia="Arial" w:hAnsi="Arial"/>
          <w:sz w:val="16"/>
          <w:szCs w:val="16"/>
          <w:color w:val="auto"/>
        </w:rPr>
        <w:t xml:space="preserve"> </w:t>
      </w:r>
      <w:r>
        <w:rPr>
          <w:rFonts w:ascii="Arial" w:cs="Arial" w:eastAsia="Arial" w:hAnsi="Arial"/>
          <w:sz w:val="14"/>
          <w:szCs w:val="14"/>
          <w:color w:val="auto"/>
        </w:rPr>
        <w:t>Buyer, free and clear of all liens, encumbrances, and claims. EXCEPT AS PROVIDED IN THIS SECTION 8.2 AND IN SECTION 15.8, ALL OTHER WARRANTIES, EXPRESS OR IMPLIED, INCLUDING ANY WARRANTY OF MERCHANTABILITY OR OF FITNESS FOR ANY PARTICULAR PURPOSE, ARE DISCLAIMED.</w:t>
      </w:r>
    </w:p>
    <w:p>
      <w:pPr>
        <w:spacing w:after="0" w:line="220" w:lineRule="exact"/>
        <w:rPr>
          <w:sz w:val="20"/>
          <w:szCs w:val="20"/>
          <w:color w:val="auto"/>
        </w:rPr>
      </w:pPr>
    </w:p>
    <w:p>
      <w:pPr>
        <w:jc w:val="both"/>
        <w:ind w:left="500"/>
        <w:spacing w:after="0" w:line="25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4"/>
          <w:szCs w:val="14"/>
          <w:color w:val="auto"/>
        </w:rPr>
        <w:t>Seller agrees to indemnify Buyer and save it harmless from all losses, liabilities or claims including reasonable attorneys' fees and costs of court</w:t>
      </w:r>
      <w:r>
        <w:rPr>
          <w:rFonts w:ascii="Arial" w:cs="Arial" w:eastAsia="Arial" w:hAnsi="Arial"/>
          <w:sz w:val="16"/>
          <w:szCs w:val="16"/>
          <w:color w:val="auto"/>
        </w:rPr>
        <w:t xml:space="preserve"> </w:t>
      </w:r>
      <w:r>
        <w:rPr>
          <w:rFonts w:ascii="Arial" w:cs="Arial" w:eastAsia="Arial" w:hAnsi="Arial"/>
          <w:sz w:val="14"/>
          <w:szCs w:val="14"/>
          <w:color w:val="auto"/>
        </w:rPr>
        <w:t>("Claims"), from any and all persons, arising from or out of claims of title, personal injury (including death) or property damage from said Gas or other charges thereon which attach before title passes to Buyer. Buyer agrees to indemnify Seller and save it harmless from all Claims, from any and all persons, arising from or out of claims regarding payment, personal injury (including death) or property damage from said Gas or other charges thereon which attach after title passes to Buyer.</w:t>
      </w:r>
    </w:p>
    <w:p>
      <w:pPr>
        <w:spacing w:after="0" w:line="205"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5"/>
          <w:szCs w:val="15"/>
          <w:color w:val="auto"/>
        </w:rPr>
        <w:t>The parties agree that the delivery of and the transfer of title to all Gas under this Contract shall take place within the Customs Territory of the</w:t>
      </w:r>
    </w:p>
    <w:p>
      <w:pPr>
        <w:spacing w:after="0" w:line="3" w:lineRule="exact"/>
        <w:rPr>
          <w:sz w:val="20"/>
          <w:szCs w:val="20"/>
          <w:color w:val="auto"/>
        </w:rPr>
      </w:pPr>
    </w:p>
    <w:p>
      <w:pPr>
        <w:jc w:val="both"/>
        <w:ind w:left="500"/>
        <w:spacing w:after="0" w:line="216" w:lineRule="auto"/>
        <w:rPr>
          <w:sz w:val="20"/>
          <w:szCs w:val="20"/>
          <w:color w:val="auto"/>
        </w:rPr>
      </w:pPr>
      <w:r>
        <w:rPr>
          <w:rFonts w:ascii="Arial" w:cs="Arial" w:eastAsia="Arial" w:hAnsi="Arial"/>
          <w:sz w:val="15"/>
          <w:szCs w:val="15"/>
          <w:color w:val="auto"/>
        </w:rPr>
        <w:t>United States (as defined in general note 2 of the Harmonized Tariff Schedule of the United States 19 U.S.C. §1202, General Notes, page 3); provided, however, that in the event Seller took title to the Gas outside the Customs Territory of the United States, Seller represents and warrants that it is the importer of record for all Gas entered and delivered into the United States, and shall be responsible for entry and entry summary filings as well as the payment of duties, taxes and fees, if any, and all applicable record keeping requirements.</w:t>
      </w:r>
    </w:p>
    <w:p>
      <w:pPr>
        <w:spacing w:after="0" w:line="18"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4"/>
          <w:szCs w:val="14"/>
          <w:color w:val="auto"/>
        </w:rPr>
        <w:t>Notwithstanding the other provisions of this Section 8, as between Seller and Buyer, Seller will be liable for all Claims to the extent that such arise</w:t>
      </w:r>
      <w:r>
        <w:rPr>
          <w:rFonts w:ascii="Arial" w:cs="Arial" w:eastAsia="Arial" w:hAnsi="Arial"/>
          <w:sz w:val="16"/>
          <w:szCs w:val="16"/>
          <w:color w:val="auto"/>
        </w:rPr>
        <w:t xml:space="preserve"> </w:t>
      </w:r>
      <w:r>
        <w:rPr>
          <w:rFonts w:ascii="Arial" w:cs="Arial" w:eastAsia="Arial" w:hAnsi="Arial"/>
          <w:sz w:val="14"/>
          <w:szCs w:val="14"/>
          <w:color w:val="auto"/>
        </w:rPr>
        <w:t>from the failure of Gas delivered by Seller to meet the quality requirements of Section 5.</w:t>
      </w:r>
    </w:p>
    <w:p>
      <w:pPr>
        <w:spacing w:after="0" w:line="3"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23"/>
          <w:szCs w:val="23"/>
          <w:color w:val="auto"/>
        </w:rPr>
        <w:t>SECTION 9.</w:t>
      </w:r>
      <w:r>
        <w:rPr>
          <w:sz w:val="20"/>
          <w:szCs w:val="20"/>
          <w:color w:val="auto"/>
        </w:rPr>
        <w:tab/>
      </w:r>
      <w:r>
        <w:rPr>
          <w:rFonts w:ascii="Arial" w:cs="Arial" w:eastAsia="Arial" w:hAnsi="Arial"/>
          <w:sz w:val="17"/>
          <w:szCs w:val="17"/>
          <w:color w:val="auto"/>
        </w:rPr>
        <w:t>NOTICES</w:t>
      </w:r>
    </w:p>
    <w:p>
      <w:pPr>
        <w:spacing w:after="0" w:line="45"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4"/>
          <w:szCs w:val="14"/>
          <w:color w:val="auto"/>
        </w:rPr>
        <w:t>All Transaction Confirmations, invoices, payment instructions, and other communications made pursuant to the Base Contract ("Notices") shall be</w:t>
      </w:r>
      <w:r>
        <w:rPr>
          <w:rFonts w:ascii="Arial" w:cs="Arial" w:eastAsia="Arial" w:hAnsi="Arial"/>
          <w:sz w:val="16"/>
          <w:szCs w:val="16"/>
          <w:color w:val="auto"/>
        </w:rPr>
        <w:t xml:space="preserve"> </w:t>
      </w:r>
      <w:r>
        <w:rPr>
          <w:rFonts w:ascii="Arial" w:cs="Arial" w:eastAsia="Arial" w:hAnsi="Arial"/>
          <w:sz w:val="14"/>
          <w:szCs w:val="14"/>
          <w:color w:val="auto"/>
        </w:rPr>
        <w:t>made to the addresses specified in writing by the respective parties from time to time.</w:t>
      </w:r>
    </w:p>
    <w:p>
      <w:pPr>
        <w:spacing w:after="0" w:line="17"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4"/>
          <w:szCs w:val="14"/>
          <w:color w:val="auto"/>
        </w:rPr>
        <w:t>All Notices required hereunder shall be in writing and may be sent by facsimile or mutually acceptable electronic means, a nationally recognized</w:t>
      </w:r>
      <w:r>
        <w:rPr>
          <w:rFonts w:ascii="Arial" w:cs="Arial" w:eastAsia="Arial" w:hAnsi="Arial"/>
          <w:sz w:val="16"/>
          <w:szCs w:val="16"/>
          <w:color w:val="auto"/>
        </w:rPr>
        <w:t xml:space="preserve"> </w:t>
      </w:r>
      <w:r>
        <w:rPr>
          <w:rFonts w:ascii="Arial" w:cs="Arial" w:eastAsia="Arial" w:hAnsi="Arial"/>
          <w:sz w:val="14"/>
          <w:szCs w:val="14"/>
          <w:color w:val="auto"/>
        </w:rPr>
        <w:t>overnight courier service, first class mail or hand delivered.</w:t>
      </w:r>
    </w:p>
    <w:p>
      <w:pPr>
        <w:spacing w:after="0" w:line="17" w:lineRule="exact"/>
        <w:rPr>
          <w:sz w:val="20"/>
          <w:szCs w:val="20"/>
          <w:color w:val="auto"/>
        </w:rPr>
      </w:pPr>
    </w:p>
    <w:p>
      <w:pPr>
        <w:jc w:val="both"/>
        <w:ind w:left="500"/>
        <w:spacing w:after="0" w:line="26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4"/>
          <w:szCs w:val="14"/>
          <w:color w:val="auto"/>
        </w:rPr>
        <w:t>Notice shall be given when received on a Business Day by the addressee. In the absence of proof of the actual receipt date, the following</w:t>
      </w:r>
      <w:r>
        <w:rPr>
          <w:rFonts w:ascii="Arial" w:cs="Arial" w:eastAsia="Arial" w:hAnsi="Arial"/>
          <w:sz w:val="16"/>
          <w:szCs w:val="16"/>
          <w:color w:val="auto"/>
        </w:rPr>
        <w:t xml:space="preserve"> </w:t>
      </w:r>
      <w:r>
        <w:rPr>
          <w:rFonts w:ascii="Arial" w:cs="Arial" w:eastAsia="Arial" w:hAnsi="Arial"/>
          <w:sz w:val="14"/>
          <w:szCs w:val="14"/>
          <w:color w:val="auto"/>
        </w:rPr>
        <w:t>presumptions will apply. Notices sent by facsimile shall be deemed to have been received upon the sending party's receipt of its facsimile machine's confirmation of successful transmission. If the day on which such facsimile is received is not a Business Day or is after five p.m. on a Business Day, then such facsimile shall be deemed to have been received on the next</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0"/>
                <w:szCs w:val="20"/>
                <w:color w:val="auto"/>
              </w:rPr>
            </w:pPr>
            <w:r>
              <w:rPr>
                <w:rFonts w:ascii="Arial" w:cs="Arial" w:eastAsia="Arial" w:hAnsi="Arial"/>
                <w:sz w:val="13"/>
                <w:szCs w:val="13"/>
                <w:color w:val="auto"/>
              </w:rPr>
              <w:t>Page 11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348" w:lineRule="exact"/>
        <w:rPr>
          <w:sz w:val="20"/>
          <w:szCs w:val="20"/>
          <w:color w:val="auto"/>
        </w:rPr>
      </w:pPr>
    </w:p>
    <w:p>
      <w:pPr>
        <w:ind w:left="500"/>
        <w:spacing w:after="0" w:line="261" w:lineRule="auto"/>
        <w:rPr>
          <w:sz w:val="20"/>
          <w:szCs w:val="20"/>
          <w:color w:val="auto"/>
        </w:rPr>
      </w:pPr>
      <w:r>
        <w:rPr>
          <w:rFonts w:ascii="Arial" w:cs="Arial" w:eastAsia="Arial" w:hAnsi="Arial"/>
          <w:sz w:val="15"/>
          <w:szCs w:val="15"/>
          <w:color w:val="auto"/>
        </w:rPr>
        <w:t>following Business Day. Notice by overnight mail or courier shall be deemed to have been received on the next Business Day after it was sent or such earlier time as is confirmed by the receiving party. Notice via first class mail shall be considered delivered five Business Days after mailing.</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060" w:type="dxa"/>
            <w:vAlign w:val="bottom"/>
          </w:tcPr>
          <w:p>
            <w:pPr>
              <w:spacing w:after="0"/>
              <w:rPr>
                <w:sz w:val="20"/>
                <w:szCs w:val="20"/>
                <w:color w:val="auto"/>
              </w:rPr>
            </w:pPr>
            <w:r>
              <w:rPr>
                <w:rFonts w:ascii="Arial" w:cs="Arial" w:eastAsia="Arial" w:hAnsi="Arial"/>
                <w:sz w:val="13"/>
                <w:szCs w:val="13"/>
                <w:color w:val="auto"/>
              </w:rPr>
              <w:t>Page 12 of</w:t>
            </w:r>
          </w:p>
        </w:tc>
        <w:tc>
          <w:tcPr>
            <w:tcW w:w="4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40" w:top="173" w:right="81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500" w:right="20"/>
        <w:spacing w:after="0" w:line="269"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4"/>
          <w:szCs w:val="14"/>
          <w:color w:val="auto"/>
        </w:rPr>
        <w:t>The party receiving a commercially acceptable Notice of change in payment instructions or other payment information shall not be obligated to</w:t>
      </w:r>
      <w:r>
        <w:rPr>
          <w:rFonts w:ascii="Arial" w:cs="Arial" w:eastAsia="Arial" w:hAnsi="Arial"/>
          <w:sz w:val="16"/>
          <w:szCs w:val="16"/>
          <w:color w:val="auto"/>
        </w:rPr>
        <w:t xml:space="preserve"> </w:t>
      </w:r>
      <w:r>
        <w:rPr>
          <w:rFonts w:ascii="Arial" w:cs="Arial" w:eastAsia="Arial" w:hAnsi="Arial"/>
          <w:sz w:val="14"/>
          <w:szCs w:val="14"/>
          <w:color w:val="auto"/>
        </w:rPr>
        <w:t>implement such change until ten Business Days after receipt of such Notice.</w:t>
      </w:r>
    </w:p>
    <w:p>
      <w:pPr>
        <w:spacing w:after="0" w:line="18" w:lineRule="exact"/>
        <w:rPr>
          <w:sz w:val="20"/>
          <w:szCs w:val="20"/>
          <w:color w:val="auto"/>
        </w:rPr>
      </w:pPr>
    </w:p>
    <w:p>
      <w:pPr>
        <w:ind w:left="500"/>
        <w:spacing w:after="0"/>
        <w:tabs>
          <w:tab w:leader="none" w:pos="2140" w:val="left"/>
        </w:tabs>
        <w:rPr>
          <w:sz w:val="20"/>
          <w:szCs w:val="20"/>
          <w:color w:val="auto"/>
        </w:rPr>
      </w:pPr>
      <w:r>
        <w:rPr>
          <w:rFonts w:ascii="Arial" w:cs="Arial" w:eastAsia="Arial" w:hAnsi="Arial"/>
          <w:sz w:val="23"/>
          <w:szCs w:val="23"/>
          <w:color w:val="auto"/>
        </w:rPr>
        <w:t>SECTION 10.</w:t>
      </w:r>
      <w:r>
        <w:rPr>
          <w:sz w:val="20"/>
          <w:szCs w:val="20"/>
          <w:color w:val="auto"/>
        </w:rPr>
        <w:tab/>
      </w:r>
      <w:r>
        <w:rPr>
          <w:rFonts w:ascii="Arial" w:cs="Arial" w:eastAsia="Arial" w:hAnsi="Arial"/>
          <w:sz w:val="18"/>
          <w:szCs w:val="18"/>
          <w:color w:val="auto"/>
        </w:rPr>
        <w:t>FINANCIAL RESPONSIBILITY</w:t>
      </w:r>
    </w:p>
    <w:p>
      <w:pPr>
        <w:spacing w:after="0" w:line="33"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If either party (“X”) has reasonable grounds for insecurity regarding the performance of any obligation under this Contract (whether or not then due)</w:t>
      </w:r>
    </w:p>
    <w:p>
      <w:pPr>
        <w:spacing w:after="0" w:line="3" w:lineRule="exact"/>
        <w:rPr>
          <w:sz w:val="20"/>
          <w:szCs w:val="20"/>
          <w:color w:val="auto"/>
        </w:rPr>
      </w:pPr>
    </w:p>
    <w:p>
      <w:pPr>
        <w:jc w:val="both"/>
        <w:ind w:left="500"/>
        <w:spacing w:after="0" w:line="211" w:lineRule="auto"/>
        <w:rPr>
          <w:sz w:val="20"/>
          <w:szCs w:val="20"/>
          <w:color w:val="auto"/>
        </w:rPr>
      </w:pPr>
      <w:r>
        <w:rPr>
          <w:rFonts w:ascii="Arial" w:cs="Arial" w:eastAsia="Arial" w:hAnsi="Arial"/>
          <w:sz w:val="15"/>
          <w:szCs w:val="15"/>
          <w:color w:val="auto"/>
        </w:rPr>
        <w:t>by the other party (“Y”) (including, without limitation, the occurrence of a material change in the creditworthiness of Y or its Guarantor, if applicable), X may demand Adequate Assurance of Performance. “Adequate Assurance of Performance” shall mean sufficient security in the form, amount, for a term, and from an issuer, all as reasonably acceptable to X, including, but not limited to cash, a standby irrevocable letter of credit, a prepayment, a security interest in an asset or guaranty. Y hereby grants to X a continuing first priority security interest in, lien on, and right of setoff against all Adequate Assurance of Performance in the form of cash transferred by Y to X pursuant to this Section 10.1. Upon the return by X to Y of such Adequate Assurance of Performance, the security interest and lien granted hereunder on that Adequate Assurance of Performance shall be released automatically and, to the extent possible, without any further action by either party.</w:t>
      </w:r>
    </w:p>
    <w:p>
      <w:pPr>
        <w:spacing w:after="0" w:line="21" w:lineRule="exact"/>
        <w:rPr>
          <w:sz w:val="20"/>
          <w:szCs w:val="20"/>
          <w:color w:val="auto"/>
        </w:rPr>
      </w:pPr>
    </w:p>
    <w:p>
      <w:pPr>
        <w:jc w:val="both"/>
        <w:ind w:left="500"/>
        <w:spacing w:after="0"/>
        <w:rPr>
          <w:sz w:val="20"/>
          <w:szCs w:val="20"/>
          <w:color w:val="auto"/>
        </w:rPr>
      </w:pPr>
      <w:r>
        <w:rPr>
          <w:rFonts w:ascii="Arial" w:cs="Arial" w:eastAsia="Arial" w:hAnsi="Arial"/>
          <w:sz w:val="16"/>
          <w:szCs w:val="16"/>
          <w:color w:val="auto"/>
        </w:rPr>
        <w:t xml:space="preserve">10.2. </w:t>
      </w:r>
      <w:r>
        <w:rPr>
          <w:rFonts w:ascii="Arial" w:cs="Arial" w:eastAsia="Arial" w:hAnsi="Arial"/>
          <w:sz w:val="14"/>
          <w:szCs w:val="14"/>
          <w:color w:val="auto"/>
        </w:rPr>
        <w:t>In the event (each an "Event of Default") either party (the "Defaulting Party") or its Guarantor shall: (i) make an assignment or any general</w:t>
      </w:r>
      <w:r>
        <w:rPr>
          <w:rFonts w:ascii="Arial" w:cs="Arial" w:eastAsia="Arial" w:hAnsi="Arial"/>
          <w:sz w:val="16"/>
          <w:szCs w:val="16"/>
          <w:color w:val="auto"/>
        </w:rPr>
        <w:t xml:space="preserve"> </w:t>
      </w:r>
      <w:r>
        <w:rPr>
          <w:rFonts w:ascii="Arial" w:cs="Arial" w:eastAsia="Arial" w:hAnsi="Arial"/>
          <w:sz w:val="14"/>
          <w:szCs w:val="14"/>
          <w:color w:val="auto"/>
        </w:rPr>
        <w:t>arrangement for the benefit of creditors; (ii) file a petition or otherwise commence, authorize, or acquiesce in the commencement of a proceeding or case under any bankruptcy or similar law for the protection of creditors or have such petition filed or proceeding commenced against it; (iii) otherwise become bankrupt or insolvent (however evidenced); (iv) be unable to pay its debts as they fall due; (v) have a receiver, provisional liquidator, conservator, custodian, trustee or other similar official appointed with respect to it or substantially all of its assets; (vi) fail to perform any obligation to the other party with respect to any Credit Support Obligations relating to the Contract; (vii) fail to give Adequate Assurance of Performance under Section 10.1 within 48 hours but at least one Business Day of a written request by the other party; (viii) not have paid any amount due the other party hereunder on or before the second Business Day following written Notice that such payment is due; or ix) be the affected party with respect to any Additional Event of Default; then the other party (the "Non-Defaulting Party") shall have the right, at its sole election, to immediately withhold and/or suspend deliveries or payments upon Notice and/or to terminate and liquidate the transactions under the Contract, in the manner provided in Section 10.3, in addition to any and all other remedies available hereunder.</w:t>
      </w:r>
    </w:p>
    <w:p>
      <w:pPr>
        <w:spacing w:after="0" w:line="68" w:lineRule="exact"/>
        <w:rPr>
          <w:sz w:val="20"/>
          <w:szCs w:val="20"/>
          <w:color w:val="auto"/>
        </w:rPr>
      </w:pPr>
    </w:p>
    <w:p>
      <w:pPr>
        <w:jc w:val="both"/>
        <w:ind w:left="500"/>
        <w:spacing w:after="0" w:line="227"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4"/>
          <w:szCs w:val="14"/>
          <w:color w:val="auto"/>
        </w:rPr>
        <w:t>If an Event of Default has occurred and is continuing, the Non-Defaulting Party shall have the right, by Notice to the Defaulting Party, to designate</w:t>
      </w:r>
      <w:r>
        <w:rPr>
          <w:rFonts w:ascii="Arial" w:cs="Arial" w:eastAsia="Arial" w:hAnsi="Arial"/>
          <w:sz w:val="16"/>
          <w:szCs w:val="16"/>
          <w:color w:val="auto"/>
        </w:rPr>
        <w:t xml:space="preserve"> </w:t>
      </w:r>
      <w:r>
        <w:rPr>
          <w:rFonts w:ascii="Arial" w:cs="Arial" w:eastAsia="Arial" w:hAnsi="Arial"/>
          <w:sz w:val="14"/>
          <w:szCs w:val="14"/>
          <w:color w:val="auto"/>
        </w:rPr>
        <w:t>a Day, no earlier than the Day such Notice is given and no later than 20 Days after such Notice is given, as an early termination date (the “Early Termination Date”) for the liquidation and termination pursuant to Section 10.3.1 of all transactions under the Contract, each a “Terminated Transaction”. On the Early Termination Date, all transactions will terminate, other than those transactions, if any, that may not be liquidated and terminated under applicable law (“Excluded Transactions”), which Excluded Transactions must be liquidated and terminated as soon thereafter as is legally permissible, and upon termination shall be a Terminated Transaction and be valued consistent with Section 10.3.1 below. With respect to each Excluded Transaction, its actual termination date shall be the Early Termination Date for purposes of Section 10.3.1.</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0"/>
                <w:szCs w:val="20"/>
                <w:color w:val="auto"/>
              </w:rPr>
            </w:pPr>
            <w:r>
              <w:rPr>
                <w:rFonts w:ascii="Arial" w:cs="Arial" w:eastAsia="Arial" w:hAnsi="Arial"/>
                <w:sz w:val="13"/>
                <w:szCs w:val="13"/>
                <w:color w:val="auto"/>
              </w:rPr>
              <w:t>Page 13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337820</wp:posOffset>
            </wp:positionV>
            <wp:extent cx="6103620" cy="2965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6103620" cy="296545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20" w:right="259"/>
        <w:spacing w:after="0" w:line="269" w:lineRule="auto"/>
        <w:rPr>
          <w:sz w:val="20"/>
          <w:szCs w:val="20"/>
          <w:color w:val="auto"/>
        </w:rPr>
      </w:pPr>
      <w:r>
        <w:rPr>
          <w:rFonts w:ascii="Arial" w:cs="Arial" w:eastAsia="Arial" w:hAnsi="Arial"/>
          <w:sz w:val="15"/>
          <w:szCs w:val="15"/>
          <w:b w:val="1"/>
          <w:bCs w:val="1"/>
          <w:color w:val="auto"/>
        </w:rPr>
        <w:t>The parties have selected either “Early Termination Damages Apply” or “Early Termination Damages Do Not Apply” as indicated on the Base Contract.</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Early Termination Damages Apply:</w:t>
      </w:r>
    </w:p>
    <w:p>
      <w:pPr>
        <w:spacing w:after="0" w:line="127" w:lineRule="exact"/>
        <w:rPr>
          <w:sz w:val="20"/>
          <w:szCs w:val="20"/>
          <w:color w:val="auto"/>
        </w:rPr>
      </w:pPr>
    </w:p>
    <w:p>
      <w:pPr>
        <w:jc w:val="both"/>
        <w:ind w:left="620" w:right="99" w:firstLine="296"/>
        <w:spacing w:after="0"/>
        <w:rPr>
          <w:sz w:val="20"/>
          <w:szCs w:val="20"/>
          <w:color w:val="auto"/>
        </w:rPr>
      </w:pPr>
      <w:r>
        <w:rPr>
          <w:rFonts w:ascii="Arial" w:cs="Arial" w:eastAsia="Arial" w:hAnsi="Arial"/>
          <w:sz w:val="16"/>
          <w:szCs w:val="16"/>
          <w:color w:val="auto"/>
        </w:rPr>
        <w:t xml:space="preserve">10.3.1. </w:t>
      </w:r>
      <w:r>
        <w:rPr>
          <w:rFonts w:ascii="Arial" w:cs="Arial" w:eastAsia="Arial" w:hAnsi="Arial"/>
          <w:sz w:val="14"/>
          <w:szCs w:val="14"/>
          <w:color w:val="auto"/>
        </w:rPr>
        <w:t>As of the Early Termination Date, the Non-Defaulting Party shall determine, in good faith and in a commercially reasonable</w:t>
      </w:r>
      <w:r>
        <w:rPr>
          <w:rFonts w:ascii="Arial" w:cs="Arial" w:eastAsia="Arial" w:hAnsi="Arial"/>
          <w:sz w:val="16"/>
          <w:szCs w:val="16"/>
          <w:color w:val="auto"/>
        </w:rPr>
        <w:t xml:space="preserve"> </w:t>
      </w:r>
      <w:r>
        <w:rPr>
          <w:rFonts w:ascii="Arial" w:cs="Arial" w:eastAsia="Arial" w:hAnsi="Arial"/>
          <w:sz w:val="14"/>
          <w:szCs w:val="14"/>
          <w:color w:val="auto"/>
        </w:rPr>
        <w:t>manner, (i) the amount owed (whether or not then due) by each party with respect to all Gas delivered and received between the parties under Terminated Transactions and Excluded Transactions on and before the Early Termination Date and all other applicable charges relating to such deliveries and receipts (including without limitation any amounts owed under Section 3.2), for which payment has not yet been made by the party that owes such payment under this Contract and (ii) the Market Value, as defined below, of each Terminated Transaction. The Non-Defaulting Party shall (x) liquidate and accelerate each Terminated Transaction at its Market Value, so that each amount equal to the difference between such Market Value and the Contract Value, as defined below, of such Terminated Transaction(s) shall be due to the Buyer under the Terminated Transaction(s) if such Market Value exceeds the Contract Value and to the Seller if the opposite is the case; and (y) where appropriate, discount each amount then due under clause (x) above to present value in a commercially reasonable manner as of the Early Termination Date (to take account of the period between the date of liquidation and the date on which such amount would have otherwise been due pursuant to the relevant Terminated Transactions).</w:t>
      </w:r>
    </w:p>
    <w:p>
      <w:pPr>
        <w:spacing w:after="0" w:line="72" w:lineRule="exact"/>
        <w:rPr>
          <w:sz w:val="20"/>
          <w:szCs w:val="20"/>
          <w:color w:val="auto"/>
        </w:rPr>
      </w:pPr>
    </w:p>
    <w:p>
      <w:pPr>
        <w:jc w:val="both"/>
        <w:ind w:left="620" w:right="99"/>
        <w:spacing w:after="0" w:line="207" w:lineRule="auto"/>
        <w:rPr>
          <w:sz w:val="20"/>
          <w:szCs w:val="20"/>
          <w:color w:val="auto"/>
        </w:rPr>
      </w:pPr>
      <w:r>
        <w:rPr>
          <w:rFonts w:ascii="Arial" w:cs="Arial" w:eastAsia="Arial" w:hAnsi="Arial"/>
          <w:sz w:val="15"/>
          <w:szCs w:val="15"/>
          <w:color w:val="auto"/>
        </w:rPr>
        <w:t>For purposes of this Section 10.3.1, “Contract Value” means the amount of Gas remaining to be delivered or purchased under a transaction multiplied by the Contract Price, and “Market Value” means the amount of Gas remaining to be delivered or purchased under a transaction multiplied by the market price for a similar transaction at the Delivery Point determined by the Non-Defaulting Party in a commercially reasonable manner. To ascertain the Market Value, the Non-Defaulting Party may consider, among other valuations, any or all of the settlement prices of NYMEX Gas futures contracts, quotations from leading dealers in energy swap contracts or physical gas trading markets, similar sales or purchases and any other bona fide third-party offers, all adjusted for the length of the term and differences in transportation costs. A party shall not be required to enter into a replacement transaction(s) in order to determine the Market Value. Any extension(s) of the term of a transaction to which parties are not bound as of the Early Termination Date (including but not limited to “evergreen provisions”) shall not be considered in determining Contract Values and Market Values. For the avoidance of doubt, any option pursuant to which one party has the right to extend</w:t>
      </w:r>
    </w:p>
    <w:p>
      <w:pPr>
        <w:spacing w:after="0" w:line="1" w:lineRule="exact"/>
        <w:rPr>
          <w:sz w:val="20"/>
          <w:szCs w:val="20"/>
          <w:color w:val="auto"/>
        </w:rPr>
      </w:pPr>
    </w:p>
    <w:p>
      <w:pPr>
        <w:jc w:val="both"/>
        <w:ind w:left="620" w:right="99"/>
        <w:spacing w:after="0" w:line="247" w:lineRule="auto"/>
        <w:rPr>
          <w:sz w:val="20"/>
          <w:szCs w:val="20"/>
          <w:color w:val="auto"/>
        </w:rPr>
      </w:pPr>
      <w:r>
        <w:rPr>
          <w:rFonts w:ascii="Arial" w:cs="Arial" w:eastAsia="Arial" w:hAnsi="Arial"/>
          <w:sz w:val="15"/>
          <w:szCs w:val="15"/>
          <w:color w:val="auto"/>
        </w:rPr>
        <w:t>the term of a transaction shall be considered in determining Contract Values and Market Values. The rate of interest used in calculating net present value shall be determined by the Non-Defaulting Party in a commercially reasonable manner.</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Early Termination Damages Do Not Apply:</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0"/>
                <w:szCs w:val="20"/>
                <w:color w:val="auto"/>
              </w:rPr>
            </w:pPr>
            <w:r>
              <w:rPr>
                <w:rFonts w:ascii="Arial" w:cs="Arial" w:eastAsia="Arial" w:hAnsi="Arial"/>
                <w:sz w:val="13"/>
                <w:szCs w:val="13"/>
                <w:color w:val="auto"/>
              </w:rPr>
              <w:t>Page 14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119"/>
          </w:cols>
          <w:pgMar w:left="340" w:top="173" w:right="1440"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619760</wp:posOffset>
            </wp:positionV>
            <wp:extent cx="6103620" cy="399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6103620" cy="399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620" w:right="740" w:firstLine="296"/>
        <w:spacing w:after="0" w:line="209" w:lineRule="auto"/>
        <w:rPr>
          <w:sz w:val="20"/>
          <w:szCs w:val="20"/>
          <w:color w:val="auto"/>
        </w:rPr>
      </w:pPr>
      <w:r>
        <w:rPr>
          <w:rFonts w:ascii="Arial" w:cs="Arial" w:eastAsia="Arial" w:hAnsi="Arial"/>
          <w:sz w:val="15"/>
          <w:szCs w:val="15"/>
          <w:color w:val="auto"/>
        </w:rPr>
        <w:t>10.3.1. As of the Early Termination Date, the Non-Defaulting Party shall determine, in good faith and in a commercially reasonable manner, the amount owed (whether or not then due) by each party with respect to all Gas delivered and received between the parties under Terminated Transactions and Excluded Transactions on and before the Early Termination Date and all other applicable charges relating to such deliveries and receipts (including without limitation any amounts owed under Section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3.2), for which payment has not yet been made by the party that owes such payment under this Contract.</w:t>
      </w:r>
    </w:p>
    <w:p>
      <w:pPr>
        <w:spacing w:after="0" w:line="81" w:lineRule="exact"/>
        <w:rPr>
          <w:sz w:val="20"/>
          <w:szCs w:val="20"/>
          <w:color w:val="auto"/>
        </w:rPr>
      </w:pPr>
    </w:p>
    <w:p>
      <w:pPr>
        <w:ind w:left="620" w:right="1000"/>
        <w:spacing w:after="0" w:line="286" w:lineRule="auto"/>
        <w:rPr>
          <w:sz w:val="20"/>
          <w:szCs w:val="20"/>
          <w:color w:val="auto"/>
        </w:rPr>
      </w:pPr>
      <w:r>
        <w:rPr>
          <w:rFonts w:ascii="Arial" w:cs="Arial" w:eastAsia="Arial" w:hAnsi="Arial"/>
          <w:sz w:val="15"/>
          <w:szCs w:val="15"/>
          <w:b w:val="1"/>
          <w:bCs w:val="1"/>
          <w:color w:val="auto"/>
        </w:rPr>
        <w:t>The parties have selected either “Other Agreement Setoffs Apply” or “Other Agreement Setoffs Do Not Apply” as indicated on the Base Contract.</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Other Agreement Setoffs Apply:</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Bilateral Setoff Option:</w:t>
      </w:r>
    </w:p>
    <w:p>
      <w:pPr>
        <w:spacing w:after="0" w:line="77" w:lineRule="exact"/>
        <w:rPr>
          <w:sz w:val="20"/>
          <w:szCs w:val="20"/>
          <w:color w:val="auto"/>
        </w:rPr>
      </w:pPr>
    </w:p>
    <w:p>
      <w:pPr>
        <w:jc w:val="both"/>
        <w:ind w:left="620" w:right="740" w:firstLine="296"/>
        <w:spacing w:after="0" w:line="259" w:lineRule="auto"/>
        <w:rPr>
          <w:sz w:val="20"/>
          <w:szCs w:val="20"/>
          <w:color w:val="auto"/>
        </w:rPr>
      </w:pPr>
      <w:r>
        <w:rPr>
          <w:rFonts w:ascii="Arial" w:cs="Arial" w:eastAsia="Arial" w:hAnsi="Arial"/>
          <w:sz w:val="16"/>
          <w:szCs w:val="16"/>
          <w:color w:val="auto"/>
        </w:rPr>
        <w:t xml:space="preserve">10.3.2. </w:t>
      </w:r>
      <w:r>
        <w:rPr>
          <w:rFonts w:ascii="Arial" w:cs="Arial" w:eastAsia="Arial" w:hAnsi="Arial"/>
          <w:sz w:val="14"/>
          <w:szCs w:val="14"/>
          <w:color w:val="auto"/>
        </w:rPr>
        <w:t>The Non-Defaulting Party shall net or aggregate, as appropriate, any and all amounts owing between the parties under Section</w:t>
      </w:r>
      <w:r>
        <w:rPr>
          <w:rFonts w:ascii="Arial" w:cs="Arial" w:eastAsia="Arial" w:hAnsi="Arial"/>
          <w:sz w:val="16"/>
          <w:szCs w:val="16"/>
          <w:color w:val="auto"/>
        </w:rPr>
        <w:t xml:space="preserve"> </w:t>
      </w:r>
      <w:r>
        <w:rPr>
          <w:rFonts w:ascii="Arial" w:cs="Arial" w:eastAsia="Arial" w:hAnsi="Arial"/>
          <w:sz w:val="14"/>
          <w:szCs w:val="14"/>
          <w:color w:val="auto"/>
        </w:rPr>
        <w:t>10.3.1, so that all such amounts are netted or aggregated to a single liquidated amount payable by one party to the other (the “Net Settlement Amount”). At its sole option and without prior Notice to the Defaulting Party, the Non-Defaulting Party is hereby authorized to setoff any Net Settlement Amount against (i) any margin or other collateral held by a party in connection with any Credit Support Obligation relating to the Contract; and (ii) any amount(s) (including any excess cash margin or excess cash collateral) owed or held by the party that is entitled to the Net Settlement Amount under any other agreement or arrangement between the parties.</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Triangular Setoff Option:</w:t>
      </w:r>
    </w:p>
    <w:p>
      <w:pPr>
        <w:spacing w:after="0" w:line="70" w:lineRule="exact"/>
        <w:rPr>
          <w:sz w:val="20"/>
          <w:szCs w:val="20"/>
          <w:color w:val="auto"/>
        </w:rPr>
      </w:pPr>
    </w:p>
    <w:p>
      <w:pPr>
        <w:ind w:left="620" w:right="740" w:firstLine="286"/>
        <w:spacing w:after="0" w:line="210" w:lineRule="auto"/>
        <w:rPr>
          <w:sz w:val="20"/>
          <w:szCs w:val="20"/>
          <w:color w:val="auto"/>
        </w:rPr>
      </w:pPr>
      <w:r>
        <w:rPr>
          <w:rFonts w:ascii="Arial" w:cs="Arial" w:eastAsia="Arial" w:hAnsi="Arial"/>
          <w:sz w:val="15"/>
          <w:szCs w:val="15"/>
          <w:color w:val="auto"/>
        </w:rPr>
        <w:t>10.3.2. The Non-Defaulting Party shall net or aggregate, as appropriate, any and all amounts owing between the parties under Section 10.3.1, so that all such amounts are netted or aggregated to a single liquidated amount payable by one party to the other (the “Net Settlement Amount”). At its sole option, and without prior Notice to the Defaulting Party, the Non-Defaulting Party is hereby authorized to setoff (i) any Net Settlement Amount against any margin or other collateral held by a party in connection with any Credit Support Obligation relating to the Contract; (ii) any Net Settlement Amount against any amount(s) (including any excess cash margin or excess cash collateral) owed by or to a party under any other agreement or arrangement between the parties; (iii) any Net Settlement Amount owed to the Non-Defaulting Party against any amount(s) (including any excess cash margin or excess cash collateral) owed by the Non-Defaulting Party or its Affiliates to the Defaulting Party under any other agreement or arrangement; (iv) any Net Settlement Amount owed to the Defaulting Party against any amount(s) (including any excess cash margin or excess cash collateral) owed by the Defaulting Party to the Non-Defaulting Party or its Affiliates under any other agreement or arrangement; and/or (v) any Net Settlement Amount owed to the Defaulting Party against any amount(s) (including any excess cash margin or excess cash collateral) owed by the Defaulting Party or its Affiliates to the Non-Defaulting Party under any other agreement or arrangement.</w:t>
      </w:r>
    </w:p>
    <w:p>
      <w:pPr>
        <w:spacing w:after="0" w:line="79"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Other Agreement Setoffs Do Not Apply:</w:t>
      </w:r>
    </w:p>
    <w:p>
      <w:pPr>
        <w:spacing w:after="0" w:line="119" w:lineRule="exact"/>
        <w:rPr>
          <w:sz w:val="20"/>
          <w:szCs w:val="20"/>
          <w:color w:val="auto"/>
        </w:rPr>
      </w:pPr>
    </w:p>
    <w:p>
      <w:pPr>
        <w:jc w:val="both"/>
        <w:ind w:left="620" w:right="740" w:firstLine="296"/>
        <w:spacing w:after="0" w:line="210" w:lineRule="auto"/>
        <w:rPr>
          <w:sz w:val="20"/>
          <w:szCs w:val="20"/>
          <w:color w:val="auto"/>
        </w:rPr>
      </w:pPr>
      <w:r>
        <w:rPr>
          <w:rFonts w:ascii="Arial" w:cs="Arial" w:eastAsia="Arial" w:hAnsi="Arial"/>
          <w:sz w:val="15"/>
          <w:szCs w:val="15"/>
          <w:color w:val="auto"/>
        </w:rPr>
        <w:t>10.3.2. The Non-Defaulting Party shall net or aggregate, as appropriate, any and all amounts owing between the parties under Section 10.3.1, so that all such amounts are netted or aggregated to a single liquidated amount payable by one party to the other (the “Net Settlement Amount”). At its sole option and without prior Notice to the Defaulting Party, the Non-Defaulting Party</w:t>
      </w:r>
    </w:p>
    <w:p>
      <w:pPr>
        <w:spacing w:after="0" w:line="1" w:lineRule="exact"/>
        <w:rPr>
          <w:sz w:val="20"/>
          <w:szCs w:val="20"/>
          <w:color w:val="auto"/>
        </w:rPr>
      </w:pPr>
    </w:p>
    <w:p>
      <w:pPr>
        <w:jc w:val="both"/>
        <w:ind w:left="620" w:right="740"/>
        <w:spacing w:after="0" w:line="247" w:lineRule="auto"/>
        <w:rPr>
          <w:sz w:val="20"/>
          <w:szCs w:val="20"/>
          <w:color w:val="auto"/>
        </w:rPr>
      </w:pPr>
      <w:r>
        <w:rPr>
          <w:rFonts w:ascii="Arial" w:cs="Arial" w:eastAsia="Arial" w:hAnsi="Arial"/>
          <w:sz w:val="15"/>
          <w:szCs w:val="15"/>
          <w:color w:val="auto"/>
        </w:rPr>
        <w:t>may setoff any Net Settlement Amount against any margin or other collateral held by a party in connection with any Credit Support Obligation relating to the Contract.</w:t>
      </w:r>
    </w:p>
    <w:p>
      <w:pPr>
        <w:spacing w:after="0" w:line="173" w:lineRule="exact"/>
        <w:rPr>
          <w:sz w:val="20"/>
          <w:szCs w:val="20"/>
          <w:color w:val="auto"/>
        </w:rPr>
      </w:pPr>
    </w:p>
    <w:p>
      <w:pPr>
        <w:jc w:val="both"/>
        <w:ind w:left="500" w:firstLine="296"/>
        <w:spacing w:after="0" w:line="266" w:lineRule="auto"/>
        <w:rPr>
          <w:sz w:val="20"/>
          <w:szCs w:val="20"/>
          <w:color w:val="auto"/>
        </w:rPr>
      </w:pPr>
      <w:r>
        <w:rPr>
          <w:rFonts w:ascii="Arial" w:cs="Arial" w:eastAsia="Arial" w:hAnsi="Arial"/>
          <w:sz w:val="16"/>
          <w:szCs w:val="16"/>
          <w:color w:val="auto"/>
        </w:rPr>
        <w:t xml:space="preserve">10.3.3. </w:t>
      </w:r>
      <w:r>
        <w:rPr>
          <w:rFonts w:ascii="Arial" w:cs="Arial" w:eastAsia="Arial" w:hAnsi="Arial"/>
          <w:sz w:val="14"/>
          <w:szCs w:val="14"/>
          <w:color w:val="auto"/>
        </w:rPr>
        <w:t>If any obligation that is to be included in any netting, aggregation or setoff pursuant to Section 10.3.2 is unascertained, the Non-Defaulting Party</w:t>
      </w:r>
      <w:r>
        <w:rPr>
          <w:rFonts w:ascii="Arial" w:cs="Arial" w:eastAsia="Arial" w:hAnsi="Arial"/>
          <w:sz w:val="16"/>
          <w:szCs w:val="16"/>
          <w:color w:val="auto"/>
        </w:rPr>
        <w:t xml:space="preserve"> </w:t>
      </w:r>
      <w:r>
        <w:rPr>
          <w:rFonts w:ascii="Arial" w:cs="Arial" w:eastAsia="Arial" w:hAnsi="Arial"/>
          <w:sz w:val="14"/>
          <w:szCs w:val="14"/>
          <w:color w:val="auto"/>
        </w:rPr>
        <w:t>may in good faith estimate that obligation and net, aggregate or setoff, as applicable, in respect of the estimate, subject to the Non-Defaulting Party accounting to the Defaulting Party when the obligation is ascertained. Any amount not then due which is included in any netting, aggregation or setoff pursuant to Section 10.3.2 shall be discounted to net present value in a commercially reasonable manner determined by the Non-Defaulting Party.</w:t>
      </w:r>
    </w:p>
    <w:p>
      <w:pPr>
        <w:spacing w:after="0" w:line="25" w:lineRule="exact"/>
        <w:rPr>
          <w:sz w:val="20"/>
          <w:szCs w:val="20"/>
          <w:color w:val="auto"/>
        </w:rPr>
      </w:pPr>
    </w:p>
    <w:p>
      <w:pPr>
        <w:jc w:val="both"/>
        <w:ind w:left="500"/>
        <w:spacing w:after="0" w:line="22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4"/>
          <w:szCs w:val="14"/>
          <w:color w:val="auto"/>
        </w:rPr>
        <w:t>As soon as practicable after a liquidation, Notice shall be given by the Non-Defaulting Party to the Defaulting Party of the Net Settlement Amount,</w:t>
      </w:r>
      <w:r>
        <w:rPr>
          <w:rFonts w:ascii="Arial" w:cs="Arial" w:eastAsia="Arial" w:hAnsi="Arial"/>
          <w:sz w:val="16"/>
          <w:szCs w:val="16"/>
          <w:color w:val="auto"/>
        </w:rPr>
        <w:t xml:space="preserve"> </w:t>
      </w:r>
      <w:r>
        <w:rPr>
          <w:rFonts w:ascii="Arial" w:cs="Arial" w:eastAsia="Arial" w:hAnsi="Arial"/>
          <w:sz w:val="14"/>
          <w:szCs w:val="14"/>
          <w:color w:val="auto"/>
        </w:rPr>
        <w:t>and whether the Net Settlement Amount is due to or due from the Non-Defaulting Party. The Notice shall include a written statement explaining in reasonable detail the calculation of the Net Settlement Amount, provided that failure to give such Notice shall not affect the validity or enforceability of the liquidation or give rise to any claim by the Defaulting Party against the Non- Defaulting Party. The Net Settlement Amount as well as any setoffs applied against such amount pursuant to Section 10.3. 2, shall be paid by the close of business on the second Business Day following such Notice, which date shall not be earlier than the Early Termination Date. Interest on any unpaid portion of the Net Settlement Amount as adjusted by setoffs, shall accrue from the date due until the date of payment at a rate equal to the lower of (i) the then-effective prime rate of interest published under "Money Rates" by The Wall Street Journal, plus two percent per annum; or (ii) the maximum applicable lawful interest rate.</w:t>
      </w:r>
    </w:p>
    <w:p>
      <w:pPr>
        <w:spacing w:after="0" w:line="35"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4"/>
          <w:szCs w:val="14"/>
          <w:color w:val="auto"/>
        </w:rPr>
        <w:t>The parties agree that the transactions hereunder constitute a "forward contract" within the meaning of the United States Bankruptcy Code and</w:t>
      </w:r>
      <w:r>
        <w:rPr>
          <w:rFonts w:ascii="Arial" w:cs="Arial" w:eastAsia="Arial" w:hAnsi="Arial"/>
          <w:sz w:val="16"/>
          <w:szCs w:val="16"/>
          <w:color w:val="auto"/>
        </w:rPr>
        <w:t xml:space="preserve"> </w:t>
      </w:r>
      <w:r>
        <w:rPr>
          <w:rFonts w:ascii="Arial" w:cs="Arial" w:eastAsia="Arial" w:hAnsi="Arial"/>
          <w:sz w:val="14"/>
          <w:szCs w:val="14"/>
          <w:color w:val="auto"/>
        </w:rPr>
        <w:t>that Buyer and Seller are each "forward contract merchants" within the meaning of the United States Bankruptcy Code.</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060" w:type="dxa"/>
            <w:vAlign w:val="bottom"/>
          </w:tcPr>
          <w:p>
            <w:pPr>
              <w:spacing w:after="0"/>
              <w:rPr>
                <w:sz w:val="20"/>
                <w:szCs w:val="20"/>
                <w:color w:val="auto"/>
              </w:rPr>
            </w:pPr>
            <w:r>
              <w:rPr>
                <w:rFonts w:ascii="Arial" w:cs="Arial" w:eastAsia="Arial" w:hAnsi="Arial"/>
                <w:sz w:val="13"/>
                <w:szCs w:val="13"/>
                <w:color w:val="auto"/>
              </w:rPr>
              <w:t>Page 15 of</w:t>
            </w:r>
          </w:p>
        </w:tc>
        <w:tc>
          <w:tcPr>
            <w:tcW w:w="4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356" w:lineRule="exact"/>
        <w:rPr>
          <w:sz w:val="20"/>
          <w:szCs w:val="20"/>
          <w:color w:val="auto"/>
        </w:rPr>
      </w:pPr>
    </w:p>
    <w:p>
      <w:pPr>
        <w:jc w:val="both"/>
        <w:ind w:left="500"/>
        <w:spacing w:after="0" w:line="270"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4"/>
          <w:szCs w:val="14"/>
          <w:color w:val="auto"/>
        </w:rPr>
        <w:t>The Non-Defaulting Party's remedies under this Section 10 are the sole and exclusive remedies of the Non-Defaulting Party with respect to the</w:t>
      </w:r>
      <w:r>
        <w:rPr>
          <w:rFonts w:ascii="Arial" w:cs="Arial" w:eastAsia="Arial" w:hAnsi="Arial"/>
          <w:sz w:val="16"/>
          <w:szCs w:val="16"/>
          <w:color w:val="auto"/>
        </w:rPr>
        <w:t xml:space="preserve"> </w:t>
      </w:r>
      <w:r>
        <w:rPr>
          <w:rFonts w:ascii="Arial" w:cs="Arial" w:eastAsia="Arial" w:hAnsi="Arial"/>
          <w:sz w:val="14"/>
          <w:szCs w:val="14"/>
          <w:color w:val="auto"/>
        </w:rPr>
        <w:t>occurrence of any Early Termination Date. Each party reserves to itself all other rights, setoffs, counterclaims and other defenses that it is or may be entitled to arising from the Contract.</w:t>
      </w:r>
    </w:p>
    <w:p>
      <w:pPr>
        <w:spacing w:after="0" w:line="22"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4"/>
          <w:szCs w:val="14"/>
          <w:color w:val="auto"/>
        </w:rPr>
        <w:t>With respect to this Section 10, if the parties have executed a separate netting agreement with close-out netting provisions, the terms and</w:t>
      </w:r>
      <w:r>
        <w:rPr>
          <w:rFonts w:ascii="Arial" w:cs="Arial" w:eastAsia="Arial" w:hAnsi="Arial"/>
          <w:sz w:val="16"/>
          <w:szCs w:val="16"/>
          <w:color w:val="auto"/>
        </w:rPr>
        <w:t xml:space="preserve"> </w:t>
      </w:r>
      <w:r>
        <w:rPr>
          <w:rFonts w:ascii="Arial" w:cs="Arial" w:eastAsia="Arial" w:hAnsi="Arial"/>
          <w:sz w:val="14"/>
          <w:szCs w:val="14"/>
          <w:color w:val="auto"/>
        </w:rPr>
        <w:t>conditions therein shall prevail to the extent inconsistent herewith.</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0"/>
                <w:szCs w:val="20"/>
                <w:color w:val="auto"/>
              </w:rPr>
            </w:pPr>
            <w:r>
              <w:rPr>
                <w:rFonts w:ascii="Arial" w:cs="Arial" w:eastAsia="Arial" w:hAnsi="Arial"/>
                <w:sz w:val="13"/>
                <w:szCs w:val="13"/>
                <w:color w:val="auto"/>
              </w:rPr>
              <w:t>Page 16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0"/>
        <w:spacing w:after="0"/>
        <w:tabs>
          <w:tab w:leader="none" w:pos="2120" w:val="left"/>
        </w:tabs>
        <w:rPr>
          <w:sz w:val="20"/>
          <w:szCs w:val="20"/>
          <w:color w:val="auto"/>
        </w:rPr>
      </w:pPr>
      <w:r>
        <w:rPr>
          <w:rFonts w:ascii="Arial" w:cs="Arial" w:eastAsia="Arial" w:hAnsi="Arial"/>
          <w:sz w:val="23"/>
          <w:szCs w:val="23"/>
          <w:color w:val="auto"/>
        </w:rPr>
        <w:t>SECTION 11.</w:t>
      </w:r>
      <w:r>
        <w:rPr>
          <w:sz w:val="20"/>
          <w:szCs w:val="20"/>
          <w:color w:val="auto"/>
        </w:rPr>
        <w:tab/>
      </w:r>
      <w:r>
        <w:rPr>
          <w:rFonts w:ascii="Arial" w:cs="Arial" w:eastAsia="Arial" w:hAnsi="Arial"/>
          <w:sz w:val="18"/>
          <w:szCs w:val="18"/>
          <w:color w:val="auto"/>
        </w:rPr>
        <w:t>FORCE MAJEURE</w:t>
      </w:r>
    </w:p>
    <w:p>
      <w:pPr>
        <w:spacing w:after="0" w:line="45" w:lineRule="exact"/>
        <w:rPr>
          <w:sz w:val="20"/>
          <w:szCs w:val="20"/>
          <w:color w:val="auto"/>
        </w:rPr>
      </w:pPr>
    </w:p>
    <w:p>
      <w:pPr>
        <w:jc w:val="both"/>
        <w:ind w:left="500"/>
        <w:spacing w:after="0" w:line="270"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4"/>
          <w:szCs w:val="14"/>
          <w:color w:val="auto"/>
        </w:rPr>
        <w:t>Except with regard to a party's obligation to make payment(s) due under Section 7, Section 10.4, and Imbalance Charges under Section 4, neither</w:t>
      </w:r>
      <w:r>
        <w:rPr>
          <w:rFonts w:ascii="Arial" w:cs="Arial" w:eastAsia="Arial" w:hAnsi="Arial"/>
          <w:sz w:val="16"/>
          <w:szCs w:val="16"/>
          <w:color w:val="auto"/>
        </w:rPr>
        <w:t xml:space="preserve"> </w:t>
      </w:r>
      <w:r>
        <w:rPr>
          <w:rFonts w:ascii="Arial" w:cs="Arial" w:eastAsia="Arial" w:hAnsi="Arial"/>
          <w:sz w:val="14"/>
          <w:szCs w:val="14"/>
          <w:color w:val="auto"/>
        </w:rPr>
        <w:t>party shall be liable to the other for failure to perform a Firm obligation, to the extent such failure was caused by Force Majeure. The term "Force Majeure" as employed herein means any cause not reasonably within the control of the party claiming suspension, as further defined in Section 11.2.</w:t>
      </w:r>
    </w:p>
    <w:p>
      <w:pPr>
        <w:spacing w:after="0" w:line="35" w:lineRule="exact"/>
        <w:rPr>
          <w:sz w:val="20"/>
          <w:szCs w:val="20"/>
          <w:color w:val="auto"/>
        </w:rPr>
      </w:pPr>
    </w:p>
    <w:p>
      <w:pPr>
        <w:jc w:val="both"/>
        <w:ind w:left="500"/>
        <w:spacing w:after="0" w:line="25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4"/>
          <w:szCs w:val="14"/>
          <w:color w:val="auto"/>
        </w:rPr>
        <w:t>Force Majeure shall include, but not be limited to, the following: (i) physical events such as acts of God, landslides, lightning, earthquakes, fires,</w:t>
      </w:r>
      <w:r>
        <w:rPr>
          <w:rFonts w:ascii="Arial" w:cs="Arial" w:eastAsia="Arial" w:hAnsi="Arial"/>
          <w:sz w:val="16"/>
          <w:szCs w:val="16"/>
          <w:color w:val="auto"/>
        </w:rPr>
        <w:t xml:space="preserve"> </w:t>
      </w:r>
      <w:r>
        <w:rPr>
          <w:rFonts w:ascii="Arial" w:cs="Arial" w:eastAsia="Arial" w:hAnsi="Arial"/>
          <w:sz w:val="14"/>
          <w:szCs w:val="14"/>
          <w:color w:val="auto"/>
        </w:rPr>
        <w:t>storms or storm warnings, such as hurricanes, which result in evacuation of the affected area, floods, washouts, explosions, breakage or accident or necessity of repairs to machinery or equipment or lines of pipe; (ii) weather related events affecting an entire geographic region, such as low temperatures which cause freezing or failure of wells or lines of pipe;</w:t>
      </w:r>
    </w:p>
    <w:p>
      <w:pPr>
        <w:spacing w:after="0" w:line="2" w:lineRule="exact"/>
        <w:rPr>
          <w:sz w:val="20"/>
          <w:szCs w:val="20"/>
          <w:color w:val="auto"/>
        </w:rPr>
      </w:pPr>
    </w:p>
    <w:p>
      <w:pPr>
        <w:jc w:val="both"/>
        <w:ind w:left="500" w:firstLine="4"/>
        <w:spacing w:after="0" w:line="214" w:lineRule="auto"/>
        <w:tabs>
          <w:tab w:leader="none" w:pos="762"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interruption and/or curtailment of Firm transportation and/or storage by Transporters; (iv) acts of others such as strikes, lockouts or other industrial disturbances, riots, sabotage, insurrections or wars, or acts of terror; and (v) governmental actions such as necessity for compliance with any court order, law, statute, ordinance, regulation, or policy having the effect of law promulgated by a governmental authority having jurisdiction. Seller and Buyer shall make reasonable efforts to avoid the adverse impacts of a Force Majeure and to resolve the event or occurrence once it has occurred in order to resume performance.</w:t>
      </w:r>
    </w:p>
    <w:p>
      <w:pPr>
        <w:spacing w:after="0" w:line="30" w:lineRule="exact"/>
        <w:rPr>
          <w:sz w:val="20"/>
          <w:szCs w:val="20"/>
          <w:color w:val="auto"/>
        </w:rPr>
      </w:pPr>
    </w:p>
    <w:p>
      <w:pPr>
        <w:jc w:val="both"/>
        <w:ind w:left="500"/>
        <w:spacing w:after="0" w:line="223"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4"/>
          <w:szCs w:val="14"/>
          <w:color w:val="auto"/>
        </w:rPr>
        <w:t>Neither party shall be entitled to the benefit of the provisions of Force Majeure to the extent performance is affected by any or all of the following</w:t>
      </w:r>
      <w:r>
        <w:rPr>
          <w:rFonts w:ascii="Arial" w:cs="Arial" w:eastAsia="Arial" w:hAnsi="Arial"/>
          <w:sz w:val="16"/>
          <w:szCs w:val="16"/>
          <w:color w:val="auto"/>
        </w:rPr>
        <w:t xml:space="preserve"> </w:t>
      </w:r>
      <w:r>
        <w:rPr>
          <w:rFonts w:ascii="Arial" w:cs="Arial" w:eastAsia="Arial" w:hAnsi="Arial"/>
          <w:sz w:val="14"/>
          <w:szCs w:val="14"/>
          <w:color w:val="auto"/>
        </w:rPr>
        <w:t>circumstances: (i) the curtailment of interruptible or secondary Firm transportation unless primary, in-path, Firm transportation is also curtailed; (ii) the party claiming excuse failed to remedy the condition and to resume the performance of such covenants or obligations with reasonable dispatch; or (iii) economic hardship, to include, without limitation, Seller’s ability to sell Gas at a higher or more advantageous price than the Contract Price, Buyer’s ability to purchase Gas at a lower or more advantageous price than the Contract Price, or a regulatory agency disallowing, in whole or in part, the pass through of costs resulting from this Contract; (iv) the loss of Buyer’s market(s) or Buyer’s inability to use or resell Gas purchased hereunder, except, in either case, as provided in Section 11.2; or (v) the loss or failure of Seller’s gas supply or depletion of reserves, except, in either case, as provided in Section 11.2. The party claiming Force Majeure shall not be excused from its responsibility for Imbalance Charges.</w:t>
      </w:r>
    </w:p>
    <w:p>
      <w:pPr>
        <w:spacing w:after="0" w:line="30"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4"/>
          <w:szCs w:val="14"/>
          <w:color w:val="auto"/>
        </w:rPr>
        <w:t>Notwithstanding anything to the contrary herein, the parties agree that the settlement of strikes, lockouts or other industrial disturbances shall be</w:t>
      </w:r>
      <w:r>
        <w:rPr>
          <w:rFonts w:ascii="Arial" w:cs="Arial" w:eastAsia="Arial" w:hAnsi="Arial"/>
          <w:sz w:val="16"/>
          <w:szCs w:val="16"/>
          <w:color w:val="auto"/>
        </w:rPr>
        <w:t xml:space="preserve"> </w:t>
      </w:r>
      <w:r>
        <w:rPr>
          <w:rFonts w:ascii="Arial" w:cs="Arial" w:eastAsia="Arial" w:hAnsi="Arial"/>
          <w:sz w:val="14"/>
          <w:szCs w:val="14"/>
          <w:color w:val="auto"/>
        </w:rPr>
        <w:t>within the sole discretion of the party experiencing such disturbance.</w:t>
      </w:r>
    </w:p>
    <w:p>
      <w:pPr>
        <w:spacing w:after="0" w:line="17" w:lineRule="exact"/>
        <w:rPr>
          <w:sz w:val="20"/>
          <w:szCs w:val="20"/>
          <w:color w:val="auto"/>
        </w:rPr>
      </w:pPr>
    </w:p>
    <w:p>
      <w:pPr>
        <w:jc w:val="both"/>
        <w:ind w:left="500"/>
        <w:spacing w:after="0" w:line="258"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4"/>
          <w:szCs w:val="14"/>
          <w:color w:val="auto"/>
        </w:rPr>
        <w:t>The party whose performance is prevented by Force Majeure must provide Notice to the other party. Initial Notice may be given orally; however,</w:t>
      </w:r>
      <w:r>
        <w:rPr>
          <w:rFonts w:ascii="Arial" w:cs="Arial" w:eastAsia="Arial" w:hAnsi="Arial"/>
          <w:sz w:val="16"/>
          <w:szCs w:val="16"/>
          <w:color w:val="auto"/>
        </w:rPr>
        <w:t xml:space="preserve"> </w:t>
      </w:r>
      <w:r>
        <w:rPr>
          <w:rFonts w:ascii="Arial" w:cs="Arial" w:eastAsia="Arial" w:hAnsi="Arial"/>
          <w:sz w:val="14"/>
          <w:szCs w:val="14"/>
          <w:color w:val="auto"/>
        </w:rPr>
        <w:t>written Notice with reasonably full particulars of the event or occurrence is required as soon as reasonably possible. Upon providing written Notice of Force Majeure to the other party, the affected party will be relieved of its obligation, from the onset of the Force Majeure event, to make or accept delivery of Gas, as applicable, to the extent and for the duration of Force Majeure, and neither party shall be deemed to have failed in such obligations to the other during such occurrence or event.</w:t>
      </w:r>
    </w:p>
    <w:p>
      <w:pPr>
        <w:spacing w:after="0" w:line="220"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4"/>
          <w:szCs w:val="14"/>
          <w:color w:val="auto"/>
        </w:rPr>
        <w:t>Notwithstanding Sections 11.2 and 11.3, the parties may agree to alternative Force Majeure provisions in a Transaction Confirmation executed in</w:t>
      </w:r>
      <w:r>
        <w:rPr>
          <w:rFonts w:ascii="Arial" w:cs="Arial" w:eastAsia="Arial" w:hAnsi="Arial"/>
          <w:sz w:val="16"/>
          <w:szCs w:val="16"/>
          <w:color w:val="auto"/>
        </w:rPr>
        <w:t xml:space="preserve"> </w:t>
      </w:r>
      <w:r>
        <w:rPr>
          <w:rFonts w:ascii="Arial" w:cs="Arial" w:eastAsia="Arial" w:hAnsi="Arial"/>
          <w:sz w:val="14"/>
          <w:szCs w:val="14"/>
          <w:color w:val="auto"/>
        </w:rPr>
        <w:t>writing by both parties.</w:t>
      </w:r>
    </w:p>
    <w:p>
      <w:pPr>
        <w:spacing w:after="0" w:line="3" w:lineRule="exact"/>
        <w:rPr>
          <w:sz w:val="20"/>
          <w:szCs w:val="20"/>
          <w:color w:val="auto"/>
        </w:rPr>
      </w:pPr>
    </w:p>
    <w:p>
      <w:pPr>
        <w:ind w:left="500"/>
        <w:spacing w:after="0"/>
        <w:tabs>
          <w:tab w:leader="none" w:pos="2140" w:val="left"/>
        </w:tabs>
        <w:rPr>
          <w:sz w:val="20"/>
          <w:szCs w:val="20"/>
          <w:color w:val="auto"/>
        </w:rPr>
      </w:pPr>
      <w:r>
        <w:rPr>
          <w:rFonts w:ascii="Arial" w:cs="Arial" w:eastAsia="Arial" w:hAnsi="Arial"/>
          <w:sz w:val="23"/>
          <w:szCs w:val="23"/>
          <w:color w:val="auto"/>
        </w:rPr>
        <w:t>SECTION 12.</w:t>
      </w:r>
      <w:r>
        <w:rPr>
          <w:sz w:val="20"/>
          <w:szCs w:val="20"/>
          <w:color w:val="auto"/>
        </w:rPr>
        <w:tab/>
      </w:r>
      <w:r>
        <w:rPr>
          <w:rFonts w:ascii="Arial" w:cs="Arial" w:eastAsia="Arial" w:hAnsi="Arial"/>
          <w:sz w:val="18"/>
          <w:szCs w:val="18"/>
          <w:color w:val="auto"/>
        </w:rPr>
        <w:t>TERM</w:t>
      </w:r>
    </w:p>
    <w:p>
      <w:pPr>
        <w:spacing w:after="0" w:line="38" w:lineRule="exact"/>
        <w:rPr>
          <w:sz w:val="20"/>
          <w:szCs w:val="20"/>
          <w:color w:val="auto"/>
        </w:rPr>
      </w:pPr>
    </w:p>
    <w:p>
      <w:pPr>
        <w:jc w:val="both"/>
        <w:ind w:left="500"/>
        <w:spacing w:after="0" w:line="224" w:lineRule="auto"/>
        <w:rPr>
          <w:sz w:val="20"/>
          <w:szCs w:val="20"/>
          <w:color w:val="auto"/>
        </w:rPr>
      </w:pPr>
      <w:r>
        <w:rPr>
          <w:rFonts w:ascii="Arial" w:cs="Arial" w:eastAsia="Arial" w:hAnsi="Arial"/>
          <w:sz w:val="15"/>
          <w:szCs w:val="15"/>
          <w:color w:val="auto"/>
        </w:rPr>
        <w:t>This Contract may be terminated on 30 Day’s written Notice, but shall remain in effect until the expiration of the latest Delivery Period of any transaction(s). The rights of either party pursuant to Section 7.6, Section 10, Section 13, the obligations to make payment hereunder, and the obligation of either party to indemnify the other, pursuant hereto shall survive the termination of the Base Contract or any transaction.</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23"/>
          <w:szCs w:val="23"/>
          <w:color w:val="auto"/>
        </w:rPr>
        <w:t xml:space="preserve">SECTION 13. </w:t>
      </w:r>
      <w:r>
        <w:rPr>
          <w:rFonts w:ascii="Arial" w:cs="Arial" w:eastAsia="Arial" w:hAnsi="Arial"/>
          <w:sz w:val="18"/>
          <w:szCs w:val="18"/>
          <w:color w:val="auto"/>
        </w:rPr>
        <w:t>LIMITATIONS</w:t>
      </w:r>
    </w:p>
    <w:p>
      <w:pPr>
        <w:spacing w:after="0" w:line="38" w:lineRule="exact"/>
        <w:rPr>
          <w:sz w:val="20"/>
          <w:szCs w:val="20"/>
          <w:color w:val="auto"/>
        </w:rPr>
      </w:pPr>
    </w:p>
    <w:p>
      <w:pPr>
        <w:jc w:val="both"/>
        <w:ind w:left="500"/>
        <w:spacing w:after="0" w:line="225" w:lineRule="auto"/>
        <w:rPr>
          <w:sz w:val="20"/>
          <w:szCs w:val="20"/>
          <w:color w:val="auto"/>
        </w:rPr>
      </w:pPr>
      <w:r>
        <w:rPr>
          <w:rFonts w:ascii="Arial" w:cs="Arial" w:eastAsia="Arial" w:hAnsi="Arial"/>
          <w:sz w:val="14"/>
          <w:szCs w:val="14"/>
          <w:color w:val="auto"/>
        </w:rPr>
        <w:t>FOR BREACH OF ANY PROVISION FOR WHICH AN EXPRESS REMEDY OR MEASURE OF DAMAGES IS PROVIDED, SUCH EXPRESS REMEDY OR MEASURE OF DAMAGES SHALL BE THE SOLE AND EXCLUSIVE REMEDY. A PARTY’S LIABILITY HEREUNDER SHALL BE LIMITED AS SET FORTH IN SUCH PROVISION, AND ALL OTHER REMEDIES OR DAMAGES AT LAW OR IN EQUITY ARE WAIVED. IF NO REMEDY OR MEASURE OF DAMAGES IS EXPRESSLY PROVIDED HEREIN OR IN A TRANSACTION, A PARTY’S LIABILITY SHALL BE LIMITED TO DIRECT ACTUAL DAMAGES ONLY. SUCH DIRECT ACTUAL DAMAGES SHALL BE THE SOLE AND EXCLUSIVE REMEDY, AND ALL OTHER REMEDIES OR DAMAGES AT LAW OR IN EQUITY ARE WAIVED. UNLESS EXPRESSLY HEREIN PROVIDED, NEITHER PARTY SHALL BE LIABLE FOR CONSEQUENTIAL, INCIDENTAL, PUNITIVE, EXEMPLARY OR INDIRECT DAMAGES, LOST PROFITS OR OTHER BUSINESS INTERRUPTION DAMAGES, BY STATUTE, IN TORT OR CONTRACT, UNDER ANY INDEMNITY PROVISION OR OTHERWISE. IT IS THE INTENT OF THE PARTIES THAT THE LIMITATIONS HEREIN IMPOSED ON REMEDIES AND THE MEASURE OF DAMAGES BE WITHOUT REGARD TO THE CAUSE OR CAUSES RELATED THERETO, INCLUDING THE NEGLIGENCE OF ANY PARTY, WHETHER SUCH NEGLIGENCE BE SOLE, JOINT OR CONCURRENT, OR ACTIVE OR PASSIVE. TO THE EXTENT ANY DAMAGES REQUIRED TO BE PAID HEREUNDER ARE LIQUIDATED, THE PARTIES ACKNOWLEDGE THAT THE DAMAGES ARE DIFFICULT OR IMPOSSIBLE TO DETERMINE, OR OTHERWISE OBTAINING AN ADEQUATE REMEDY IS INCONVENIENT AND THE DAMAGES CALCULATED HEREUNDER CONSTITUTE A REASONABLE APPROXIMATION OF THE HARM OR LOSS.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060" w:type="dxa"/>
            <w:vAlign w:val="bottom"/>
          </w:tcPr>
          <w:p>
            <w:pPr>
              <w:spacing w:after="0"/>
              <w:rPr>
                <w:sz w:val="20"/>
                <w:szCs w:val="20"/>
                <w:color w:val="auto"/>
              </w:rPr>
            </w:pPr>
            <w:r>
              <w:rPr>
                <w:rFonts w:ascii="Arial" w:cs="Arial" w:eastAsia="Arial" w:hAnsi="Arial"/>
                <w:sz w:val="13"/>
                <w:szCs w:val="13"/>
                <w:color w:val="auto"/>
              </w:rPr>
              <w:t>Page 17 of</w:t>
            </w:r>
          </w:p>
        </w:tc>
        <w:tc>
          <w:tcPr>
            <w:tcW w:w="4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0"/>
        <w:spacing w:after="0"/>
        <w:rPr>
          <w:sz w:val="20"/>
          <w:szCs w:val="20"/>
          <w:color w:val="auto"/>
        </w:rPr>
      </w:pPr>
      <w:r>
        <w:rPr>
          <w:rFonts w:ascii="Arial" w:cs="Arial" w:eastAsia="Arial" w:hAnsi="Arial"/>
          <w:sz w:val="23"/>
          <w:szCs w:val="23"/>
          <w:color w:val="auto"/>
        </w:rPr>
        <w:t xml:space="preserve">SECTION 14. </w:t>
      </w:r>
      <w:r>
        <w:rPr>
          <w:rFonts w:ascii="Arial" w:cs="Arial" w:eastAsia="Arial" w:hAnsi="Arial"/>
          <w:sz w:val="18"/>
          <w:szCs w:val="18"/>
          <w:color w:val="auto"/>
        </w:rPr>
        <w:t>MARKET DISRUPTION</w:t>
      </w:r>
    </w:p>
    <w:p>
      <w:pPr>
        <w:spacing w:after="0" w:line="38" w:lineRule="exact"/>
        <w:rPr>
          <w:sz w:val="20"/>
          <w:szCs w:val="20"/>
          <w:color w:val="auto"/>
        </w:rPr>
      </w:pPr>
    </w:p>
    <w:p>
      <w:pPr>
        <w:jc w:val="both"/>
        <w:ind w:left="500"/>
        <w:spacing w:after="0" w:line="225" w:lineRule="auto"/>
        <w:rPr>
          <w:sz w:val="20"/>
          <w:szCs w:val="20"/>
          <w:color w:val="auto"/>
        </w:rPr>
      </w:pPr>
      <w:r>
        <w:rPr>
          <w:rFonts w:ascii="Arial" w:cs="Arial" w:eastAsia="Arial" w:hAnsi="Arial"/>
          <w:sz w:val="14"/>
          <w:szCs w:val="14"/>
          <w:color w:val="auto"/>
        </w:rPr>
        <w:t>If a Market Disruption Event has occurred then the parties shall negotiate in good faith to agree on a replacement price for the Floating Price (or on a method for determining a replacement price for the Floating Price) for the affected Day, and if the parties have not so agreed on or before the second Business Day following the affected Day then the replacement price for the Floating Price shall be determined within the next two following Business Days with each party obtaining, in good faith and from non-affiliated market participants in the relevant market, two quotes for prices of Gas for the affected Day of a similar quality and quantity in the geographical location closest in proximity to the Delivery Point and averaging the four quotes. If either party fails to provide two quotes then the average of the other party’s two quotes shall determine the replacement price for the Floating Price. "Floating Price" means the price or a factor of the price agreed to in the transaction as being based upon a specified index. "Market Disruption Event" means, with respect to an index specified for a transaction, any of the following events: (a) the failure of the index to announce or publish information necessary for determining the Floating Price; (b) the failure of trading to commence or the permanent discontinuation or material suspension of trading on the exchange or market acting as the index; (c) the temporary or permanent discontinuance or unavailability of the index; (d) the temporary or permanent closing of any exchange acting as the index; or (e) both parties agree that a material change in the formula for or the method of determining the Floating Price has occurred. For the purposes of the calculation of a replacement price for the Floating Price, all numbers shall be rounded to three decimal places. If the fourth decimal number is five or greater, then the third decimal number shall be increased by one and if the fourth decimal number is less than five, then the third decimal number shall remain unchanged.</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23"/>
          <w:szCs w:val="23"/>
          <w:color w:val="auto"/>
        </w:rPr>
        <w:t xml:space="preserve">SECTION 15. </w:t>
      </w:r>
      <w:r>
        <w:rPr>
          <w:rFonts w:ascii="Arial" w:cs="Arial" w:eastAsia="Arial" w:hAnsi="Arial"/>
          <w:sz w:val="18"/>
          <w:szCs w:val="18"/>
          <w:color w:val="auto"/>
        </w:rPr>
        <w:t>MISCELLANEOUS</w:t>
      </w:r>
    </w:p>
    <w:p>
      <w:pPr>
        <w:spacing w:after="0" w:line="45" w:lineRule="exact"/>
        <w:rPr>
          <w:sz w:val="20"/>
          <w:szCs w:val="20"/>
          <w:color w:val="auto"/>
        </w:rPr>
      </w:pPr>
    </w:p>
    <w:p>
      <w:pPr>
        <w:jc w:val="both"/>
        <w:ind w:left="500"/>
        <w:spacing w:after="0" w:line="253"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4"/>
          <w:szCs w:val="14"/>
          <w:color w:val="auto"/>
        </w:rPr>
        <w:t>This Contract shall be binding upon and inure to the benefit of the successors, assigns, personal representatives, and heirs of the respective</w:t>
      </w:r>
      <w:r>
        <w:rPr>
          <w:rFonts w:ascii="Arial" w:cs="Arial" w:eastAsia="Arial" w:hAnsi="Arial"/>
          <w:sz w:val="16"/>
          <w:szCs w:val="16"/>
          <w:color w:val="auto"/>
        </w:rPr>
        <w:t xml:space="preserve"> </w:t>
      </w:r>
      <w:r>
        <w:rPr>
          <w:rFonts w:ascii="Arial" w:cs="Arial" w:eastAsia="Arial" w:hAnsi="Arial"/>
          <w:sz w:val="14"/>
          <w:szCs w:val="14"/>
          <w:color w:val="auto"/>
        </w:rPr>
        <w:t>parties hereto, and the covenants, conditions, rights and obligations of this Contract shall run for the full term of this Contract. No assignment of this Contract, in whole or in part, will be made without the prior written consent of the non-assigning party (and shall not relieve the assigning party from liability hereunder), which consent will not be unreasonably withheld or delayed; provided, either party may</w:t>
      </w:r>
    </w:p>
    <w:p>
      <w:pPr>
        <w:spacing w:after="0" w:line="2" w:lineRule="exact"/>
        <w:rPr>
          <w:sz w:val="20"/>
          <w:szCs w:val="20"/>
          <w:color w:val="auto"/>
        </w:rPr>
      </w:pPr>
    </w:p>
    <w:p>
      <w:pPr>
        <w:jc w:val="both"/>
        <w:ind w:left="500" w:firstLine="4"/>
        <w:spacing w:after="0" w:line="216" w:lineRule="auto"/>
        <w:tabs>
          <w:tab w:leader="none" w:pos="678" w:val="left"/>
        </w:tabs>
        <w:numPr>
          <w:ilvl w:val="0"/>
          <w:numId w:val="45"/>
        </w:numPr>
        <w:rPr>
          <w:rFonts w:ascii="Arial" w:cs="Arial" w:eastAsia="Arial" w:hAnsi="Arial"/>
          <w:sz w:val="15"/>
          <w:szCs w:val="15"/>
          <w:color w:val="auto"/>
        </w:rPr>
      </w:pPr>
      <w:r>
        <w:rPr>
          <w:rFonts w:ascii="Arial" w:cs="Arial" w:eastAsia="Arial" w:hAnsi="Arial"/>
          <w:sz w:val="15"/>
          <w:szCs w:val="15"/>
          <w:color w:val="auto"/>
        </w:rPr>
        <w:t>transfer, sell, pledge, encumber, or assign this Contract or the accounts, revenues, or proceeds hereof in connection with any financing or other financial arrangements, or (ii) transfer its interest to any parent or Affiliate by assignment, merger or otherwise without the prior approval of the other party. Upon any such assignment, transfer and assumption, the transferor shall remain principally liable for and shall not be relieved of or discharged from any obligations hereunder.</w:t>
      </w:r>
    </w:p>
    <w:p>
      <w:pPr>
        <w:spacing w:after="0" w:line="42" w:lineRule="exact"/>
        <w:rPr>
          <w:sz w:val="20"/>
          <w:szCs w:val="20"/>
          <w:color w:val="auto"/>
        </w:rPr>
      </w:pPr>
    </w:p>
    <w:p>
      <w:pPr>
        <w:jc w:val="both"/>
        <w:ind w:left="500" w:right="20"/>
        <w:spacing w:after="0" w:line="269"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4"/>
          <w:szCs w:val="14"/>
          <w:color w:val="auto"/>
        </w:rPr>
        <w:t>If any provision in this Contract is determined to be invalid, void or unenforceable by any court having jurisdiction, such determination shall not</w:t>
      </w:r>
      <w:r>
        <w:rPr>
          <w:rFonts w:ascii="Arial" w:cs="Arial" w:eastAsia="Arial" w:hAnsi="Arial"/>
          <w:sz w:val="16"/>
          <w:szCs w:val="16"/>
          <w:color w:val="auto"/>
        </w:rPr>
        <w:t xml:space="preserve"> </w:t>
      </w:r>
      <w:r>
        <w:rPr>
          <w:rFonts w:ascii="Arial" w:cs="Arial" w:eastAsia="Arial" w:hAnsi="Arial"/>
          <w:sz w:val="14"/>
          <w:szCs w:val="14"/>
          <w:color w:val="auto"/>
        </w:rPr>
        <w:t>invalidate, void, or make unenforceable any other provision, agreement or covenant of this Contract.</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15.3. </w:t>
      </w:r>
      <w:r>
        <w:rPr>
          <w:rFonts w:ascii="Arial" w:cs="Arial" w:eastAsia="Arial" w:hAnsi="Arial"/>
          <w:sz w:val="14"/>
          <w:szCs w:val="14"/>
          <w:color w:val="auto"/>
        </w:rPr>
        <w:t>No waiver of any breach of this Contract shall be held to be a waiver of any other or subsequent breach.</w:t>
      </w:r>
    </w:p>
    <w:p>
      <w:pPr>
        <w:spacing w:after="0" w:line="62" w:lineRule="exact"/>
        <w:rPr>
          <w:sz w:val="20"/>
          <w:szCs w:val="20"/>
          <w:color w:val="auto"/>
        </w:rPr>
      </w:pPr>
    </w:p>
    <w:p>
      <w:pPr>
        <w:jc w:val="both"/>
        <w:ind w:left="500"/>
        <w:spacing w:after="0" w:line="261"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4"/>
          <w:szCs w:val="14"/>
          <w:color w:val="auto"/>
        </w:rPr>
        <w:t>This Contract sets forth all understandings between the parties respecting each transaction subject hereto, and any prior contracts, understandings</w:t>
      </w:r>
      <w:r>
        <w:rPr>
          <w:rFonts w:ascii="Arial" w:cs="Arial" w:eastAsia="Arial" w:hAnsi="Arial"/>
          <w:sz w:val="16"/>
          <w:szCs w:val="16"/>
          <w:color w:val="auto"/>
        </w:rPr>
        <w:t xml:space="preserve"> </w:t>
      </w:r>
      <w:r>
        <w:rPr>
          <w:rFonts w:ascii="Arial" w:cs="Arial" w:eastAsia="Arial" w:hAnsi="Arial"/>
          <w:sz w:val="14"/>
          <w:szCs w:val="14"/>
          <w:color w:val="auto"/>
        </w:rPr>
        <w:t>and representations, whether oral or written, relating to such transactions are merged into and superseded by this Contract and any effective transaction(s). This Contract may be amended only by a writing executed by both parties.</w:t>
      </w:r>
    </w:p>
    <w:p>
      <w:pPr>
        <w:spacing w:after="0" w:line="41"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4"/>
          <w:szCs w:val="14"/>
          <w:color w:val="auto"/>
        </w:rPr>
        <w:t>The interpretation and performance of this Contract shall be governed by the laws of the jurisdiction as indicated on the Base Contract, excluding,</w:t>
      </w:r>
      <w:r>
        <w:rPr>
          <w:rFonts w:ascii="Arial" w:cs="Arial" w:eastAsia="Arial" w:hAnsi="Arial"/>
          <w:sz w:val="16"/>
          <w:szCs w:val="16"/>
          <w:color w:val="auto"/>
        </w:rPr>
        <w:t xml:space="preserve"> </w:t>
      </w:r>
      <w:r>
        <w:rPr>
          <w:rFonts w:ascii="Arial" w:cs="Arial" w:eastAsia="Arial" w:hAnsi="Arial"/>
          <w:sz w:val="14"/>
          <w:szCs w:val="14"/>
          <w:color w:val="auto"/>
        </w:rPr>
        <w:t>however, any conflict of laws rule which would apply the law of another jurisdiction.</w:t>
      </w:r>
    </w:p>
    <w:p>
      <w:pPr>
        <w:spacing w:after="0" w:line="17" w:lineRule="exact"/>
        <w:rPr>
          <w:sz w:val="20"/>
          <w:szCs w:val="20"/>
          <w:color w:val="auto"/>
        </w:rPr>
      </w:pPr>
    </w:p>
    <w:p>
      <w:pPr>
        <w:jc w:val="both"/>
        <w:ind w:left="500" w:right="20"/>
        <w:spacing w:after="0" w:line="269" w:lineRule="auto"/>
        <w:rPr>
          <w:sz w:val="20"/>
          <w:szCs w:val="20"/>
          <w:color w:val="auto"/>
        </w:rPr>
      </w:pPr>
      <w:r>
        <w:rPr>
          <w:rFonts w:ascii="Arial" w:cs="Arial" w:eastAsia="Arial" w:hAnsi="Arial"/>
          <w:sz w:val="16"/>
          <w:szCs w:val="16"/>
          <w:color w:val="auto"/>
        </w:rPr>
        <w:t xml:space="preserve">15.6. </w:t>
      </w:r>
      <w:r>
        <w:rPr>
          <w:rFonts w:ascii="Arial" w:cs="Arial" w:eastAsia="Arial" w:hAnsi="Arial"/>
          <w:sz w:val="14"/>
          <w:szCs w:val="14"/>
          <w:color w:val="auto"/>
        </w:rPr>
        <w:t>This Contract and all provisions herein will be subject to all applicable and valid statutes, rules, orders and regulations of any governmental</w:t>
      </w:r>
      <w:r>
        <w:rPr>
          <w:rFonts w:ascii="Arial" w:cs="Arial" w:eastAsia="Arial" w:hAnsi="Arial"/>
          <w:sz w:val="16"/>
          <w:szCs w:val="16"/>
          <w:color w:val="auto"/>
        </w:rPr>
        <w:t xml:space="preserve"> </w:t>
      </w:r>
      <w:r>
        <w:rPr>
          <w:rFonts w:ascii="Arial" w:cs="Arial" w:eastAsia="Arial" w:hAnsi="Arial"/>
          <w:sz w:val="14"/>
          <w:szCs w:val="14"/>
          <w:color w:val="auto"/>
        </w:rPr>
        <w:t>authority having jurisdiction over the parties, their facilities, or Gas supply, this Contract or transaction or any provisions thereof.</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15.7. </w:t>
      </w:r>
      <w:r>
        <w:rPr>
          <w:rFonts w:ascii="Arial" w:cs="Arial" w:eastAsia="Arial" w:hAnsi="Arial"/>
          <w:sz w:val="14"/>
          <w:szCs w:val="14"/>
          <w:color w:val="auto"/>
        </w:rPr>
        <w:t>There is no third party beneficiary to this Contract.</w:t>
      </w:r>
    </w:p>
    <w:p>
      <w:pPr>
        <w:spacing w:after="0" w:line="62" w:lineRule="exact"/>
        <w:rPr>
          <w:sz w:val="20"/>
          <w:szCs w:val="20"/>
          <w:color w:val="auto"/>
        </w:rPr>
      </w:pPr>
    </w:p>
    <w:p>
      <w:pPr>
        <w:jc w:val="both"/>
        <w:ind w:left="500"/>
        <w:spacing w:after="0" w:line="259" w:lineRule="auto"/>
        <w:rPr>
          <w:sz w:val="20"/>
          <w:szCs w:val="20"/>
          <w:color w:val="auto"/>
        </w:rPr>
      </w:pPr>
      <w:r>
        <w:rPr>
          <w:rFonts w:ascii="Arial" w:cs="Arial" w:eastAsia="Arial" w:hAnsi="Arial"/>
          <w:sz w:val="16"/>
          <w:szCs w:val="16"/>
          <w:color w:val="auto"/>
        </w:rPr>
        <w:t xml:space="preserve">15.8. </w:t>
      </w:r>
      <w:r>
        <w:rPr>
          <w:rFonts w:ascii="Arial" w:cs="Arial" w:eastAsia="Arial" w:hAnsi="Arial"/>
          <w:sz w:val="14"/>
          <w:szCs w:val="14"/>
          <w:color w:val="auto"/>
        </w:rPr>
        <w:t>Each party to this Contract represents and warrants that it has full and complete authority to enter into and perform this Contract. Each person who</w:t>
      </w:r>
      <w:r>
        <w:rPr>
          <w:rFonts w:ascii="Arial" w:cs="Arial" w:eastAsia="Arial" w:hAnsi="Arial"/>
          <w:sz w:val="16"/>
          <w:szCs w:val="16"/>
          <w:color w:val="auto"/>
        </w:rPr>
        <w:t xml:space="preserve"> </w:t>
      </w:r>
      <w:r>
        <w:rPr>
          <w:rFonts w:ascii="Arial" w:cs="Arial" w:eastAsia="Arial" w:hAnsi="Arial"/>
          <w:sz w:val="14"/>
          <w:szCs w:val="14"/>
          <w:color w:val="auto"/>
        </w:rPr>
        <w:t>executes this Contract on behalf of either party represents and warrants that it has full and complete authority to do so and that such party will be bound thereby.</w:t>
      </w:r>
    </w:p>
    <w:p>
      <w:pPr>
        <w:spacing w:after="0" w:line="219"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 xml:space="preserve">15.9. </w:t>
      </w:r>
      <w:r>
        <w:rPr>
          <w:rFonts w:ascii="Arial" w:cs="Arial" w:eastAsia="Arial" w:hAnsi="Arial"/>
          <w:sz w:val="14"/>
          <w:szCs w:val="14"/>
          <w:color w:val="auto"/>
        </w:rPr>
        <w:t>The headings and subheadings contained in this Contract are used solely for convenience and do not constitute a part of this Contract between</w:t>
      </w:r>
      <w:r>
        <w:rPr>
          <w:rFonts w:ascii="Arial" w:cs="Arial" w:eastAsia="Arial" w:hAnsi="Arial"/>
          <w:sz w:val="16"/>
          <w:szCs w:val="16"/>
          <w:color w:val="auto"/>
        </w:rPr>
        <w:t xml:space="preserve"> </w:t>
      </w:r>
      <w:r>
        <w:rPr>
          <w:rFonts w:ascii="Arial" w:cs="Arial" w:eastAsia="Arial" w:hAnsi="Arial"/>
          <w:sz w:val="14"/>
          <w:szCs w:val="14"/>
          <w:color w:val="auto"/>
        </w:rPr>
        <w:t>the parties and shall not be used to construe or interpret the provisions of this Contract.</w:t>
      </w:r>
    </w:p>
    <w:p>
      <w:pPr>
        <w:spacing w:after="0" w:line="5" w:lineRule="exact"/>
        <w:rPr>
          <w:sz w:val="20"/>
          <w:szCs w:val="20"/>
          <w:color w:val="auto"/>
        </w:rPr>
      </w:pPr>
    </w:p>
    <w:p>
      <w:pPr>
        <w:jc w:val="both"/>
        <w:ind w:left="500"/>
        <w:spacing w:after="0" w:line="222"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4"/>
          <w:szCs w:val="14"/>
          <w:color w:val="auto"/>
        </w:rPr>
        <w:t>Unless the parties have elected on the Base Contract not to make this Section 15.10 applicable to this Contract, neither party shall disclose directly</w:t>
      </w:r>
      <w:r>
        <w:rPr>
          <w:rFonts w:ascii="Arial" w:cs="Arial" w:eastAsia="Arial" w:hAnsi="Arial"/>
          <w:sz w:val="16"/>
          <w:szCs w:val="16"/>
          <w:color w:val="auto"/>
        </w:rPr>
        <w:t xml:space="preserve"> </w:t>
      </w:r>
      <w:r>
        <w:rPr>
          <w:rFonts w:ascii="Arial" w:cs="Arial" w:eastAsia="Arial" w:hAnsi="Arial"/>
          <w:sz w:val="14"/>
          <w:szCs w:val="14"/>
          <w:color w:val="auto"/>
        </w:rPr>
        <w:t>or indirectly without the prior written consent of the other party the terms of any transaction to a third party (other than the employees, lenders, royalty owners, counsel, accountants and other agents of the party, or prospective purchasers of all or substantially all of a party’s assets or of any rights under this Contract, provided such persons shall have agreed to keep such terms confidential) except (i) in order to comply with any applicable law, order, regulation, or exchange rule, (ii) to the extent necessary for the enforcement of this Contract</w:t>
      </w:r>
    </w:p>
    <w:p>
      <w:pPr>
        <w:jc w:val="both"/>
        <w:ind w:left="500" w:firstLine="4"/>
        <w:spacing w:after="0" w:line="211" w:lineRule="auto"/>
        <w:tabs>
          <w:tab w:leader="none" w:pos="584" w:val="left"/>
        </w:tabs>
        <w:numPr>
          <w:ilvl w:val="0"/>
          <w:numId w:val="46"/>
        </w:numPr>
        <w:rPr>
          <w:rFonts w:ascii="Arial" w:cs="Arial" w:eastAsia="Arial" w:hAnsi="Arial"/>
          <w:sz w:val="15"/>
          <w:szCs w:val="15"/>
          <w:color w:val="auto"/>
        </w:rPr>
      </w:pPr>
      <w:r>
        <w:rPr>
          <w:rFonts w:ascii="Arial" w:cs="Arial" w:eastAsia="Arial" w:hAnsi="Arial"/>
          <w:sz w:val="15"/>
          <w:szCs w:val="15"/>
          <w:color w:val="auto"/>
        </w:rPr>
        <w:t>(iii) to the extent necessary to implement any transaction, (iv) to the extent necessary to comply with a regulatory agency’s reporting requirements including but not limited to gas cost recovery proceedings; or (v) to the extent such information is delivered to such third party for the sole purpose of calculating a published index. Each party shall notify the other party of any proceeding of which it is aware which may result in disclosure of the terms of any transaction (other than as permitted hereunder) and use reasonable efforts to prevent or limit the disclosure. The existence of this Contract is not subject to this confidentiality obligation. Subject to Section 13, the parties shall be entitled to all remedies available at law or in equity to enforce, or seek relief in connection with this confidentiality obligation. The terms of any transaction hereunder shall be kept confidential by the parties hereto for one year from the expiration of the transaction.</w:t>
      </w:r>
    </w:p>
    <w:p>
      <w:pPr>
        <w:spacing w:after="0" w:line="25" w:lineRule="exact"/>
        <w:rPr>
          <w:sz w:val="20"/>
          <w:szCs w:val="20"/>
          <w:color w:val="auto"/>
        </w:rPr>
      </w:pPr>
    </w:p>
    <w:p>
      <w:pPr>
        <w:ind w:left="500"/>
        <w:spacing w:after="0" w:line="233" w:lineRule="auto"/>
        <w:rPr>
          <w:sz w:val="20"/>
          <w:szCs w:val="20"/>
          <w:color w:val="auto"/>
        </w:rPr>
      </w:pPr>
      <w:r>
        <w:rPr>
          <w:rFonts w:ascii="Arial" w:cs="Arial" w:eastAsia="Arial" w:hAnsi="Arial"/>
          <w:sz w:val="15"/>
          <w:szCs w:val="15"/>
          <w:color w:val="auto"/>
        </w:rPr>
        <w:t>In the event that disclosure is required by a governmental body or applicable law, the party subject to such requirement may disclose the material terms of this Contract to the extent so required, but shall promptly notify the other party, prior to disclosure ,</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0"/>
                <w:szCs w:val="20"/>
                <w:color w:val="auto"/>
              </w:rPr>
            </w:pPr>
            <w:r>
              <w:rPr>
                <w:rFonts w:ascii="Arial" w:cs="Arial" w:eastAsia="Arial" w:hAnsi="Arial"/>
                <w:sz w:val="13"/>
                <w:szCs w:val="13"/>
                <w:color w:val="auto"/>
              </w:rPr>
              <w:t>Page 18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348" w:lineRule="exact"/>
        <w:rPr>
          <w:sz w:val="20"/>
          <w:szCs w:val="20"/>
          <w:color w:val="auto"/>
        </w:rPr>
      </w:pPr>
    </w:p>
    <w:p>
      <w:pPr>
        <w:ind w:left="500"/>
        <w:spacing w:after="0" w:line="233" w:lineRule="auto"/>
        <w:rPr>
          <w:sz w:val="20"/>
          <w:szCs w:val="20"/>
          <w:color w:val="auto"/>
        </w:rPr>
      </w:pPr>
      <w:r>
        <w:rPr>
          <w:rFonts w:ascii="Arial" w:cs="Arial" w:eastAsia="Arial" w:hAnsi="Arial"/>
          <w:sz w:val="15"/>
          <w:szCs w:val="15"/>
          <w:color w:val="auto"/>
        </w:rPr>
        <w:t>and shall cooperate (consistent with the disclosing party’s legal obligations) with the other party’s efforts to obtain protective orders or similar restraints with respect to such disclosure at the expense of the other party.</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060" w:type="dxa"/>
            <w:vAlign w:val="bottom"/>
          </w:tcPr>
          <w:p>
            <w:pPr>
              <w:spacing w:after="0"/>
              <w:rPr>
                <w:sz w:val="20"/>
                <w:szCs w:val="20"/>
                <w:color w:val="auto"/>
              </w:rPr>
            </w:pPr>
            <w:r>
              <w:rPr>
                <w:rFonts w:ascii="Arial" w:cs="Arial" w:eastAsia="Arial" w:hAnsi="Arial"/>
                <w:sz w:val="13"/>
                <w:szCs w:val="13"/>
                <w:color w:val="auto"/>
              </w:rPr>
              <w:t>Page 19 of</w:t>
            </w:r>
          </w:p>
        </w:tc>
        <w:tc>
          <w:tcPr>
            <w:tcW w:w="4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40" w:top="173" w:right="81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500"/>
        <w:spacing w:after="0" w:line="269" w:lineRule="auto"/>
        <w:rPr>
          <w:sz w:val="20"/>
          <w:szCs w:val="20"/>
          <w:color w:val="auto"/>
        </w:rPr>
      </w:pPr>
      <w:r>
        <w:rPr>
          <w:rFonts w:ascii="Arial" w:cs="Arial" w:eastAsia="Arial" w:hAnsi="Arial"/>
          <w:sz w:val="16"/>
          <w:szCs w:val="16"/>
          <w:color w:val="auto"/>
        </w:rPr>
        <w:t xml:space="preserve">15.11. </w:t>
      </w:r>
      <w:r>
        <w:rPr>
          <w:rFonts w:ascii="Arial" w:cs="Arial" w:eastAsia="Arial" w:hAnsi="Arial"/>
          <w:sz w:val="14"/>
          <w:szCs w:val="14"/>
          <w:color w:val="auto"/>
        </w:rPr>
        <w:t>The parties may agree to dispute resolution procedures in Special Provisions attached to the Base Contract or in a Transaction Confirmation</w:t>
      </w:r>
      <w:r>
        <w:rPr>
          <w:rFonts w:ascii="Arial" w:cs="Arial" w:eastAsia="Arial" w:hAnsi="Arial"/>
          <w:sz w:val="16"/>
          <w:szCs w:val="16"/>
          <w:color w:val="auto"/>
        </w:rPr>
        <w:t xml:space="preserve"> </w:t>
      </w:r>
      <w:r>
        <w:rPr>
          <w:rFonts w:ascii="Arial" w:cs="Arial" w:eastAsia="Arial" w:hAnsi="Arial"/>
          <w:sz w:val="14"/>
          <w:szCs w:val="14"/>
          <w:color w:val="auto"/>
        </w:rPr>
        <w:t>executed in writing by both parties</w:t>
      </w:r>
    </w:p>
    <w:p>
      <w:pPr>
        <w:spacing w:after="0" w:line="20" w:lineRule="exact"/>
        <w:rPr>
          <w:sz w:val="20"/>
          <w:szCs w:val="20"/>
          <w:color w:val="auto"/>
        </w:rPr>
      </w:pPr>
    </w:p>
    <w:p>
      <w:pPr>
        <w:jc w:val="both"/>
        <w:ind w:left="500"/>
        <w:spacing w:after="0" w:line="227"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4"/>
          <w:szCs w:val="14"/>
          <w:color w:val="auto"/>
        </w:rPr>
        <w:t>Any original executed Base Contract, Transaction Confirmation or other related document may be digitally copied, photocopied, or stored on</w:t>
      </w:r>
      <w:r>
        <w:rPr>
          <w:rFonts w:ascii="Arial" w:cs="Arial" w:eastAsia="Arial" w:hAnsi="Arial"/>
          <w:sz w:val="16"/>
          <w:szCs w:val="16"/>
          <w:color w:val="auto"/>
        </w:rPr>
        <w:t xml:space="preserve"> </w:t>
      </w:r>
      <w:r>
        <w:rPr>
          <w:rFonts w:ascii="Arial" w:cs="Arial" w:eastAsia="Arial" w:hAnsi="Arial"/>
          <w:sz w:val="14"/>
          <w:szCs w:val="14"/>
          <w:color w:val="auto"/>
        </w:rPr>
        <w:t>computer tapes and disks (the “Imaged Agreement”). The Imaged Agreement, if introduced as evidence on paper, the Transaction Confirmation, if introduced as evidence in automated facsimile form, the recording, if introduced as evidence in its original form, and all computer records of the foregoing, if introduced as evidence in printed format, in any judicial, arbitration, mediation or administrative proceedings will be admissible as between the parties to the same extent and under the same conditions as other business records originated and maintained in documentary form. Neither Party shall object to the admissibility of the recording, the Transaction Confirmation, or the Imaged Agreement on the basis that such were not originated or maintained in documentary form. However, nothing herein shall be construed as a waiver of any other objection to the admissibility of such evidence.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421005</wp:posOffset>
            </wp:positionV>
            <wp:extent cx="5563870" cy="1283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5563870" cy="128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0"/>
                <w:szCs w:val="20"/>
                <w:color w:val="auto"/>
              </w:rPr>
            </w:pPr>
            <w:r>
              <w:rPr>
                <w:rFonts w:ascii="Arial" w:cs="Arial" w:eastAsia="Arial" w:hAnsi="Arial"/>
                <w:sz w:val="13"/>
                <w:szCs w:val="13"/>
                <w:color w:val="auto"/>
              </w:rPr>
              <w:t>Page 20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40" w:top="173" w:right="79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color w:val="auto"/>
        </w:rPr>
        <w:t>DocuSign Envelope ID: 30E2A0D7-50C2-4407-B2AC-EAB1CA882E30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60" w:type="dxa"/>
            <w:vAlign w:val="bottom"/>
            <w:gridSpan w:val="33"/>
          </w:tcPr>
          <w:p>
            <w:pPr>
              <w:spacing w:after="0"/>
              <w:rPr>
                <w:sz w:val="20"/>
                <w:szCs w:val="20"/>
                <w:color w:val="auto"/>
              </w:rPr>
            </w:pPr>
            <w:r>
              <w:rPr>
                <w:rFonts w:ascii="Arial" w:cs="Arial" w:eastAsia="Arial" w:hAnsi="Arial"/>
                <w:sz w:val="15"/>
                <w:szCs w:val="15"/>
                <w:color w:val="auto"/>
              </w:rPr>
              <w:t>TRANSACTION CONFIRMATION  EXHIBIT A FOR IMMEDIATE DELIVERY</w:t>
            </w:r>
          </w:p>
        </w:tc>
      </w:tr>
      <w:tr>
        <w:trPr>
          <w:trHeight w:val="449"/>
        </w:trPr>
        <w:tc>
          <w:tcPr>
            <w:tcW w:w="40" w:type="dxa"/>
            <w:vAlign w:val="bottom"/>
          </w:tcPr>
          <w:p>
            <w:pPr>
              <w:spacing w:after="0"/>
              <w:rPr>
                <w:sz w:val="24"/>
                <w:szCs w:val="24"/>
                <w:color w:val="auto"/>
              </w:rPr>
            </w:pPr>
          </w:p>
        </w:tc>
        <w:tc>
          <w:tcPr>
            <w:tcW w:w="3940" w:type="dxa"/>
            <w:vAlign w:val="bottom"/>
            <w:tcBorders>
              <w:bottom w:val="single" w:sz="8" w:color="auto"/>
            </w:tcBorders>
            <w:gridSpan w:val="28"/>
          </w:tcPr>
          <w:p>
            <w:pPr>
              <w:spacing w:after="0"/>
              <w:rPr>
                <w:sz w:val="24"/>
                <w:szCs w:val="24"/>
                <w:color w:val="auto"/>
              </w:rPr>
            </w:pPr>
          </w:p>
        </w:tc>
        <w:tc>
          <w:tcPr>
            <w:tcW w:w="1580" w:type="dxa"/>
            <w:vAlign w:val="bottom"/>
            <w:gridSpan w:val="8"/>
          </w:tcPr>
          <w:p>
            <w:pPr>
              <w:spacing w:after="0"/>
              <w:rPr>
                <w:sz w:val="24"/>
                <w:szCs w:val="24"/>
                <w:color w:val="auto"/>
              </w:rPr>
            </w:pPr>
          </w:p>
        </w:tc>
        <w:tc>
          <w:tcPr>
            <w:tcW w:w="4200" w:type="dxa"/>
            <w:vAlign w:val="bottom"/>
            <w:tcBorders>
              <w:bottom w:val="single" w:sz="8" w:color="auto"/>
            </w:tcBorders>
            <w:gridSpan w:val="22"/>
          </w:tcPr>
          <w:p>
            <w:pPr>
              <w:spacing w:after="0"/>
              <w:rPr>
                <w:sz w:val="24"/>
                <w:szCs w:val="24"/>
                <w:color w:val="auto"/>
              </w:rPr>
            </w:pPr>
          </w:p>
        </w:tc>
      </w:tr>
      <w:tr>
        <w:trPr>
          <w:trHeight w:val="387"/>
        </w:trPr>
        <w:tc>
          <w:tcPr>
            <w:tcW w:w="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16"/>
          </w:tcPr>
          <w:p>
            <w:pPr>
              <w:ind w:left="40"/>
              <w:spacing w:after="0"/>
              <w:rPr>
                <w:sz w:val="20"/>
                <w:szCs w:val="20"/>
                <w:color w:val="auto"/>
              </w:rPr>
            </w:pPr>
            <w:r>
              <w:rPr>
                <w:rFonts w:ascii="Arial" w:cs="Arial" w:eastAsia="Arial" w:hAnsi="Arial"/>
                <w:sz w:val="15"/>
                <w:szCs w:val="15"/>
                <w:color w:val="auto"/>
              </w:rPr>
              <w:t>Letterhead/Logo</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80" w:type="dxa"/>
            <w:vAlign w:val="bottom"/>
            <w:gridSpan w:val="5"/>
          </w:tcPr>
          <w:p>
            <w:pPr>
              <w:jc w:val="center"/>
              <w:ind w:left="26"/>
              <w:spacing w:after="0"/>
              <w:rPr>
                <w:sz w:val="20"/>
                <w:szCs w:val="20"/>
                <w:color w:val="auto"/>
              </w:rPr>
            </w:pPr>
            <w:r>
              <w:rPr>
                <w:rFonts w:ascii="Arial" w:cs="Arial" w:eastAsia="Arial" w:hAnsi="Arial"/>
                <w:sz w:val="15"/>
                <w:szCs w:val="15"/>
                <w:color w:val="auto"/>
              </w:rPr>
              <w:t>Date:</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60" w:type="dxa"/>
            <w:vAlign w:val="bottom"/>
            <w:tcBorders>
              <w:right w:val="single" w:sz="8" w:color="auto"/>
            </w:tcBorders>
            <w:gridSpan w:val="10"/>
          </w:tcPr>
          <w:p>
            <w:pPr>
              <w:ind w:left="40"/>
              <w:spacing w:after="0"/>
              <w:rPr>
                <w:sz w:val="20"/>
                <w:szCs w:val="20"/>
                <w:color w:val="auto"/>
              </w:rPr>
            </w:pPr>
            <w:r>
              <w:rPr>
                <w:rFonts w:ascii="Arial" w:cs="Arial" w:eastAsia="Arial" w:hAnsi="Arial"/>
                <w:sz w:val="15"/>
                <w:szCs w:val="15"/>
                <w:color w:val="auto"/>
              </w:rPr>
              <w:t>Transaction Confirmation #:</w:t>
            </w:r>
          </w:p>
        </w:tc>
      </w:tr>
      <w:tr>
        <w:trPr>
          <w:trHeight w:val="20"/>
        </w:trPr>
        <w:tc>
          <w:tcPr>
            <w:tcW w:w="40" w:type="dxa"/>
            <w:vAlign w:val="bottom"/>
            <w:tcBorders>
              <w:bottom w:val="single" w:sz="8" w:color="auto"/>
              <w:right w:val="single" w:sz="8" w:color="auto"/>
            </w:tcBorders>
          </w:tcPr>
          <w:p>
            <w:pPr>
              <w:spacing w:after="0" w:line="20" w:lineRule="exact"/>
              <w:rPr>
                <w:sz w:val="1"/>
                <w:szCs w:val="1"/>
                <w:color w:val="auto"/>
              </w:rPr>
            </w:pPr>
          </w:p>
        </w:tc>
        <w:tc>
          <w:tcPr>
            <w:tcW w:w="3940" w:type="dxa"/>
            <w:vAlign w:val="bottom"/>
            <w:tcBorders>
              <w:bottom w:val="single" w:sz="8" w:color="auto"/>
              <w:right w:val="single" w:sz="8" w:color="auto"/>
            </w:tcBorders>
            <w:gridSpan w:val="28"/>
          </w:tcPr>
          <w:p>
            <w:pPr>
              <w:spacing w:after="0" w:line="20" w:lineRule="exact"/>
              <w:rPr>
                <w:sz w:val="1"/>
                <w:szCs w:val="1"/>
                <w:color w:val="auto"/>
              </w:rPr>
            </w:pPr>
          </w:p>
        </w:tc>
        <w:tc>
          <w:tcPr>
            <w:tcW w:w="1580" w:type="dxa"/>
            <w:vAlign w:val="bottom"/>
            <w:tcBorders>
              <w:bottom w:val="single" w:sz="8" w:color="auto"/>
              <w:right w:val="single" w:sz="8" w:color="auto"/>
            </w:tcBorders>
            <w:gridSpan w:val="8"/>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5"/>
          </w:tcPr>
          <w:p>
            <w:pPr>
              <w:spacing w:after="0" w:line="20" w:lineRule="exact"/>
              <w:rPr>
                <w:sz w:val="1"/>
                <w:szCs w:val="1"/>
                <w:color w:val="auto"/>
              </w:rPr>
            </w:pPr>
          </w:p>
        </w:tc>
        <w:tc>
          <w:tcPr>
            <w:tcW w:w="1900" w:type="dxa"/>
            <w:vAlign w:val="bottom"/>
            <w:tcBorders>
              <w:bottom w:val="single" w:sz="8" w:color="auto"/>
            </w:tcBorders>
            <w:gridSpan w:val="6"/>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bottom w:val="single" w:sz="8" w:color="auto"/>
              <w:right w:val="single" w:sz="8" w:color="auto"/>
            </w:tcBorders>
            <w:gridSpan w:val="2"/>
          </w:tcPr>
          <w:p>
            <w:pPr>
              <w:spacing w:after="0" w:line="20" w:lineRule="exact"/>
              <w:rPr>
                <w:sz w:val="1"/>
                <w:szCs w:val="1"/>
                <w:color w:val="auto"/>
              </w:rPr>
            </w:pPr>
          </w:p>
        </w:tc>
      </w:tr>
      <w:tr>
        <w:trPr>
          <w:trHeight w:val="236"/>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6300" w:type="dxa"/>
            <w:vAlign w:val="bottom"/>
            <w:gridSpan w:val="41"/>
          </w:tcPr>
          <w:p>
            <w:pPr>
              <w:ind w:left="100"/>
              <w:spacing w:after="0"/>
              <w:rPr>
                <w:sz w:val="20"/>
                <w:szCs w:val="20"/>
                <w:color w:val="auto"/>
              </w:rPr>
            </w:pPr>
            <w:r>
              <w:rPr>
                <w:rFonts w:ascii="Arial" w:cs="Arial" w:eastAsia="Arial" w:hAnsi="Arial"/>
                <w:sz w:val="15"/>
                <w:szCs w:val="15"/>
                <w:color w:val="auto"/>
                <w:w w:val="98"/>
              </w:rPr>
              <w:t>This Transaction Confirmation is subject to the Base Contract between Seller and Buyer dated</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40" w:type="dxa"/>
            <w:vAlign w:val="bottom"/>
            <w:tcBorders>
              <w:right w:val="single" w:sz="8" w:color="auto"/>
            </w:tcBorders>
            <w:gridSpan w:val="13"/>
          </w:tcPr>
          <w:p>
            <w:pPr>
              <w:spacing w:after="0"/>
              <w:rPr>
                <w:sz w:val="20"/>
                <w:szCs w:val="20"/>
                <w:color w:val="auto"/>
              </w:rPr>
            </w:pPr>
            <w:r>
              <w:rPr>
                <w:rFonts w:ascii="Arial" w:cs="Arial" w:eastAsia="Arial" w:hAnsi="Arial"/>
                <w:sz w:val="15"/>
                <w:szCs w:val="15"/>
                <w:color w:val="auto"/>
              </w:rPr>
              <w:t>. The terms of this Transaction Confirmation</w:t>
            </w:r>
          </w:p>
        </w:tc>
      </w:tr>
      <w:tr>
        <w:trPr>
          <w:trHeight w:val="165"/>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6480" w:type="dxa"/>
            <w:vAlign w:val="bottom"/>
            <w:tcBorders>
              <w:bottom w:val="single" w:sz="8" w:color="auto"/>
            </w:tcBorders>
            <w:gridSpan w:val="45"/>
          </w:tcPr>
          <w:p>
            <w:pPr>
              <w:ind w:left="100"/>
              <w:spacing w:after="0" w:line="165" w:lineRule="exact"/>
              <w:rPr>
                <w:sz w:val="20"/>
                <w:szCs w:val="20"/>
                <w:color w:val="auto"/>
              </w:rPr>
            </w:pPr>
            <w:r>
              <w:rPr>
                <w:rFonts w:ascii="Arial" w:cs="Arial" w:eastAsia="Arial" w:hAnsi="Arial"/>
                <w:sz w:val="15"/>
                <w:szCs w:val="15"/>
                <w:color w:val="auto"/>
                <w:w w:val="97"/>
              </w:rPr>
              <w:t>are binding unless disputed in writing within 2 Business Days of receipt unless otherwise specified</w:t>
            </w:r>
          </w:p>
        </w:tc>
        <w:tc>
          <w:tcPr>
            <w:tcW w:w="3240" w:type="dxa"/>
            <w:vAlign w:val="bottom"/>
            <w:tcBorders>
              <w:bottom w:val="single" w:sz="8" w:color="auto"/>
              <w:right w:val="single" w:sz="8" w:color="auto"/>
            </w:tcBorders>
            <w:gridSpan w:val="13"/>
          </w:tcPr>
          <w:p>
            <w:pPr>
              <w:ind w:left="60"/>
              <w:spacing w:after="0" w:line="165" w:lineRule="exact"/>
              <w:rPr>
                <w:sz w:val="20"/>
                <w:szCs w:val="20"/>
                <w:color w:val="auto"/>
              </w:rPr>
            </w:pPr>
            <w:r>
              <w:rPr>
                <w:rFonts w:ascii="Arial" w:cs="Arial" w:eastAsia="Arial" w:hAnsi="Arial"/>
                <w:sz w:val="15"/>
                <w:szCs w:val="15"/>
                <w:color w:val="auto"/>
              </w:rPr>
              <w:t>in the Base Contract.</w:t>
            </w:r>
          </w:p>
        </w:tc>
      </w:tr>
      <w:tr>
        <w:trPr>
          <w:trHeight w:val="293"/>
        </w:trPr>
        <w:tc>
          <w:tcPr>
            <w:tcW w:w="40" w:type="dxa"/>
            <w:vAlign w:val="bottom"/>
            <w:tcBorders>
              <w:right w:val="single" w:sz="8" w:color="auto"/>
            </w:tcBorders>
            <w:shd w:val="clear" w:color="auto" w:fill="000000"/>
          </w:tcPr>
          <w:p>
            <w:pPr>
              <w:spacing w:after="0"/>
              <w:rPr>
                <w:sz w:val="24"/>
                <w:szCs w:val="24"/>
                <w:color w:val="auto"/>
              </w:rPr>
            </w:pPr>
          </w:p>
        </w:tc>
        <w:tc>
          <w:tcPr>
            <w:tcW w:w="1380" w:type="dxa"/>
            <w:vAlign w:val="bottom"/>
            <w:gridSpan w:val="9"/>
          </w:tcPr>
          <w:p>
            <w:pPr>
              <w:ind w:left="100"/>
              <w:spacing w:after="0"/>
              <w:rPr>
                <w:sz w:val="20"/>
                <w:szCs w:val="20"/>
                <w:color w:val="auto"/>
              </w:rPr>
            </w:pPr>
            <w:r>
              <w:rPr>
                <w:rFonts w:ascii="Arial" w:cs="Arial" w:eastAsia="Arial" w:hAnsi="Arial"/>
                <w:sz w:val="15"/>
                <w:szCs w:val="15"/>
                <w:b w:val="1"/>
                <w:bCs w:val="1"/>
                <w:color w:val="auto"/>
              </w:rPr>
              <w:t>SELLER: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540" w:type="dxa"/>
            <w:vAlign w:val="bottom"/>
            <w:gridSpan w:val="9"/>
          </w:tcPr>
          <w:p>
            <w:pPr>
              <w:ind w:left="120"/>
              <w:spacing w:after="0"/>
              <w:rPr>
                <w:sz w:val="20"/>
                <w:szCs w:val="20"/>
                <w:color w:val="auto"/>
              </w:rPr>
            </w:pPr>
            <w:r>
              <w:rPr>
                <w:rFonts w:ascii="Arial" w:cs="Arial" w:eastAsia="Arial" w:hAnsi="Arial"/>
                <w:sz w:val="15"/>
                <w:szCs w:val="15"/>
                <w:b w:val="1"/>
                <w:bCs w:val="1"/>
                <w:color w:val="auto"/>
              </w:rPr>
              <w:t>BUYER: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1067"/>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Arial" w:cs="Arial" w:eastAsia="Arial" w:hAnsi="Arial"/>
                <w:sz w:val="15"/>
                <w:szCs w:val="15"/>
                <w:color w:val="auto"/>
              </w:rPr>
              <w:t>Attn: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92"/>
              </w:rPr>
              <w:t>Phone:</w:t>
            </w:r>
          </w:p>
        </w:tc>
        <w:tc>
          <w:tcPr>
            <w:tcW w:w="180" w:type="dxa"/>
            <w:vAlign w:val="bottom"/>
            <w:gridSpan w:val="2"/>
          </w:tcPr>
          <w:p>
            <w:pPr>
              <w:spacing w:after="0"/>
              <w:rPr>
                <w:sz w:val="24"/>
                <w:szCs w:val="24"/>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5"/>
                <w:szCs w:val="15"/>
                <w:color w:val="auto"/>
              </w:rPr>
              <w:t>Fax:</w:t>
            </w:r>
          </w:p>
        </w:tc>
        <w:tc>
          <w:tcPr>
            <w:tcW w:w="120" w:type="dxa"/>
            <w:vAlign w:val="bottom"/>
          </w:tcPr>
          <w:p>
            <w:pPr>
              <w:spacing w:after="0"/>
              <w:rPr>
                <w:sz w:val="24"/>
                <w:szCs w:val="24"/>
                <w:color w:val="auto"/>
              </w:rPr>
            </w:pPr>
          </w:p>
        </w:tc>
        <w:tc>
          <w:tcPr>
            <w:tcW w:w="1340" w:type="dxa"/>
            <w:vAlign w:val="bottom"/>
            <w:gridSpan w:val="11"/>
          </w:tcPr>
          <w:p>
            <w:pPr>
              <w:ind w:left="40"/>
              <w:spacing w:after="0"/>
              <w:rPr>
                <w:sz w:val="20"/>
                <w:szCs w:val="20"/>
                <w:color w:val="auto"/>
              </w:rPr>
            </w:pPr>
            <w:r>
              <w:rPr>
                <w:rFonts w:ascii="Arial" w:cs="Arial" w:eastAsia="Arial" w:hAnsi="Arial"/>
                <w:sz w:val="15"/>
                <w:szCs w:val="15"/>
                <w:color w:val="auto"/>
              </w:rPr>
              <w:t>Base Contract No.</w:t>
            </w:r>
          </w:p>
        </w:tc>
        <w:tc>
          <w:tcPr>
            <w:tcW w:w="1040" w:type="dxa"/>
            <w:vAlign w:val="bottom"/>
            <w:gridSpan w:val="5"/>
          </w:tcPr>
          <w:p>
            <w:pPr>
              <w:ind w:left="200"/>
              <w:spacing w:after="0"/>
              <w:rPr>
                <w:sz w:val="20"/>
                <w:szCs w:val="20"/>
                <w:color w:val="auto"/>
              </w:rPr>
            </w:pPr>
            <w:r>
              <w:rPr>
                <w:rFonts w:ascii="Arial" w:cs="Arial" w:eastAsia="Arial" w:hAnsi="Arial"/>
                <w:sz w:val="15"/>
                <w:szCs w:val="15"/>
                <w:color w:val="auto"/>
              </w:rPr>
              <w:t>Transporter:</w:t>
            </w:r>
          </w:p>
        </w:tc>
        <w:tc>
          <w:tcPr>
            <w:tcW w:w="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660" w:type="dxa"/>
            <w:vAlign w:val="bottom"/>
            <w:gridSpan w:val="2"/>
          </w:tcPr>
          <w:p>
            <w:pPr>
              <w:ind w:left="120"/>
              <w:spacing w:after="0"/>
              <w:rPr>
                <w:sz w:val="20"/>
                <w:szCs w:val="20"/>
                <w:color w:val="auto"/>
              </w:rPr>
            </w:pPr>
            <w:r>
              <w:rPr>
                <w:rFonts w:ascii="Arial" w:cs="Arial" w:eastAsia="Arial" w:hAnsi="Arial"/>
                <w:sz w:val="15"/>
                <w:szCs w:val="15"/>
                <w:color w:val="auto"/>
              </w:rPr>
              <w:t>Attn:</w:t>
            </w:r>
          </w:p>
        </w:tc>
        <w:tc>
          <w:tcPr>
            <w:tcW w:w="1000" w:type="dxa"/>
            <w:vAlign w:val="bottom"/>
            <w:gridSpan w:val="9"/>
          </w:tcPr>
          <w:p>
            <w:pPr>
              <w:spacing w:after="0"/>
              <w:rPr>
                <w:sz w:val="20"/>
                <w:szCs w:val="20"/>
                <w:color w:val="auto"/>
              </w:rPr>
            </w:pPr>
            <w:r>
              <w:rPr>
                <w:rFonts w:ascii="Arial" w:cs="Arial" w:eastAsia="Arial" w:hAnsi="Arial"/>
                <w:sz w:val="15"/>
                <w:szCs w:val="15"/>
                <w:color w:val="auto"/>
              </w:rPr>
              <w:t>Phone:   Fax:</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Borders>
              <w:right w:val="single" w:sz="8" w:color="auto"/>
            </w:tcBorders>
            <w:gridSpan w:val="12"/>
          </w:tcPr>
          <w:p>
            <w:pPr>
              <w:ind w:left="60"/>
              <w:spacing w:after="0"/>
              <w:rPr>
                <w:sz w:val="20"/>
                <w:szCs w:val="20"/>
                <w:color w:val="auto"/>
              </w:rPr>
            </w:pPr>
            <w:r>
              <w:rPr>
                <w:rFonts w:ascii="Arial" w:cs="Arial" w:eastAsia="Arial" w:hAnsi="Arial"/>
                <w:sz w:val="15"/>
                <w:szCs w:val="15"/>
                <w:color w:val="auto"/>
              </w:rPr>
              <w:t>Base Contract No.   Transporter:</w:t>
            </w: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r>
      <w:tr>
        <w:trPr>
          <w:trHeight w:val="128"/>
        </w:trPr>
        <w:tc>
          <w:tcPr>
            <w:tcW w:w="40" w:type="dxa"/>
            <w:vAlign w:val="bottom"/>
            <w:tcBorders>
              <w:right w:val="single" w:sz="8" w:color="auto"/>
            </w:tcBorders>
            <w:shd w:val="clear" w:color="auto" w:fill="000000"/>
          </w:tcPr>
          <w:p>
            <w:pPr>
              <w:spacing w:after="0"/>
              <w:rPr>
                <w:sz w:val="11"/>
                <w:szCs w:val="11"/>
                <w:color w:val="auto"/>
              </w:rPr>
            </w:pPr>
          </w:p>
        </w:tc>
        <w:tc>
          <w:tcPr>
            <w:tcW w:w="680" w:type="dxa"/>
            <w:vAlign w:val="bottom"/>
            <w:gridSpan w:val="5"/>
          </w:tcPr>
          <w:p>
            <w:pPr>
              <w:ind w:left="100"/>
              <w:spacing w:after="0" w:line="128" w:lineRule="exact"/>
              <w:rPr>
                <w:sz w:val="20"/>
                <w:szCs w:val="20"/>
                <w:color w:val="auto"/>
              </w:rPr>
            </w:pPr>
            <w:r>
              <w:rPr>
                <w:rFonts w:ascii="Arial" w:cs="Arial" w:eastAsia="Arial" w:hAnsi="Arial"/>
                <w:sz w:val="14"/>
                <w:szCs w:val="14"/>
                <w:color w:val="auto"/>
                <w:w w:val="74"/>
              </w:rPr>
              <w:t>Transporter</w:t>
            </w:r>
          </w:p>
        </w:tc>
        <w:tc>
          <w:tcPr>
            <w:tcW w:w="220" w:type="dxa"/>
            <w:vAlign w:val="bottom"/>
          </w:tcPr>
          <w:p>
            <w:pPr>
              <w:spacing w:after="0"/>
              <w:rPr>
                <w:sz w:val="11"/>
                <w:szCs w:val="11"/>
                <w:color w:val="auto"/>
              </w:rPr>
            </w:pPr>
          </w:p>
        </w:tc>
        <w:tc>
          <w:tcPr>
            <w:tcW w:w="520" w:type="dxa"/>
            <w:vAlign w:val="bottom"/>
            <w:gridSpan w:val="4"/>
          </w:tcPr>
          <w:p>
            <w:pPr>
              <w:spacing w:after="0" w:line="128" w:lineRule="exact"/>
              <w:rPr>
                <w:sz w:val="20"/>
                <w:szCs w:val="20"/>
                <w:color w:val="auto"/>
              </w:rPr>
            </w:pPr>
            <w:r>
              <w:rPr>
                <w:rFonts w:ascii="Arial" w:cs="Arial" w:eastAsia="Arial" w:hAnsi="Arial"/>
                <w:sz w:val="14"/>
                <w:szCs w:val="14"/>
                <w:color w:val="auto"/>
                <w:w w:val="94"/>
              </w:rPr>
              <w:t>Contract</w:t>
            </w:r>
          </w:p>
        </w:tc>
        <w:tc>
          <w:tcPr>
            <w:tcW w:w="700" w:type="dxa"/>
            <w:vAlign w:val="bottom"/>
            <w:gridSpan w:val="8"/>
          </w:tcPr>
          <w:p>
            <w:pPr>
              <w:ind w:left="80"/>
              <w:spacing w:after="0" w:line="128" w:lineRule="exact"/>
              <w:rPr>
                <w:sz w:val="20"/>
                <w:szCs w:val="20"/>
                <w:color w:val="auto"/>
              </w:rPr>
            </w:pPr>
            <w:r>
              <w:rPr>
                <w:rFonts w:ascii="Arial" w:cs="Arial" w:eastAsia="Arial" w:hAnsi="Arial"/>
                <w:sz w:val="14"/>
                <w:szCs w:val="14"/>
                <w:color w:val="auto"/>
              </w:rPr>
              <w:t>Number: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4960" w:type="dxa"/>
            <w:vAlign w:val="bottom"/>
            <w:tcBorders>
              <w:right w:val="single" w:sz="8" w:color="auto"/>
            </w:tcBorders>
            <w:gridSpan w:val="26"/>
          </w:tcPr>
          <w:p>
            <w:pPr>
              <w:ind w:left="120"/>
              <w:spacing w:after="0" w:line="128" w:lineRule="exact"/>
              <w:rPr>
                <w:sz w:val="20"/>
                <w:szCs w:val="20"/>
                <w:color w:val="auto"/>
              </w:rPr>
            </w:pPr>
            <w:r>
              <w:rPr>
                <w:rFonts w:ascii="Arial" w:cs="Arial" w:eastAsia="Arial" w:hAnsi="Arial"/>
                <w:sz w:val="14"/>
                <w:szCs w:val="14"/>
                <w:color w:val="auto"/>
              </w:rPr>
              <w:t>Transporter Contract Number:</w:t>
            </w:r>
          </w:p>
        </w:tc>
      </w:tr>
      <w:tr>
        <w:trPr>
          <w:trHeight w:val="20"/>
        </w:trPr>
        <w:tc>
          <w:tcPr>
            <w:tcW w:w="40" w:type="dxa"/>
            <w:vAlign w:val="bottom"/>
            <w:tcBorders>
              <w:top w:val="single" w:sz="8" w:color="auto"/>
              <w:bottom w:val="single" w:sz="8" w:color="auto"/>
              <w:right w:val="single" w:sz="8" w:color="auto"/>
            </w:tcBorders>
            <w:shd w:val="clear" w:color="auto" w:fill="000000"/>
          </w:tcPr>
          <w:p>
            <w:pPr>
              <w:spacing w:after="0" w:line="20" w:lineRule="exact"/>
              <w:rPr>
                <w:sz w:val="1"/>
                <w:szCs w:val="1"/>
                <w:color w:val="auto"/>
              </w:rPr>
            </w:pPr>
          </w:p>
        </w:tc>
        <w:tc>
          <w:tcPr>
            <w:tcW w:w="2120" w:type="dxa"/>
            <w:vAlign w:val="bottom"/>
            <w:tcBorders>
              <w:bottom w:val="single" w:sz="8" w:color="auto"/>
            </w:tcBorders>
            <w:gridSpan w:val="18"/>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320" w:type="dxa"/>
            <w:vAlign w:val="bottom"/>
            <w:tcBorders>
              <w:bottom w:val="single" w:sz="8" w:color="auto"/>
              <w:right w:val="single" w:sz="8" w:color="auto"/>
            </w:tcBorders>
            <w:gridSpan w:val="12"/>
          </w:tcPr>
          <w:p>
            <w:pPr>
              <w:spacing w:after="0" w:line="20" w:lineRule="exact"/>
              <w:rPr>
                <w:sz w:val="1"/>
                <w:szCs w:val="1"/>
                <w:color w:val="auto"/>
              </w:rPr>
            </w:pPr>
          </w:p>
        </w:tc>
        <w:tc>
          <w:tcPr>
            <w:tcW w:w="2120" w:type="dxa"/>
            <w:vAlign w:val="bottom"/>
            <w:tcBorders>
              <w:bottom w:val="single" w:sz="8" w:color="auto"/>
            </w:tcBorders>
            <w:gridSpan w:val="17"/>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5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1380" w:type="dxa"/>
            <w:vAlign w:val="bottom"/>
            <w:gridSpan w:val="9"/>
          </w:tcPr>
          <w:p>
            <w:pPr>
              <w:ind w:left="100"/>
              <w:spacing w:after="0"/>
              <w:rPr>
                <w:sz w:val="20"/>
                <w:szCs w:val="20"/>
                <w:color w:val="auto"/>
              </w:rPr>
            </w:pPr>
            <w:r>
              <w:rPr>
                <w:rFonts w:ascii="Arial" w:cs="Arial" w:eastAsia="Arial" w:hAnsi="Arial"/>
                <w:sz w:val="15"/>
                <w:szCs w:val="15"/>
                <w:color w:val="auto"/>
              </w:rPr>
              <w:t>Contract Price: $</w:t>
            </w:r>
          </w:p>
        </w:tc>
        <w:tc>
          <w:tcPr>
            <w:tcW w:w="740" w:type="dxa"/>
            <w:vAlign w:val="bottom"/>
            <w:gridSpan w:val="9"/>
          </w:tcPr>
          <w:p>
            <w:pPr>
              <w:spacing w:after="0"/>
              <w:rPr>
                <w:sz w:val="20"/>
                <w:szCs w:val="20"/>
                <w:color w:val="auto"/>
              </w:rPr>
            </w:pPr>
            <w:r>
              <w:rPr>
                <w:rFonts w:ascii="Arial" w:cs="Arial" w:eastAsia="Arial" w:hAnsi="Arial"/>
                <w:sz w:val="15"/>
                <w:szCs w:val="15"/>
                <w:color w:val="auto"/>
              </w:rPr>
              <w:t>/MMBtu or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r>
      <w:tr>
        <w:trPr>
          <w:trHeight w:val="20"/>
        </w:trPr>
        <w:tc>
          <w:tcPr>
            <w:tcW w:w="40" w:type="dxa"/>
            <w:vAlign w:val="bottom"/>
            <w:tcBorders>
              <w:top w:val="single" w:sz="8" w:color="auto"/>
              <w:bottom w:val="single" w:sz="8" w:color="auto"/>
              <w:right w:val="single" w:sz="8" w:color="auto"/>
            </w:tcBorders>
            <w:shd w:val="clear" w:color="auto" w:fill="000000"/>
          </w:tcPr>
          <w:p>
            <w:pPr>
              <w:spacing w:after="0" w:line="20" w:lineRule="exact"/>
              <w:rPr>
                <w:sz w:val="1"/>
                <w:szCs w:val="1"/>
                <w:color w:val="auto"/>
              </w:rPr>
            </w:pPr>
          </w:p>
        </w:tc>
        <w:tc>
          <w:tcPr>
            <w:tcW w:w="1200" w:type="dxa"/>
            <w:vAlign w:val="bottom"/>
            <w:tcBorders>
              <w:bottom w:val="single" w:sz="8" w:color="auto"/>
            </w:tcBorders>
            <w:gridSpan w:val="7"/>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8"/>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460" w:type="dxa"/>
            <w:vAlign w:val="bottom"/>
            <w:tcBorders>
              <w:bottom w:val="single" w:sz="8" w:color="auto"/>
              <w:right w:val="single" w:sz="8" w:color="auto"/>
            </w:tcBorders>
            <w:gridSpan w:val="39"/>
          </w:tcPr>
          <w:p>
            <w:pPr>
              <w:spacing w:after="0" w:line="20" w:lineRule="exact"/>
              <w:rPr>
                <w:sz w:val="1"/>
                <w:szCs w:val="1"/>
                <w:color w:val="auto"/>
              </w:rPr>
            </w:pPr>
          </w:p>
        </w:tc>
      </w:tr>
      <w:tr>
        <w:trPr>
          <w:trHeight w:val="248"/>
        </w:trPr>
        <w:tc>
          <w:tcPr>
            <w:tcW w:w="40" w:type="dxa"/>
            <w:vAlign w:val="bottom"/>
            <w:tcBorders>
              <w:right w:val="single" w:sz="8" w:color="auto"/>
            </w:tcBorders>
            <w:shd w:val="clear" w:color="auto" w:fill="000000"/>
          </w:tcPr>
          <w:p>
            <w:pPr>
              <w:spacing w:after="0"/>
              <w:rPr>
                <w:sz w:val="21"/>
                <w:szCs w:val="21"/>
                <w:color w:val="auto"/>
              </w:rPr>
            </w:pPr>
          </w:p>
        </w:tc>
        <w:tc>
          <w:tcPr>
            <w:tcW w:w="1800" w:type="dxa"/>
            <w:vAlign w:val="bottom"/>
            <w:gridSpan w:val="13"/>
          </w:tcPr>
          <w:p>
            <w:pPr>
              <w:ind w:left="100"/>
              <w:spacing w:after="0"/>
              <w:rPr>
                <w:sz w:val="20"/>
                <w:szCs w:val="20"/>
                <w:color w:val="auto"/>
              </w:rPr>
            </w:pPr>
            <w:r>
              <w:rPr>
                <w:rFonts w:ascii="Arial" w:cs="Arial" w:eastAsia="Arial" w:hAnsi="Arial"/>
                <w:sz w:val="15"/>
                <w:szCs w:val="15"/>
                <w:color w:val="auto"/>
              </w:rPr>
              <w:t>Delivery Period: Begin:</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7"/>
          </w:tcPr>
          <w:p>
            <w:pPr>
              <w:ind w:left="100"/>
              <w:spacing w:after="0"/>
              <w:rPr>
                <w:sz w:val="20"/>
                <w:szCs w:val="20"/>
                <w:color w:val="auto"/>
              </w:rPr>
            </w:pPr>
            <w:r>
              <w:rPr>
                <w:rFonts w:ascii="Arial" w:cs="Arial" w:eastAsia="Arial" w:hAnsi="Arial"/>
                <w:sz w:val="15"/>
                <w:szCs w:val="15"/>
                <w:color w:val="auto"/>
              </w:rPr>
              <w:t>End:   ,</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r>
      <w:tr>
        <w:trPr>
          <w:trHeight w:val="20"/>
        </w:trPr>
        <w:tc>
          <w:tcPr>
            <w:tcW w:w="40" w:type="dxa"/>
            <w:vAlign w:val="bottom"/>
            <w:tcBorders>
              <w:top w:val="single" w:sz="8" w:color="auto"/>
              <w:bottom w:val="single" w:sz="8" w:color="auto"/>
              <w:right w:val="single" w:sz="8" w:color="auto"/>
            </w:tcBorders>
            <w:shd w:val="clear" w:color="auto" w:fill="000000"/>
          </w:tcPr>
          <w:p>
            <w:pPr>
              <w:spacing w:after="0" w:line="20" w:lineRule="exact"/>
              <w:rPr>
                <w:sz w:val="1"/>
                <w:szCs w:val="1"/>
                <w:color w:val="auto"/>
              </w:rPr>
            </w:pPr>
          </w:p>
        </w:tc>
        <w:tc>
          <w:tcPr>
            <w:tcW w:w="1640" w:type="dxa"/>
            <w:vAlign w:val="bottom"/>
            <w:tcBorders>
              <w:bottom w:val="single" w:sz="8" w:color="auto"/>
            </w:tcBorders>
            <w:gridSpan w:val="1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6"/>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740" w:type="dxa"/>
            <w:vAlign w:val="bottom"/>
            <w:tcBorders>
              <w:bottom w:val="single" w:sz="8" w:color="auto"/>
              <w:right w:val="single" w:sz="8" w:color="auto"/>
            </w:tcBorders>
            <w:gridSpan w:val="34"/>
          </w:tcPr>
          <w:p>
            <w:pPr>
              <w:spacing w:after="0" w:line="20" w:lineRule="exact"/>
              <w:rPr>
                <w:sz w:val="1"/>
                <w:szCs w:val="1"/>
                <w:color w:val="auto"/>
              </w:rPr>
            </w:pPr>
          </w:p>
        </w:tc>
      </w:tr>
      <w:tr>
        <w:trPr>
          <w:trHeight w:val="290"/>
        </w:trPr>
        <w:tc>
          <w:tcPr>
            <w:tcW w:w="40" w:type="dxa"/>
            <w:vAlign w:val="bottom"/>
            <w:tcBorders>
              <w:right w:val="single" w:sz="8" w:color="auto"/>
            </w:tcBorders>
            <w:shd w:val="clear" w:color="auto" w:fill="000000"/>
          </w:tcPr>
          <w:p>
            <w:pPr>
              <w:spacing w:after="0"/>
              <w:rPr>
                <w:sz w:val="24"/>
                <w:szCs w:val="24"/>
                <w:color w:val="auto"/>
              </w:rPr>
            </w:pPr>
          </w:p>
        </w:tc>
        <w:tc>
          <w:tcPr>
            <w:tcW w:w="4300" w:type="dxa"/>
            <w:vAlign w:val="bottom"/>
            <w:gridSpan w:val="30"/>
          </w:tcPr>
          <w:p>
            <w:pPr>
              <w:ind w:left="100"/>
              <w:spacing w:after="0"/>
              <w:rPr>
                <w:sz w:val="20"/>
                <w:szCs w:val="20"/>
                <w:color w:val="auto"/>
              </w:rPr>
            </w:pPr>
            <w:r>
              <w:rPr>
                <w:rFonts w:ascii="Arial" w:cs="Arial" w:eastAsia="Arial" w:hAnsi="Arial"/>
                <w:sz w:val="15"/>
                <w:szCs w:val="15"/>
                <w:b w:val="1"/>
                <w:bCs w:val="1"/>
                <w:color w:val="auto"/>
                <w:w w:val="98"/>
              </w:rPr>
              <w:t xml:space="preserve">Performance Obligation and Contract Quantity: </w:t>
            </w:r>
            <w:r>
              <w:rPr>
                <w:rFonts w:ascii="Arial" w:cs="Arial" w:eastAsia="Arial" w:hAnsi="Arial"/>
                <w:sz w:val="15"/>
                <w:szCs w:val="15"/>
                <w:color w:val="auto"/>
                <w:w w:val="98"/>
              </w:rPr>
              <w:t>(Select One)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370"/>
        </w:trPr>
        <w:tc>
          <w:tcPr>
            <w:tcW w:w="40" w:type="dxa"/>
            <w:vAlign w:val="bottom"/>
            <w:tcBorders>
              <w:right w:val="single" w:sz="8" w:color="auto"/>
            </w:tcBorders>
            <w:shd w:val="clear" w:color="auto" w:fill="000000"/>
          </w:tcPr>
          <w:p>
            <w:pPr>
              <w:spacing w:after="0"/>
              <w:rPr>
                <w:sz w:val="24"/>
                <w:szCs w:val="24"/>
                <w:color w:val="auto"/>
              </w:rPr>
            </w:pPr>
          </w:p>
        </w:tc>
        <w:tc>
          <w:tcPr>
            <w:tcW w:w="5420" w:type="dxa"/>
            <w:vAlign w:val="bottom"/>
            <w:gridSpan w:val="34"/>
          </w:tcPr>
          <w:p>
            <w:pPr>
              <w:ind w:left="100"/>
              <w:spacing w:after="0"/>
              <w:rPr>
                <w:sz w:val="20"/>
                <w:szCs w:val="20"/>
                <w:color w:val="auto"/>
              </w:rPr>
            </w:pPr>
            <w:r>
              <w:rPr>
                <w:rFonts w:ascii="Arial" w:cs="Arial" w:eastAsia="Arial" w:hAnsi="Arial"/>
                <w:sz w:val="15"/>
                <w:szCs w:val="15"/>
                <w:b w:val="1"/>
                <w:bCs w:val="1"/>
                <w:color w:val="auto"/>
              </w:rPr>
              <w:t>Firm (Fixed Quantity):  Firm (Variable Quantity):  Interruptible: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8"/>
          </w:tcPr>
          <w:p>
            <w:pPr>
              <w:spacing w:after="0"/>
              <w:rPr>
                <w:sz w:val="20"/>
                <w:szCs w:val="20"/>
                <w:color w:val="auto"/>
              </w:rPr>
            </w:pPr>
            <w:r>
              <w:rPr>
                <w:rFonts w:ascii="Arial" w:cs="Arial" w:eastAsia="Arial" w:hAnsi="Arial"/>
                <w:sz w:val="15"/>
                <w:szCs w:val="15"/>
                <w:color w:val="auto"/>
              </w:rPr>
              <w:t>MMBtus/day</w:t>
            </w:r>
          </w:p>
        </w:tc>
        <w:tc>
          <w:tcPr>
            <w:tcW w:w="160" w:type="dxa"/>
            <w:vAlign w:val="bottom"/>
          </w:tcPr>
          <w:p>
            <w:pPr>
              <w:spacing w:after="0"/>
              <w:rPr>
                <w:sz w:val="21"/>
                <w:szCs w:val="21"/>
                <w:color w:val="auto"/>
              </w:rPr>
            </w:pPr>
          </w:p>
        </w:tc>
        <w:tc>
          <w:tcPr>
            <w:tcW w:w="1460" w:type="dxa"/>
            <w:vAlign w:val="bottom"/>
            <w:gridSpan w:val="12"/>
          </w:tcPr>
          <w:p>
            <w:pPr>
              <w:spacing w:after="0"/>
              <w:rPr>
                <w:sz w:val="20"/>
                <w:szCs w:val="20"/>
                <w:color w:val="auto"/>
              </w:rPr>
            </w:pPr>
            <w:r>
              <w:rPr>
                <w:rFonts w:ascii="Arial" w:cs="Arial" w:eastAsia="Arial" w:hAnsi="Arial"/>
                <w:sz w:val="15"/>
                <w:szCs w:val="15"/>
                <w:color w:val="auto"/>
                <w:w w:val="95"/>
              </w:rPr>
              <w:t>MMBtus/day Minimum</w:t>
            </w:r>
          </w:p>
        </w:tc>
        <w:tc>
          <w:tcPr>
            <w:tcW w:w="2160" w:type="dxa"/>
            <w:vAlign w:val="bottom"/>
            <w:gridSpan w:val="9"/>
          </w:tcPr>
          <w:p>
            <w:pPr>
              <w:ind w:left="160"/>
              <w:spacing w:after="0"/>
              <w:rPr>
                <w:sz w:val="20"/>
                <w:szCs w:val="20"/>
                <w:color w:val="auto"/>
              </w:rPr>
            </w:pPr>
            <w:r>
              <w:rPr>
                <w:rFonts w:ascii="Arial" w:cs="Arial" w:eastAsia="Arial" w:hAnsi="Arial"/>
                <w:sz w:val="15"/>
                <w:szCs w:val="15"/>
                <w:color w:val="auto"/>
              </w:rPr>
              <w:t>Up to   MMBtus/day EFP</w:t>
            </w:r>
          </w:p>
        </w:tc>
        <w:tc>
          <w:tcPr>
            <w:tcW w:w="40" w:type="dxa"/>
            <w:vAlign w:val="bottom"/>
          </w:tcPr>
          <w:p>
            <w:pPr>
              <w:spacing w:after="0"/>
              <w:rPr>
                <w:sz w:val="21"/>
                <w:szCs w:val="21"/>
                <w:color w:val="auto"/>
              </w:rPr>
            </w:pPr>
          </w:p>
        </w:tc>
        <w:tc>
          <w:tcPr>
            <w:tcW w:w="4260" w:type="dxa"/>
            <w:vAlign w:val="bottom"/>
            <w:tcBorders>
              <w:right w:val="single" w:sz="8" w:color="auto"/>
            </w:tcBorders>
            <w:gridSpan w:val="23"/>
          </w:tcPr>
          <w:p>
            <w:pPr>
              <w:spacing w:after="0"/>
              <w:rPr>
                <w:sz w:val="20"/>
                <w:szCs w:val="20"/>
                <w:color w:val="auto"/>
              </w:rPr>
            </w:pPr>
            <w:r>
              <w:rPr>
                <w:rFonts w:ascii="Arial" w:cs="Arial" w:eastAsia="Arial" w:hAnsi="Arial"/>
                <w:sz w:val="15"/>
                <w:szCs w:val="15"/>
                <w:color w:val="auto"/>
              </w:rPr>
              <w:t>MMBtus/day Maximum</w:t>
            </w: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360" w:type="dxa"/>
            <w:vAlign w:val="bottom"/>
            <w:tcBorders>
              <w:right w:val="single" w:sz="8" w:color="auto"/>
            </w:tcBorders>
            <w:gridSpan w:val="4"/>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15"/>
          </w:tcPr>
          <w:p>
            <w:pPr>
              <w:ind w:left="220"/>
              <w:spacing w:after="0"/>
              <w:rPr>
                <w:sz w:val="20"/>
                <w:szCs w:val="20"/>
                <w:color w:val="auto"/>
              </w:rPr>
            </w:pPr>
            <w:r>
              <w:rPr>
                <w:rFonts w:ascii="Arial" w:cs="Arial" w:eastAsia="Arial" w:hAnsi="Arial"/>
                <w:sz w:val="15"/>
                <w:szCs w:val="15"/>
                <w:color w:val="auto"/>
              </w:rPr>
              <w:t>subject to Section 4.2. at election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r>
      <w:tr>
        <w:trPr>
          <w:trHeight w:val="306"/>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1"/>
          </w:tcPr>
          <w:p>
            <w:pPr>
              <w:ind w:left="200"/>
              <w:spacing w:after="0"/>
              <w:rPr>
                <w:sz w:val="20"/>
                <w:szCs w:val="20"/>
                <w:color w:val="auto"/>
              </w:rPr>
            </w:pPr>
            <w:r>
              <w:rPr>
                <w:rFonts w:ascii="Arial" w:cs="Arial" w:eastAsia="Arial" w:hAnsi="Arial"/>
                <w:sz w:val="15"/>
                <w:szCs w:val="15"/>
                <w:color w:val="auto"/>
              </w:rPr>
              <w:t>Buyer or  Seller</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259"/>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360" w:type="dxa"/>
            <w:vAlign w:val="bottom"/>
            <w:gridSpan w:val="8"/>
          </w:tcPr>
          <w:p>
            <w:pPr>
              <w:ind w:left="100"/>
              <w:spacing w:after="0"/>
              <w:rPr>
                <w:sz w:val="20"/>
                <w:szCs w:val="20"/>
                <w:color w:val="auto"/>
              </w:rPr>
            </w:pPr>
            <w:r>
              <w:rPr>
                <w:rFonts w:ascii="Arial" w:cs="Arial" w:eastAsia="Arial" w:hAnsi="Arial"/>
                <w:sz w:val="15"/>
                <w:szCs w:val="15"/>
                <w:b w:val="1"/>
                <w:bCs w:val="1"/>
                <w:color w:val="auto"/>
              </w:rPr>
              <w:t>Delivery Point(s):</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r>
      <w:tr>
        <w:trPr>
          <w:trHeight w:val="211"/>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420" w:type="dxa"/>
            <w:vAlign w:val="bottom"/>
            <w:tcBorders>
              <w:bottom w:val="single" w:sz="8" w:color="auto"/>
            </w:tcBorders>
            <w:gridSpan w:val="34"/>
          </w:tcPr>
          <w:p>
            <w:pPr>
              <w:ind w:left="100"/>
              <w:spacing w:after="0"/>
              <w:rPr>
                <w:sz w:val="20"/>
                <w:szCs w:val="20"/>
                <w:color w:val="auto"/>
              </w:rPr>
            </w:pPr>
            <w:r>
              <w:rPr>
                <w:rFonts w:ascii="Arial" w:cs="Arial" w:eastAsia="Arial" w:hAnsi="Arial"/>
                <w:sz w:val="15"/>
                <w:szCs w:val="15"/>
                <w:color w:val="auto"/>
              </w:rPr>
              <w:t>(If a pooling point is used, list a specific geographic and pipeline location):</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r>
      <w:tr>
        <w:trPr>
          <w:trHeight w:val="291"/>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800" w:type="dxa"/>
            <w:vAlign w:val="bottom"/>
            <w:tcBorders>
              <w:bottom w:val="single" w:sz="8" w:color="auto"/>
            </w:tcBorders>
            <w:gridSpan w:val="13"/>
          </w:tcPr>
          <w:p>
            <w:pPr>
              <w:ind w:left="100"/>
              <w:spacing w:after="0"/>
              <w:rPr>
                <w:sz w:val="20"/>
                <w:szCs w:val="20"/>
                <w:color w:val="auto"/>
              </w:rPr>
            </w:pPr>
            <w:r>
              <w:rPr>
                <w:rFonts w:ascii="Arial" w:cs="Arial" w:eastAsia="Arial" w:hAnsi="Arial"/>
                <w:sz w:val="15"/>
                <w:szCs w:val="15"/>
                <w:b w:val="1"/>
                <w:bCs w:val="1"/>
                <w:color w:val="auto"/>
              </w:rPr>
              <w:t>Special Conditions:</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r>
      <w:tr>
        <w:trPr>
          <w:trHeight w:val="4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560" w:type="dxa"/>
            <w:vAlign w:val="bottom"/>
            <w:gridSpan w:val="3"/>
          </w:tcPr>
          <w:p>
            <w:pPr>
              <w:ind w:left="100"/>
              <w:spacing w:after="0"/>
              <w:rPr>
                <w:sz w:val="20"/>
                <w:szCs w:val="20"/>
                <w:color w:val="auto"/>
              </w:rPr>
            </w:pPr>
            <w:r>
              <w:rPr>
                <w:rFonts w:ascii="Arial" w:cs="Arial" w:eastAsia="Arial" w:hAnsi="Arial"/>
                <w:sz w:val="15"/>
                <w:szCs w:val="15"/>
                <w:color w:val="auto"/>
              </w:rPr>
              <w:t>Seller:</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By:</w:t>
            </w: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5"/>
                <w:szCs w:val="15"/>
                <w:color w:val="auto"/>
                <w:w w:val="92"/>
              </w:rPr>
              <w:t>Title: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5"/>
                <w:szCs w:val="15"/>
                <w:color w:val="auto"/>
                <w:w w:val="96"/>
              </w:rPr>
              <w:t>Buyer:</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gridSpan w:val="2"/>
          </w:tcPr>
          <w:p>
            <w:pPr>
              <w:jc w:val="center"/>
              <w:ind w:right="20"/>
              <w:spacing w:after="0"/>
              <w:rPr>
                <w:sz w:val="20"/>
                <w:szCs w:val="20"/>
                <w:color w:val="auto"/>
              </w:rPr>
            </w:pPr>
            <w:r>
              <w:rPr>
                <w:rFonts w:ascii="Arial" w:cs="Arial" w:eastAsia="Arial" w:hAnsi="Arial"/>
                <w:sz w:val="15"/>
                <w:szCs w:val="15"/>
                <w:color w:val="auto"/>
                <w:w w:val="92"/>
              </w:rPr>
              <w:t>By:</w:t>
            </w:r>
          </w:p>
        </w:tc>
        <w:tc>
          <w:tcPr>
            <w:tcW w:w="160" w:type="dxa"/>
            <w:vAlign w:val="bottom"/>
            <w:tcBorders>
              <w:bottom w:val="single" w:sz="8" w:color="auto"/>
            </w:tcBorders>
            <w:gridSpan w:val="2"/>
          </w:tcPr>
          <w:p>
            <w:pPr>
              <w:spacing w:after="0"/>
              <w:rPr>
                <w:sz w:val="24"/>
                <w:szCs w:val="24"/>
                <w:color w:val="auto"/>
              </w:rPr>
            </w:pPr>
          </w:p>
        </w:tc>
        <w:tc>
          <w:tcPr>
            <w:tcW w:w="400" w:type="dxa"/>
            <w:vAlign w:val="bottom"/>
            <w:gridSpan w:val="6"/>
          </w:tcPr>
          <w:p>
            <w:pPr>
              <w:ind w:left="40"/>
              <w:spacing w:after="0"/>
              <w:rPr>
                <w:sz w:val="20"/>
                <w:szCs w:val="20"/>
                <w:color w:val="auto"/>
              </w:rPr>
            </w:pPr>
            <w:r>
              <w:rPr>
                <w:rFonts w:ascii="Arial" w:cs="Arial" w:eastAsia="Arial" w:hAnsi="Arial"/>
                <w:sz w:val="15"/>
                <w:szCs w:val="15"/>
                <w:color w:val="auto"/>
              </w:rPr>
              <w:t>Title:</w:t>
            </w:r>
          </w:p>
        </w:tc>
        <w:tc>
          <w:tcPr>
            <w:tcW w:w="320" w:type="dxa"/>
            <w:vAlign w:val="bottom"/>
            <w:tcBorders>
              <w:bottom w:val="single" w:sz="8" w:color="auto"/>
            </w:tcBorders>
            <w:gridSpan w:val="3"/>
          </w:tcPr>
          <w:p>
            <w:pPr>
              <w:spacing w:after="0"/>
              <w:rPr>
                <w:sz w:val="24"/>
                <w:szCs w:val="24"/>
                <w:color w:val="auto"/>
              </w:rPr>
            </w:pPr>
          </w:p>
        </w:tc>
        <w:tc>
          <w:tcPr>
            <w:tcW w:w="2700" w:type="dxa"/>
            <w:vAlign w:val="bottom"/>
            <w:tcBorders>
              <w:right w:val="single" w:sz="8" w:color="auto"/>
            </w:tcBorders>
            <w:gridSpan w:val="8"/>
          </w:tcPr>
          <w:p>
            <w:pPr>
              <w:spacing w:after="0"/>
              <w:rPr>
                <w:sz w:val="24"/>
                <w:szCs w:val="24"/>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4760" w:type="dxa"/>
            <w:vAlign w:val="bottom"/>
            <w:tcBorders>
              <w:right w:val="single" w:sz="8" w:color="auto"/>
            </w:tcBorders>
            <w:gridSpan w:val="32"/>
          </w:tcPr>
          <w:p>
            <w:pPr>
              <w:ind w:left="100"/>
              <w:spacing w:after="0"/>
              <w:rPr>
                <w:sz w:val="20"/>
                <w:szCs w:val="20"/>
                <w:color w:val="auto"/>
              </w:rPr>
            </w:pPr>
            <w:r>
              <w:rPr>
                <w:rFonts w:ascii="Arial" w:cs="Arial" w:eastAsia="Arial" w:hAnsi="Arial"/>
                <w:sz w:val="15"/>
                <w:szCs w:val="15"/>
                <w:color w:val="auto"/>
              </w:rPr>
              <w:t>Date:</w:t>
            </w:r>
          </w:p>
        </w:tc>
        <w:tc>
          <w:tcPr>
            <w:tcW w:w="4960" w:type="dxa"/>
            <w:vAlign w:val="bottom"/>
            <w:tcBorders>
              <w:right w:val="single" w:sz="8" w:color="auto"/>
            </w:tcBorders>
            <w:gridSpan w:val="26"/>
          </w:tcPr>
          <w:p>
            <w:pPr>
              <w:ind w:left="120"/>
              <w:spacing w:after="0"/>
              <w:rPr>
                <w:sz w:val="20"/>
                <w:szCs w:val="20"/>
                <w:color w:val="auto"/>
              </w:rPr>
            </w:pPr>
            <w:r>
              <w:rPr>
                <w:rFonts w:ascii="Arial" w:cs="Arial" w:eastAsia="Arial" w:hAnsi="Arial"/>
                <w:sz w:val="15"/>
                <w:szCs w:val="15"/>
                <w:color w:val="auto"/>
              </w:rPr>
              <w:t>Date:</w:t>
            </w:r>
          </w:p>
        </w:tc>
      </w:tr>
      <w:tr>
        <w:trPr>
          <w:trHeight w:val="22"/>
        </w:trPr>
        <w:tc>
          <w:tcPr>
            <w:tcW w:w="40" w:type="dxa"/>
            <w:vAlign w:val="bottom"/>
            <w:tcBorders>
              <w:top w:val="single" w:sz="8" w:color="auto"/>
              <w:bottom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3"/>
          </w:tcPr>
          <w:p>
            <w:pPr>
              <w:spacing w:after="0" w:line="20" w:lineRule="exact"/>
              <w:rPr>
                <w:sz w:val="1"/>
                <w:szCs w:val="1"/>
                <w:color w:val="auto"/>
              </w:rPr>
            </w:pPr>
          </w:p>
        </w:tc>
        <w:tc>
          <w:tcPr>
            <w:tcW w:w="4080" w:type="dxa"/>
            <w:vAlign w:val="bottom"/>
            <w:tcBorders>
              <w:bottom w:val="single" w:sz="8" w:color="auto"/>
              <w:right w:val="single" w:sz="8" w:color="auto"/>
            </w:tcBorders>
            <w:gridSpan w:val="27"/>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4260" w:type="dxa"/>
            <w:vAlign w:val="bottom"/>
            <w:tcBorders>
              <w:bottom w:val="single" w:sz="8" w:color="auto"/>
              <w:right w:val="single" w:sz="8" w:color="auto"/>
            </w:tcBorders>
            <w:gridSpan w:val="23"/>
          </w:tcPr>
          <w:p>
            <w:pPr>
              <w:spacing w:after="0" w:line="20" w:lineRule="exact"/>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9720" w:type="dxa"/>
            <w:vAlign w:val="bottom"/>
            <w:tcBorders>
              <w:bottom w:val="single" w:sz="8" w:color="auto"/>
              <w:right w:val="single" w:sz="8" w:color="auto"/>
            </w:tcBorders>
            <w:gridSpan w:val="5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-3027680</wp:posOffset>
            </wp:positionV>
            <wp:extent cx="5477510" cy="407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5477510" cy="40703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-1525270</wp:posOffset>
            </wp:positionV>
            <wp:extent cx="132715" cy="101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132715" cy="10160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-1212215</wp:posOffset>
            </wp:positionV>
            <wp:extent cx="266065" cy="101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266065" cy="101600"/>
                    </a:xfrm>
                    <a:prstGeom prst="rect">
                      <a:avLst/>
                    </a:prstGeom>
                    <a:noFill/>
                  </pic:spPr>
                </pic:pic>
              </a:graphicData>
            </a:graphic>
          </wp:anchor>
        </w:drawing>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60" w:type="dxa"/>
            <w:vAlign w:val="bottom"/>
            <w:vMerge w:val="restart"/>
          </w:tcPr>
          <w:p>
            <w:pPr>
              <w:spacing w:after="0"/>
              <w:rPr>
                <w:sz w:val="20"/>
                <w:szCs w:val="20"/>
                <w:color w:val="auto"/>
              </w:rPr>
            </w:pPr>
            <w:r>
              <w:rPr>
                <w:rFonts w:ascii="Arial" w:cs="Arial" w:eastAsia="Arial" w:hAnsi="Arial"/>
                <w:sz w:val="13"/>
                <w:szCs w:val="13"/>
                <w:color w:val="auto"/>
              </w:rPr>
              <w:t>Copyright © 2006 North American Energy Standards Board, Inc.</w:t>
            </w:r>
          </w:p>
        </w:tc>
        <w:tc>
          <w:tcPr>
            <w:tcW w:w="4400" w:type="dxa"/>
            <w:vAlign w:val="bottom"/>
          </w:tcPr>
          <w:p>
            <w:pPr>
              <w:jc w:val="right"/>
              <w:ind w:right="274"/>
              <w:spacing w:after="0"/>
              <w:rPr>
                <w:sz w:val="20"/>
                <w:szCs w:val="20"/>
                <w:color w:val="auto"/>
              </w:rPr>
            </w:pPr>
            <w:r>
              <w:rPr>
                <w:rFonts w:ascii="Arial" w:cs="Arial" w:eastAsia="Arial" w:hAnsi="Arial"/>
                <w:sz w:val="13"/>
                <w:szCs w:val="13"/>
                <w:color w:val="auto"/>
              </w:rPr>
              <w:t>NAESB Standard 6.3.1</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w w:val="99"/>
              </w:rPr>
              <w:t>All Rights Reserved</w:t>
            </w:r>
          </w:p>
        </w:tc>
        <w:tc>
          <w:tcPr>
            <w:tcW w:w="0" w:type="dxa"/>
            <w:vAlign w:val="bottom"/>
          </w:tcPr>
          <w:p>
            <w:pPr>
              <w:spacing w:after="0"/>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4400" w:type="dxa"/>
            <w:vAlign w:val="bottom"/>
          </w:tcPr>
          <w:p>
            <w:pPr>
              <w:jc w:val="right"/>
              <w:ind w:right="294"/>
              <w:spacing w:after="0"/>
              <w:rPr>
                <w:sz w:val="20"/>
                <w:szCs w:val="20"/>
                <w:color w:val="auto"/>
              </w:rPr>
            </w:pPr>
            <w:r>
              <w:rPr>
                <w:rFonts w:ascii="Arial" w:cs="Arial" w:eastAsia="Arial" w:hAnsi="Arial"/>
                <w:sz w:val="13"/>
                <w:szCs w:val="13"/>
                <w:color w:val="auto"/>
              </w:rPr>
              <w:t>September 5, 2006 (Revised by R15003/R15007, April 4, 2016)</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0"/>
                <w:szCs w:val="20"/>
                <w:color w:val="auto"/>
              </w:rPr>
            </w:pPr>
            <w:r>
              <w:rPr>
                <w:rFonts w:ascii="Arial" w:cs="Arial" w:eastAsia="Arial" w:hAnsi="Arial"/>
                <w:sz w:val="13"/>
                <w:szCs w:val="13"/>
                <w:color w:val="auto"/>
              </w:rPr>
              <w:t>Page 21 of</w:t>
            </w:r>
          </w:p>
        </w:tc>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3"/>
                <w:szCs w:val="13"/>
                <w:color w:val="auto"/>
              </w:rPr>
              <w:t>#NUM_PAGES#</w:t>
            </w: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40" w:top="173" w:right="12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31.1</w:t>
      </w:r>
    </w:p>
    <w:p>
      <w:pPr>
        <w:spacing w:after="0" w:line="383" w:lineRule="exact"/>
        <w:rPr>
          <w:sz w:val="20"/>
          <w:szCs w:val="20"/>
          <w:color w:val="auto"/>
        </w:rPr>
      </w:pPr>
    </w:p>
    <w:p>
      <w:pPr>
        <w:jc w:val="center"/>
        <w:spacing w:after="0" w:line="231"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I, Adam Comora, certify that:</w:t>
      </w:r>
    </w:p>
    <w:p>
      <w:pPr>
        <w:spacing w:after="0" w:line="136" w:lineRule="exact"/>
        <w:rPr>
          <w:sz w:val="20"/>
          <w:szCs w:val="20"/>
          <w:color w:val="auto"/>
        </w:rPr>
      </w:pPr>
    </w:p>
    <w:p>
      <w:pPr>
        <w:ind w:left="460" w:hanging="445"/>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OPAL Fuels Inc.;</w:t>
      </w:r>
    </w:p>
    <w:p>
      <w:pPr>
        <w:spacing w:after="0" w:line="284" w:lineRule="exact"/>
        <w:rPr>
          <w:rFonts w:ascii="Arial" w:cs="Arial" w:eastAsia="Arial" w:hAnsi="Arial"/>
          <w:sz w:val="16"/>
          <w:szCs w:val="16"/>
          <w:color w:val="auto"/>
        </w:rPr>
      </w:pPr>
    </w:p>
    <w:p>
      <w:pPr>
        <w:ind w:left="460" w:right="60" w:hanging="445"/>
        <w:spacing w:after="0" w:line="324"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5"/>
          <w:szCs w:val="15"/>
          <w:color w:val="auto"/>
        </w:rPr>
      </w:pPr>
    </w:p>
    <w:p>
      <w:pPr>
        <w:ind w:left="460" w:right="580" w:hanging="445"/>
        <w:spacing w:after="0" w:line="305"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6"/>
          <w:szCs w:val="16"/>
          <w:color w:val="auto"/>
        </w:rPr>
      </w:pPr>
    </w:p>
    <w:p>
      <w:pPr>
        <w:ind w:left="460" w:right="260" w:hanging="445"/>
        <w:spacing w:after="0" w:line="28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1020" w:right="140" w:hanging="561"/>
        <w:spacing w:after="0" w:line="281"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6"/>
          <w:szCs w:val="16"/>
          <w:color w:val="auto"/>
        </w:rPr>
      </w:pPr>
    </w:p>
    <w:p>
      <w:pPr>
        <w:ind w:left="1020" w:right="40" w:hanging="561"/>
        <w:spacing w:after="0" w:line="289"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6"/>
          <w:szCs w:val="16"/>
          <w:color w:val="auto"/>
        </w:rPr>
      </w:pPr>
    </w:p>
    <w:p>
      <w:pPr>
        <w:ind w:left="1020" w:right="40" w:hanging="561"/>
        <w:spacing w:after="0" w:line="305"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6"/>
          <w:szCs w:val="16"/>
          <w:color w:val="auto"/>
        </w:rPr>
      </w:pPr>
    </w:p>
    <w:p>
      <w:pPr>
        <w:ind w:left="1020" w:right="340" w:hanging="561"/>
        <w:spacing w:after="0" w:line="281"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6"/>
          <w:szCs w:val="16"/>
          <w:color w:val="auto"/>
        </w:rPr>
      </w:pPr>
    </w:p>
    <w:p>
      <w:pPr>
        <w:ind w:left="460" w:right="180" w:hanging="445"/>
        <w:spacing w:after="0" w:line="305"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6"/>
          <w:szCs w:val="16"/>
          <w:color w:val="auto"/>
        </w:rPr>
      </w:pPr>
    </w:p>
    <w:p>
      <w:pPr>
        <w:ind w:left="1020" w:right="220" w:hanging="561"/>
        <w:spacing w:after="0" w:line="305"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6"/>
          <w:szCs w:val="16"/>
          <w:color w:val="auto"/>
        </w:rPr>
      </w:pPr>
    </w:p>
    <w:p>
      <w:pPr>
        <w:ind w:left="1020" w:right="440" w:hanging="561"/>
        <w:spacing w:after="0" w:line="288"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5740" w:val="left"/>
          <w:tab w:leader="none" w:pos="6240" w:val="left"/>
        </w:tabs>
        <w:rPr>
          <w:sz w:val="20"/>
          <w:szCs w:val="20"/>
          <w:color w:val="auto"/>
        </w:rPr>
      </w:pPr>
      <w:r>
        <w:rPr>
          <w:rFonts w:ascii="Arial" w:cs="Arial" w:eastAsia="Arial" w:hAnsi="Arial"/>
          <w:sz w:val="16"/>
          <w:szCs w:val="16"/>
          <w:color w:val="auto"/>
        </w:rPr>
        <w:t>Date: November 14,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40005</wp:posOffset>
            </wp:positionV>
            <wp:extent cx="318452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3184525" cy="7620"/>
                    </a:xfrm>
                    <a:prstGeom prst="rect">
                      <a:avLst/>
                    </a:prstGeom>
                    <a:noFill/>
                  </pic:spPr>
                </pic:pic>
              </a:graphicData>
            </a:graphic>
          </wp:anchor>
        </w:drawing>
      </w:r>
    </w:p>
    <w:p>
      <w:pPr>
        <w:spacing w:after="0" w:line="67"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7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(Co-Principal Executive Officer)</w:t>
      </w:r>
    </w:p>
    <w:p>
      <w:pPr>
        <w:sectPr>
          <w:pgSz w:w="11900" w:h="16838" w:orient="portrait"/>
          <w:cols w:equalWidth="0" w:num="1">
            <w:col w:w="11240"/>
          </w:cols>
          <w:pgMar w:left="320" w:top="579" w:right="339" w:bottom="1440" w:gutter="0" w:footer="0" w:header="0"/>
        </w:sectPr>
      </w:pPr>
    </w:p>
    <w:bookmarkStart w:id="127" w:name="page128"/>
    <w:bookmarkEnd w:id="1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31.2</w:t>
      </w:r>
    </w:p>
    <w:p>
      <w:pPr>
        <w:spacing w:after="0" w:line="383" w:lineRule="exact"/>
        <w:rPr>
          <w:sz w:val="20"/>
          <w:szCs w:val="20"/>
          <w:color w:val="auto"/>
        </w:rPr>
      </w:pPr>
    </w:p>
    <w:p>
      <w:pPr>
        <w:jc w:val="center"/>
        <w:spacing w:after="0" w:line="231"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I, Jonathan Maurer, certify that:</w:t>
      </w:r>
    </w:p>
    <w:p>
      <w:pPr>
        <w:spacing w:after="0" w:line="136" w:lineRule="exact"/>
        <w:rPr>
          <w:sz w:val="20"/>
          <w:szCs w:val="20"/>
          <w:color w:val="auto"/>
        </w:rPr>
      </w:pPr>
    </w:p>
    <w:p>
      <w:pPr>
        <w:ind w:left="460" w:hanging="445"/>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OPAL Fuels Inc.;</w:t>
      </w:r>
    </w:p>
    <w:p>
      <w:pPr>
        <w:spacing w:after="0" w:line="284" w:lineRule="exact"/>
        <w:rPr>
          <w:rFonts w:ascii="Arial" w:cs="Arial" w:eastAsia="Arial" w:hAnsi="Arial"/>
          <w:sz w:val="16"/>
          <w:szCs w:val="16"/>
          <w:color w:val="auto"/>
        </w:rPr>
      </w:pPr>
    </w:p>
    <w:p>
      <w:pPr>
        <w:ind w:left="460" w:right="60" w:hanging="445"/>
        <w:spacing w:after="0" w:line="324"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5"/>
          <w:szCs w:val="15"/>
          <w:color w:val="auto"/>
        </w:rPr>
      </w:pPr>
    </w:p>
    <w:p>
      <w:pPr>
        <w:ind w:left="460" w:right="580" w:hanging="445"/>
        <w:spacing w:after="0" w:line="305"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6"/>
          <w:szCs w:val="16"/>
          <w:color w:val="auto"/>
        </w:rPr>
      </w:pPr>
    </w:p>
    <w:p>
      <w:pPr>
        <w:ind w:left="460" w:right="260" w:hanging="445"/>
        <w:spacing w:after="0" w:line="281"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1020" w:right="140" w:hanging="561"/>
        <w:spacing w:after="0" w:line="281"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6"/>
          <w:szCs w:val="16"/>
          <w:color w:val="auto"/>
        </w:rPr>
      </w:pPr>
    </w:p>
    <w:p>
      <w:pPr>
        <w:ind w:left="1020" w:right="40" w:hanging="561"/>
        <w:spacing w:after="0" w:line="289"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6"/>
          <w:szCs w:val="16"/>
          <w:color w:val="auto"/>
        </w:rPr>
      </w:pPr>
    </w:p>
    <w:p>
      <w:pPr>
        <w:ind w:left="1020" w:right="40" w:hanging="561"/>
        <w:spacing w:after="0" w:line="305"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6"/>
          <w:szCs w:val="16"/>
          <w:color w:val="auto"/>
        </w:rPr>
      </w:pPr>
    </w:p>
    <w:p>
      <w:pPr>
        <w:ind w:left="1020" w:right="340" w:hanging="561"/>
        <w:spacing w:after="0" w:line="281"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6"/>
          <w:szCs w:val="16"/>
          <w:color w:val="auto"/>
        </w:rPr>
      </w:pPr>
    </w:p>
    <w:p>
      <w:pPr>
        <w:ind w:left="460" w:right="180" w:hanging="445"/>
        <w:spacing w:after="0" w:line="305"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6"/>
          <w:szCs w:val="16"/>
          <w:color w:val="auto"/>
        </w:rPr>
      </w:pPr>
    </w:p>
    <w:p>
      <w:pPr>
        <w:ind w:left="1020" w:right="220" w:hanging="561"/>
        <w:spacing w:after="0" w:line="305"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6"/>
          <w:szCs w:val="16"/>
          <w:color w:val="auto"/>
        </w:rPr>
      </w:pPr>
    </w:p>
    <w:p>
      <w:pPr>
        <w:ind w:left="1020" w:right="440" w:hanging="561"/>
        <w:spacing w:after="0" w:line="288"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5740" w:val="left"/>
          <w:tab w:leader="none" w:pos="6240" w:val="left"/>
        </w:tabs>
        <w:rPr>
          <w:sz w:val="20"/>
          <w:szCs w:val="20"/>
          <w:color w:val="auto"/>
        </w:rPr>
      </w:pPr>
      <w:r>
        <w:rPr>
          <w:rFonts w:ascii="Arial" w:cs="Arial" w:eastAsia="Arial" w:hAnsi="Arial"/>
          <w:sz w:val="16"/>
          <w:szCs w:val="16"/>
          <w:color w:val="auto"/>
        </w:rPr>
        <w:t>Date: November 14,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40005</wp:posOffset>
            </wp:positionV>
            <wp:extent cx="318452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3184525" cy="7620"/>
                    </a:xfrm>
                    <a:prstGeom prst="rect">
                      <a:avLst/>
                    </a:prstGeom>
                    <a:noFill/>
                  </pic:spPr>
                </pic:pic>
              </a:graphicData>
            </a:graphic>
          </wp:anchor>
        </w:drawing>
      </w:r>
    </w:p>
    <w:p>
      <w:pPr>
        <w:spacing w:after="0" w:line="67"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7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(Co-Principal Executive Officer)</w:t>
      </w:r>
    </w:p>
    <w:p>
      <w:pPr>
        <w:sectPr>
          <w:pgSz w:w="11900" w:h="16838" w:orient="portrait"/>
          <w:cols w:equalWidth="0" w:num="1">
            <w:col w:w="11240"/>
          </w:cols>
          <w:pgMar w:left="320" w:top="579" w:right="339" w:bottom="1440" w:gutter="0" w:footer="0" w:header="0"/>
        </w:sectPr>
      </w:pPr>
    </w:p>
    <w:bookmarkStart w:id="129" w:name="page130"/>
    <w:bookmarkEnd w:id="1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31.3</w:t>
      </w:r>
    </w:p>
    <w:p>
      <w:pPr>
        <w:spacing w:after="0" w:line="37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PURSUANT TO RULES 13a-14(a) AND 15d-14(a)</w:t>
      </w:r>
    </w:p>
    <w:p>
      <w:pPr>
        <w:ind w:left="2440"/>
        <w:spacing w:after="0" w:line="217" w:lineRule="auto"/>
        <w:rPr>
          <w:sz w:val="20"/>
          <w:szCs w:val="20"/>
          <w:color w:val="auto"/>
        </w:rPr>
      </w:pPr>
      <w:r>
        <w:rPr>
          <w:rFonts w:ascii="Arial" w:cs="Arial" w:eastAsia="Arial" w:hAnsi="Arial"/>
          <w:sz w:val="16"/>
          <w:szCs w:val="16"/>
          <w:b w:val="1"/>
          <w:bCs w:val="1"/>
          <w:color w:val="auto"/>
        </w:rPr>
        <w:t>UNDER THE SECURITIES EXCHANGE ACT OF 1934, AS ADOPTED PURSUANT TO</w:t>
      </w: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 Ann Anthony, certify that:</w:t>
      </w:r>
    </w:p>
    <w:p>
      <w:pPr>
        <w:spacing w:after="0" w:line="149" w:lineRule="exact"/>
        <w:rPr>
          <w:sz w:val="20"/>
          <w:szCs w:val="20"/>
          <w:color w:val="auto"/>
        </w:rPr>
      </w:pPr>
    </w:p>
    <w:p>
      <w:pPr>
        <w:ind w:left="460" w:hanging="445"/>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OPAL Fuels Inc.;</w:t>
      </w:r>
    </w:p>
    <w:p>
      <w:pPr>
        <w:spacing w:after="0" w:line="271" w:lineRule="exact"/>
        <w:rPr>
          <w:rFonts w:ascii="Arial" w:cs="Arial" w:eastAsia="Arial" w:hAnsi="Arial"/>
          <w:sz w:val="16"/>
          <w:szCs w:val="16"/>
          <w:color w:val="auto"/>
        </w:rPr>
      </w:pPr>
    </w:p>
    <w:p>
      <w:pPr>
        <w:ind w:left="460" w:right="60" w:hanging="445"/>
        <w:spacing w:after="0" w:line="341"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460" w:right="580" w:hanging="445"/>
        <w:spacing w:after="0" w:line="305"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6"/>
          <w:szCs w:val="16"/>
          <w:color w:val="auto"/>
        </w:rPr>
      </w:pPr>
    </w:p>
    <w:p>
      <w:pPr>
        <w:ind w:left="460" w:right="260" w:hanging="445"/>
        <w:spacing w:after="0" w:line="281"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6"/>
          <w:szCs w:val="16"/>
          <w:color w:val="auto"/>
        </w:rPr>
      </w:pPr>
    </w:p>
    <w:p>
      <w:pPr>
        <w:ind w:left="1040" w:right="120" w:hanging="581"/>
        <w:spacing w:after="0" w:line="289"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6"/>
          <w:szCs w:val="16"/>
          <w:color w:val="auto"/>
        </w:rPr>
      </w:pPr>
    </w:p>
    <w:p>
      <w:pPr>
        <w:ind w:left="1040" w:right="40" w:hanging="581"/>
        <w:spacing w:after="0" w:line="281"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1040" w:right="40" w:hanging="581"/>
        <w:spacing w:after="0" w:line="288"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Arial" w:cs="Arial" w:eastAsia="Arial" w:hAnsi="Arial"/>
          <w:sz w:val="16"/>
          <w:szCs w:val="16"/>
          <w:color w:val="auto"/>
        </w:rPr>
      </w:pPr>
    </w:p>
    <w:p>
      <w:pPr>
        <w:ind w:left="1040" w:right="320" w:hanging="581"/>
        <w:spacing w:after="0" w:line="289"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6"/>
          <w:szCs w:val="16"/>
          <w:color w:val="auto"/>
        </w:rPr>
      </w:pPr>
    </w:p>
    <w:p>
      <w:pPr>
        <w:ind w:left="460" w:right="180" w:hanging="445"/>
        <w:spacing w:after="0" w:line="305"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6"/>
          <w:szCs w:val="16"/>
          <w:color w:val="auto"/>
        </w:rPr>
      </w:pPr>
    </w:p>
    <w:p>
      <w:pPr>
        <w:ind w:left="1040" w:right="200" w:hanging="581"/>
        <w:spacing w:after="0" w:line="288"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1" w:lineRule="exact"/>
        <w:rPr>
          <w:rFonts w:ascii="Arial" w:cs="Arial" w:eastAsia="Arial" w:hAnsi="Arial"/>
          <w:sz w:val="16"/>
          <w:szCs w:val="16"/>
          <w:color w:val="auto"/>
        </w:rPr>
      </w:pPr>
    </w:p>
    <w:p>
      <w:pPr>
        <w:ind w:left="1040" w:right="420" w:hanging="581"/>
        <w:spacing w:after="0" w:line="305"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94" w:right="339" w:bottom="1440" w:gutter="0" w:footer="0" w:header="0"/>
        </w:sectPr>
      </w:pPr>
    </w:p>
    <w:bookmarkStart w:id="131" w:name="page132"/>
    <w:bookmarkEnd w:id="131"/>
    <w:p>
      <w:pPr>
        <w:spacing w:after="0" w:line="166" w:lineRule="exact"/>
        <w:rPr>
          <w:sz w:val="20"/>
          <w:szCs w:val="20"/>
          <w:color w:val="auto"/>
        </w:rPr>
      </w:pPr>
    </w:p>
    <w:p>
      <w:pPr>
        <w:spacing w:after="0"/>
        <w:tabs>
          <w:tab w:leader="none" w:pos="5680" w:val="left"/>
          <w:tab w:leader="none" w:pos="6200" w:val="left"/>
        </w:tabs>
        <w:rPr>
          <w:sz w:val="20"/>
          <w:szCs w:val="20"/>
          <w:color w:val="auto"/>
        </w:rPr>
      </w:pPr>
      <w:r>
        <w:rPr>
          <w:rFonts w:ascii="Arial" w:cs="Arial" w:eastAsia="Arial" w:hAnsi="Arial"/>
          <w:sz w:val="16"/>
          <w:szCs w:val="16"/>
          <w:color w:val="auto"/>
        </w:rPr>
        <w:t>Date: November 14,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40005</wp:posOffset>
            </wp:positionV>
            <wp:extent cx="319278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3192780" cy="7620"/>
                    </a:xfrm>
                    <a:prstGeom prst="rect">
                      <a:avLst/>
                    </a:prstGeom>
                    <a:noFill/>
                  </pic:spPr>
                </pic:pic>
              </a:graphicData>
            </a:graphic>
          </wp:anchor>
        </w:drawing>
      </w:r>
    </w:p>
    <w:p>
      <w:pPr>
        <w:spacing w:after="0" w:line="67"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Chief Financial Officer</w:t>
      </w:r>
    </w:p>
    <w:p>
      <w:pPr>
        <w:spacing w:after="0" w:line="75" w:lineRule="exact"/>
        <w:rPr>
          <w:sz w:val="20"/>
          <w:szCs w:val="20"/>
          <w:color w:val="auto"/>
        </w:rPr>
      </w:pPr>
    </w:p>
    <w:p>
      <w:pPr>
        <w:ind w:left="6220"/>
        <w:spacing w:after="0"/>
        <w:rPr>
          <w:sz w:val="20"/>
          <w:szCs w:val="20"/>
          <w:color w:val="auto"/>
        </w:rPr>
      </w:pPr>
      <w:r>
        <w:rPr>
          <w:rFonts w:ascii="Arial" w:cs="Arial" w:eastAsia="Arial" w:hAnsi="Arial"/>
          <w:sz w:val="15"/>
          <w:szCs w:val="15"/>
          <w:color w:val="auto"/>
        </w:rPr>
        <w:t>(Principal Financial Officer)</w:t>
      </w:r>
    </w:p>
    <w:p>
      <w:pPr>
        <w:sectPr>
          <w:pgSz w:w="11900" w:h="16838" w:orient="portrait"/>
          <w:cols w:equalWidth="0" w:num="1">
            <w:col w:w="10119"/>
          </w:cols>
          <w:pgMar w:left="340" w:top="1440" w:right="1440" w:bottom="1440"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32.1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ind w:left="3540"/>
        <w:spacing w:after="0" w:line="217" w:lineRule="auto"/>
        <w:rPr>
          <w:sz w:val="20"/>
          <w:szCs w:val="20"/>
          <w:color w:val="auto"/>
        </w:rPr>
      </w:pPr>
      <w:r>
        <w:rPr>
          <w:rFonts w:ascii="Arial" w:cs="Arial" w:eastAsia="Arial" w:hAnsi="Arial"/>
          <w:sz w:val="16"/>
          <w:szCs w:val="16"/>
          <w:b w:val="1"/>
          <w:bCs w:val="1"/>
          <w:color w:val="auto"/>
        </w:rPr>
        <w:t>18 U.S.C. SECTION 1350, AS ADOPTED PURSUANT TO</w:t>
      </w:r>
    </w:p>
    <w:p>
      <w:pPr>
        <w:ind w:left="350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the Quarterly Report of OPAL Fuels Inc. (the “</w:t>
      </w:r>
      <w:r>
        <w:rPr>
          <w:rFonts w:ascii="Arial" w:cs="Arial" w:eastAsia="Arial" w:hAnsi="Arial"/>
          <w:sz w:val="15"/>
          <w:szCs w:val="15"/>
          <w:u w:val="single" w:color="auto"/>
          <w:color w:val="auto"/>
        </w:rPr>
        <w:t>Company</w:t>
      </w:r>
      <w:r>
        <w:rPr>
          <w:rFonts w:ascii="Arial" w:cs="Arial" w:eastAsia="Arial" w:hAnsi="Arial"/>
          <w:sz w:val="15"/>
          <w:szCs w:val="15"/>
          <w:color w:val="auto"/>
        </w:rPr>
        <w:t>”) on Form 10-Q for the three months ended September 30, 2023, as filed with the Securities</w:t>
      </w:r>
    </w:p>
    <w:p>
      <w:pPr>
        <w:spacing w:after="0" w:line="14"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 xml:space="preserve">and Exchange Commission on the date hereof (the “Report”), I, Adam Comora, Co-Chief Executive Officer of the Company, certify, pursuant to 18 U.S.C. Section 1350, </w:t>
      </w:r>
      <w:r>
        <w:rPr>
          <w:rFonts w:ascii="Arial" w:cs="Arial" w:eastAsia="Arial" w:hAnsi="Arial"/>
          <w:sz w:val="16"/>
          <w:szCs w:val="16"/>
          <w:color w:val="auto"/>
          <w:highlight w:val="white"/>
        </w:rPr>
        <w:t>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5875" cy="70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15875" cy="70485"/>
                    </a:xfrm>
                    <a:prstGeom prst="rect">
                      <a:avLst/>
                    </a:prstGeom>
                    <a:noFill/>
                  </pic:spPr>
                </pic:pic>
              </a:graphicData>
            </a:graphic>
          </wp:anchor>
        </w:drawing>
      </w:r>
    </w:p>
    <w:p>
      <w:pPr>
        <w:spacing w:after="0" w:line="92" w:lineRule="exact"/>
        <w:rPr>
          <w:sz w:val="20"/>
          <w:szCs w:val="20"/>
          <w:color w:val="auto"/>
        </w:rPr>
      </w:pPr>
    </w:p>
    <w:p>
      <w:pPr>
        <w:ind w:left="460" w:hanging="445"/>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84" w:lineRule="exact"/>
        <w:rPr>
          <w:rFonts w:ascii="Arial" w:cs="Arial" w:eastAsia="Arial" w:hAnsi="Arial"/>
          <w:sz w:val="16"/>
          <w:szCs w:val="16"/>
          <w:color w:val="auto"/>
        </w:rPr>
      </w:pPr>
    </w:p>
    <w:p>
      <w:pPr>
        <w:ind w:left="460" w:hanging="445"/>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14, 2023</w:t>
      </w:r>
    </w:p>
    <w:p>
      <w:pPr>
        <w:spacing w:after="0" w:line="7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40005</wp:posOffset>
            </wp:positionV>
            <wp:extent cx="323977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3239770" cy="7620"/>
                    </a:xfrm>
                    <a:prstGeom prst="rect">
                      <a:avLst/>
                    </a:prstGeom>
                    <a:noFill/>
                  </pic:spPr>
                </pic:pic>
              </a:graphicData>
            </a:graphic>
          </wp:anchor>
        </w:drawing>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Name: Adam Comora</w:t>
      </w:r>
    </w:p>
    <w:p>
      <w:pPr>
        <w:spacing w:after="0" w:line="7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Co-Chief Executive Officer</w:t>
      </w:r>
    </w:p>
    <w:p>
      <w:pPr>
        <w:spacing w:after="0" w:line="7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(Co-Principal Executive Officer)</w:t>
      </w:r>
    </w:p>
    <w:p>
      <w:pPr>
        <w:sectPr>
          <w:pgSz w:w="11900" w:h="16838" w:orient="portrait"/>
          <w:cols w:equalWidth="0" w:num="1">
            <w:col w:w="11240"/>
          </w:cols>
          <w:pgMar w:left="320" w:top="1294" w:right="339" w:bottom="1440" w:gutter="0" w:footer="0" w:header="0"/>
        </w:sectPr>
      </w:pPr>
    </w:p>
    <w:bookmarkStart w:id="134" w:name="page135"/>
    <w:bookmarkEnd w:id="1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spacing w:after="0" w:line="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32.2</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ind w:left="3540"/>
        <w:spacing w:after="0" w:line="217" w:lineRule="auto"/>
        <w:rPr>
          <w:sz w:val="20"/>
          <w:szCs w:val="20"/>
          <w:color w:val="auto"/>
        </w:rPr>
      </w:pPr>
      <w:r>
        <w:rPr>
          <w:rFonts w:ascii="Arial" w:cs="Arial" w:eastAsia="Arial" w:hAnsi="Arial"/>
          <w:sz w:val="16"/>
          <w:szCs w:val="16"/>
          <w:b w:val="1"/>
          <w:bCs w:val="1"/>
          <w:color w:val="auto"/>
        </w:rPr>
        <w:t>18 U.S.C. SECTION 1350, AS ADOPTED PURSUANT TO</w:t>
      </w:r>
    </w:p>
    <w:p>
      <w:pPr>
        <w:ind w:left="350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the Quarterly Report of OPAL Fuels Inc. (the “</w:t>
      </w:r>
      <w:r>
        <w:rPr>
          <w:rFonts w:ascii="Arial" w:cs="Arial" w:eastAsia="Arial" w:hAnsi="Arial"/>
          <w:sz w:val="15"/>
          <w:szCs w:val="15"/>
          <w:u w:val="single" w:color="auto"/>
          <w:color w:val="auto"/>
        </w:rPr>
        <w:t>Company</w:t>
      </w:r>
      <w:r>
        <w:rPr>
          <w:rFonts w:ascii="Arial" w:cs="Arial" w:eastAsia="Arial" w:hAnsi="Arial"/>
          <w:sz w:val="15"/>
          <w:szCs w:val="15"/>
          <w:color w:val="auto"/>
        </w:rPr>
        <w:t>”) on Form 10-Q for the three months ended September 30, 2023, as filed with the Securities</w:t>
      </w:r>
    </w:p>
    <w:p>
      <w:pPr>
        <w:spacing w:after="0" w:line="227" w:lineRule="auto"/>
        <w:rPr>
          <w:sz w:val="20"/>
          <w:szCs w:val="20"/>
          <w:color w:val="auto"/>
        </w:rPr>
      </w:pPr>
      <w:r>
        <w:rPr>
          <w:rFonts w:ascii="Arial" w:cs="Arial" w:eastAsia="Arial" w:hAnsi="Arial"/>
          <w:sz w:val="16"/>
          <w:szCs w:val="16"/>
          <w:color w:val="auto"/>
        </w:rPr>
        <w:t>and Exchange Commission on the date hereof (the “Report”), I, Jonathan Maurer, Co-Chief Executive Officer of the Company, certify, pursuant to 18 U.S.C.</w:t>
      </w:r>
    </w:p>
    <w:p>
      <w:pPr>
        <w:spacing w:after="0"/>
        <w:rPr>
          <w:sz w:val="20"/>
          <w:szCs w:val="20"/>
          <w:color w:val="auto"/>
        </w:rPr>
      </w:pPr>
      <w:r>
        <w:rPr>
          <w:rFonts w:ascii="Arial" w:cs="Arial" w:eastAsia="Arial" w:hAnsi="Arial"/>
          <w:sz w:val="16"/>
          <w:szCs w:val="16"/>
          <w:color w:val="auto"/>
          <w:highlight w:val="white"/>
        </w:rPr>
        <w:t>Section 1350, 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5875" cy="704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15875" cy="70485"/>
                    </a:xfrm>
                    <a:prstGeom prst="rect">
                      <a:avLst/>
                    </a:prstGeom>
                    <a:noFill/>
                  </pic:spPr>
                </pic:pic>
              </a:graphicData>
            </a:graphic>
          </wp:anchor>
        </w:drawing>
      </w:r>
    </w:p>
    <w:p>
      <w:pPr>
        <w:spacing w:after="0" w:line="102" w:lineRule="exact"/>
        <w:rPr>
          <w:sz w:val="20"/>
          <w:szCs w:val="20"/>
          <w:color w:val="auto"/>
        </w:rPr>
      </w:pPr>
    </w:p>
    <w:p>
      <w:pPr>
        <w:ind w:left="460" w:hanging="445"/>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84" w:lineRule="exact"/>
        <w:rPr>
          <w:rFonts w:ascii="Arial" w:cs="Arial" w:eastAsia="Arial" w:hAnsi="Arial"/>
          <w:sz w:val="16"/>
          <w:szCs w:val="16"/>
          <w:color w:val="auto"/>
        </w:rPr>
      </w:pPr>
    </w:p>
    <w:p>
      <w:pPr>
        <w:ind w:left="460" w:hanging="445"/>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14, 2023</w:t>
      </w:r>
    </w:p>
    <w:p>
      <w:pPr>
        <w:spacing w:after="0" w:line="7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40005</wp:posOffset>
            </wp:positionV>
            <wp:extent cx="323977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3239770" cy="7620"/>
                    </a:xfrm>
                    <a:prstGeom prst="rect">
                      <a:avLst/>
                    </a:prstGeom>
                    <a:noFill/>
                  </pic:spPr>
                </pic:pic>
              </a:graphicData>
            </a:graphic>
          </wp:anchor>
        </w:drawing>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Name: Jonathan Maurer</w:t>
      </w:r>
    </w:p>
    <w:p>
      <w:pPr>
        <w:spacing w:after="0" w:line="7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Co-Chief Executive Officer</w:t>
      </w:r>
    </w:p>
    <w:p>
      <w:pPr>
        <w:spacing w:after="0" w:line="7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(Co-Principal Executive Officer)</w:t>
      </w:r>
    </w:p>
    <w:p>
      <w:pPr>
        <w:sectPr>
          <w:pgSz w:w="11900" w:h="16838" w:orient="portrait"/>
          <w:cols w:equalWidth="0" w:num="1">
            <w:col w:w="11240"/>
          </w:cols>
          <w:pgMar w:left="320" w:top="1440" w:right="339" w:bottom="1440" w:gutter="0" w:footer="0" w:header="0"/>
        </w:sectPr>
      </w:pPr>
    </w:p>
    <w:bookmarkStart w:id="136" w:name="page137"/>
    <w:bookmarkEnd w:id="1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32.3</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ind w:left="3540"/>
        <w:spacing w:after="0" w:line="217" w:lineRule="auto"/>
        <w:rPr>
          <w:sz w:val="20"/>
          <w:szCs w:val="20"/>
          <w:color w:val="auto"/>
        </w:rPr>
      </w:pPr>
      <w:r>
        <w:rPr>
          <w:rFonts w:ascii="Arial" w:cs="Arial" w:eastAsia="Arial" w:hAnsi="Arial"/>
          <w:sz w:val="16"/>
          <w:szCs w:val="16"/>
          <w:b w:val="1"/>
          <w:bCs w:val="1"/>
          <w:color w:val="auto"/>
        </w:rPr>
        <w:t>18 U.S.C. SECTION 1350, AS ADOPTED PURSUANT TO</w:t>
      </w:r>
    </w:p>
    <w:p>
      <w:pPr>
        <w:ind w:left="350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the Quarterly Report of OPAL Fuels Inc. (the “</w:t>
      </w:r>
      <w:r>
        <w:rPr>
          <w:rFonts w:ascii="Arial" w:cs="Arial" w:eastAsia="Arial" w:hAnsi="Arial"/>
          <w:sz w:val="15"/>
          <w:szCs w:val="15"/>
          <w:u w:val="single" w:color="auto"/>
          <w:color w:val="auto"/>
        </w:rPr>
        <w:t>Company</w:t>
      </w:r>
      <w:r>
        <w:rPr>
          <w:rFonts w:ascii="Arial" w:cs="Arial" w:eastAsia="Arial" w:hAnsi="Arial"/>
          <w:sz w:val="15"/>
          <w:szCs w:val="15"/>
          <w:color w:val="auto"/>
        </w:rPr>
        <w:t>”) on Form 10-Q for the three months ended September 30, 2023, as filed with the Securities</w:t>
      </w:r>
    </w:p>
    <w:p>
      <w:pPr>
        <w:spacing w:after="0" w:line="14"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 xml:space="preserve">and Exchange Commission on the date hereof (the “Report”), I, Ann Anthony, Chief Financial Officer of the Company, certify, pursuant to 18 U.S.C. Section 1350, as </w:t>
      </w:r>
      <w:r>
        <w:rPr>
          <w:rFonts w:ascii="Arial" w:cs="Arial" w:eastAsia="Arial" w:hAnsi="Arial"/>
          <w:sz w:val="16"/>
          <w:szCs w:val="16"/>
          <w:color w:val="auto"/>
          <w:highlight w:val="white"/>
        </w:rPr>
        <w:t>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5875" cy="704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15875" cy="70485"/>
                    </a:xfrm>
                    <a:prstGeom prst="rect">
                      <a:avLst/>
                    </a:prstGeom>
                    <a:noFill/>
                  </pic:spPr>
                </pic:pic>
              </a:graphicData>
            </a:graphic>
          </wp:anchor>
        </w:drawing>
      </w:r>
    </w:p>
    <w:p>
      <w:pPr>
        <w:spacing w:after="0" w:line="92" w:lineRule="exact"/>
        <w:rPr>
          <w:sz w:val="20"/>
          <w:szCs w:val="20"/>
          <w:color w:val="auto"/>
        </w:rPr>
      </w:pPr>
    </w:p>
    <w:p>
      <w:pPr>
        <w:ind w:left="460" w:hanging="445"/>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84" w:lineRule="exact"/>
        <w:rPr>
          <w:rFonts w:ascii="Arial" w:cs="Arial" w:eastAsia="Arial" w:hAnsi="Arial"/>
          <w:sz w:val="16"/>
          <w:szCs w:val="16"/>
          <w:color w:val="auto"/>
        </w:rPr>
      </w:pPr>
    </w:p>
    <w:p>
      <w:pPr>
        <w:ind w:left="460" w:hanging="445"/>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14, 2023</w:t>
      </w:r>
    </w:p>
    <w:p>
      <w:pPr>
        <w:spacing w:after="0" w:line="7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40005</wp:posOffset>
            </wp:positionV>
            <wp:extent cx="323977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3239770" cy="7620"/>
                    </a:xfrm>
                    <a:prstGeom prst="rect">
                      <a:avLst/>
                    </a:prstGeom>
                    <a:noFill/>
                  </pic:spPr>
                </pic:pic>
              </a:graphicData>
            </a:graphic>
          </wp:anchor>
        </w:drawing>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Name: Ann Anthony</w:t>
      </w:r>
    </w:p>
    <w:p>
      <w:pPr>
        <w:spacing w:after="0" w:line="7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Chief Financial Officer</w:t>
      </w:r>
    </w:p>
    <w:p>
      <w:pPr>
        <w:spacing w:after="0" w:line="7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lvl w:ilvl="1">
      <w:lvlJc w:val="left"/>
      <w:lvlText w:val="(%2)"/>
      <w:numFmt w:val="decimal"/>
      <w:start w:val="2"/>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2"/>
    </w:lvl>
  </w:abstractNum>
  <w:abstractNum w:abstractNumId="9">
    <w:nsid w:val="7C3DBD3D"/>
    <w:multiLevelType w:val="hybridMultilevel"/>
    <w:lvl w:ilvl="0">
      <w:lvlJc w:val="left"/>
      <w:lvlText w:val="%1"/>
      <w:numFmt w:val="decimal"/>
      <w:start w:val="1"/>
    </w:lvl>
    <w:lvl w:ilvl="1">
      <w:lvlJc w:val="left"/>
      <w:lvlText w:val="(%2)"/>
      <w:numFmt w:val="decimal"/>
      <w:start w:val="1"/>
    </w:lvl>
  </w:abstractNum>
  <w:abstractNum w:abstractNumId="10">
    <w:nsid w:val="737B8DDC"/>
    <w:multiLevelType w:val="hybridMultilevel"/>
    <w:lvl w:ilvl="0">
      <w:lvlJc w:val="left"/>
      <w:lvlText w:val="%1."/>
      <w:numFmt w:val="decimal"/>
      <w:start w:val="4"/>
    </w:lvl>
    <w:lvl w:ilvl="1">
      <w:lvlJc w:val="left"/>
      <w:lvlText w:val="%2"/>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endash "/>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lvl w:ilvl="1">
      <w:lvlJc w:val="left"/>
      <w:lvlText w:val="◦"/>
      <w:numFmt w:val="bullet"/>
      <w:start w:val="1"/>
    </w:lvl>
  </w:abstractNum>
  <w:abstractNum w:abstractNumId="19">
    <w:nsid w:val="5072367"/>
    <w:multiLevelType w:val="hybridMultilevel"/>
    <w:lvl w:ilvl="0">
      <w:lvlJc w:val="left"/>
      <w:lvlText w:val="•"/>
      <w:numFmt w:val="bullet"/>
      <w:start w:val="1"/>
    </w:lvl>
    <w:lvl w:ilvl="1">
      <w:lvlJc w:val="left"/>
      <w:lvlText w:val="◦"/>
      <w:numFmt w:val="bullet"/>
      <w:start w:val="1"/>
    </w:lvl>
  </w:abstractNum>
  <w:abstractNum w:abstractNumId="20">
    <w:nsid w:val="3804823E"/>
    <w:multiLevelType w:val="hybridMultilevel"/>
    <w:lvl w:ilvl="0">
      <w:lvlJc w:val="left"/>
      <w:lvlText w:val="•"/>
      <w:numFmt w:val="bullet"/>
      <w:start w:val="1"/>
    </w:lvl>
    <w:lvl w:ilvl="1">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lvl w:ilvl="1">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6"/>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lowerRoman"/>
      <w:start w:val="1"/>
    </w:lvl>
  </w:abstractNum>
  <w:abstractNum w:abstractNumId="39">
    <w:nsid w:val="4B588F54"/>
    <w:multiLevelType w:val="hybridMultilevel"/>
    <w:lvl w:ilvl="0">
      <w:lvlJc w:val="left"/>
      <w:lvlText w:val="(%1)"/>
      <w:numFmt w:val="lowerRoman"/>
      <w:start w:val="3"/>
    </w:lvl>
  </w:abstractNum>
  <w:abstractNum w:abstractNumId="40">
    <w:nsid w:val="542289EC"/>
    <w:multiLevelType w:val="hybridMultilevel"/>
    <w:lvl w:ilvl="0">
      <w:lvlJc w:val="left"/>
      <w:lvlText w:val="(%1)"/>
      <w:numFmt w:val="lowerRoman"/>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lowerRoman"/>
      <w:start w:val="3"/>
    </w:lvl>
  </w:abstractNum>
  <w:abstractNum w:abstractNumId="43">
    <w:nsid w:val="7644A45C"/>
    <w:multiLevelType w:val="hybridMultilevel"/>
    <w:lvl w:ilvl="0">
      <w:lvlJc w:val="left"/>
      <w:lvlText w:val="(%1)"/>
      <w:numFmt w:val="lowerRoman"/>
      <w:start w:val="3"/>
    </w:lvl>
  </w:abstractNum>
  <w:abstractNum w:abstractNumId="44">
    <w:nsid w:val="32FFF902"/>
    <w:multiLevelType w:val="hybridMultilevel"/>
    <w:lvl w:ilvl="0">
      <w:lvlJc w:val="left"/>
      <w:lvlText w:val="(%1)"/>
      <w:numFmt w:val="lowerRoman"/>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2" Type="http://schemas.openxmlformats.org/officeDocument/2006/relationships/image" Target="media/image83.png"/><Relationship Id="rId95" Type="http://schemas.openxmlformats.org/officeDocument/2006/relationships/image" Target="media/image84.png"/><Relationship Id="rId98" Type="http://schemas.openxmlformats.org/officeDocument/2006/relationships/image" Target="media/image85.png"/><Relationship Id="rId101" Type="http://schemas.openxmlformats.org/officeDocument/2006/relationships/image" Target="media/image86.png"/><Relationship Id="rId104" Type="http://schemas.openxmlformats.org/officeDocument/2006/relationships/image" Target="media/image87.png"/><Relationship Id="rId107"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jpeg"/><Relationship Id="rId123" Type="http://schemas.openxmlformats.org/officeDocument/2006/relationships/image" Target="media/image103.jpeg"/><Relationship Id="rId124" Type="http://schemas.openxmlformats.org/officeDocument/2006/relationships/image" Target="media/image104.jpeg"/><Relationship Id="rId125" Type="http://schemas.openxmlformats.org/officeDocument/2006/relationships/image" Target="media/image105.jpeg"/><Relationship Id="rId126" Type="http://schemas.openxmlformats.org/officeDocument/2006/relationships/image" Target="media/image106.jpeg"/><Relationship Id="rId127" Type="http://schemas.openxmlformats.org/officeDocument/2006/relationships/image" Target="media/image107.jpeg"/><Relationship Id="rId128" Type="http://schemas.openxmlformats.org/officeDocument/2006/relationships/image" Target="media/image108.jpeg"/><Relationship Id="rId129" Type="http://schemas.openxmlformats.org/officeDocument/2006/relationships/image" Target="media/image109.jpeg"/><Relationship Id="rId130" Type="http://schemas.openxmlformats.org/officeDocument/2006/relationships/image" Target="media/image110.jpeg"/><Relationship Id="rId131" Type="http://schemas.openxmlformats.org/officeDocument/2006/relationships/image" Target="media/image111.jpeg"/><Relationship Id="rId132" Type="http://schemas.openxmlformats.org/officeDocument/2006/relationships/image" Target="media/image112.jpeg"/><Relationship Id="rId133" Type="http://schemas.openxmlformats.org/officeDocument/2006/relationships/image" Target="media/image113.jpeg"/><Relationship Id="rId134" Type="http://schemas.openxmlformats.org/officeDocument/2006/relationships/image" Target="media/image114.jpeg"/><Relationship Id="rId135" Type="http://schemas.openxmlformats.org/officeDocument/2006/relationships/image" Target="media/image115.jpeg"/><Relationship Id="rId136" Type="http://schemas.openxmlformats.org/officeDocument/2006/relationships/image" Target="media/image116.jpeg"/><Relationship Id="rId137" Type="http://schemas.openxmlformats.org/officeDocument/2006/relationships/image" Target="media/image117.png"/><Relationship Id="rId138" Type="http://schemas.openxmlformats.org/officeDocument/2006/relationships/image" Target="media/image118.jpeg"/><Relationship Id="rId139" Type="http://schemas.openxmlformats.org/officeDocument/2006/relationships/image" Target="media/image119.jpeg"/><Relationship Id="rId140" Type="http://schemas.openxmlformats.org/officeDocument/2006/relationships/image" Target="media/image120.jpeg"/><Relationship Id="rId141" Type="http://schemas.openxmlformats.org/officeDocument/2006/relationships/image" Target="media/image121.jpeg"/><Relationship Id="rId142" Type="http://schemas.openxmlformats.org/officeDocument/2006/relationships/image" Target="media/image122.jpeg"/><Relationship Id="rId143" Type="http://schemas.openxmlformats.org/officeDocument/2006/relationships/image" Target="media/image123.jpeg"/><Relationship Id="rId144" Type="http://schemas.openxmlformats.org/officeDocument/2006/relationships/image" Target="media/image124.jpeg"/><Relationship Id="rId145" Type="http://schemas.openxmlformats.org/officeDocument/2006/relationships/image" Target="media/image125.jpe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jpeg"/><Relationship Id="rId153" Type="http://schemas.openxmlformats.org/officeDocument/2006/relationships/image" Target="media/image133.png"/><Relationship Id="rId154" Type="http://schemas.openxmlformats.org/officeDocument/2006/relationships/image" Target="media/image134.jpe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jpeg"/><Relationship Id="rId158" Type="http://schemas.openxmlformats.org/officeDocument/2006/relationships/image" Target="media/image138.jpeg"/><Relationship Id="rId159" Type="http://schemas.openxmlformats.org/officeDocument/2006/relationships/image" Target="media/image139.jpeg"/><Relationship Id="rId160" Type="http://schemas.openxmlformats.org/officeDocument/2006/relationships/image" Target="media/image140.jpeg"/><Relationship Id="rId161" Type="http://schemas.openxmlformats.org/officeDocument/2006/relationships/image" Target="media/image141.jpeg"/><Relationship Id="rId162" Type="http://schemas.openxmlformats.org/officeDocument/2006/relationships/image" Target="media/image142.jpeg"/><Relationship Id="rId163" Type="http://schemas.openxmlformats.org/officeDocument/2006/relationships/image" Target="media/image143.jpeg"/><Relationship Id="rId164" Type="http://schemas.openxmlformats.org/officeDocument/2006/relationships/image" Target="media/image144.jpeg"/><Relationship Id="rId165" Type="http://schemas.openxmlformats.org/officeDocument/2006/relationships/image" Target="media/image145.jpeg"/><Relationship Id="rId166" Type="http://schemas.openxmlformats.org/officeDocument/2006/relationships/image" Target="media/image146.jpeg"/><Relationship Id="rId167" Type="http://schemas.openxmlformats.org/officeDocument/2006/relationships/image" Target="media/image147.jpeg"/><Relationship Id="rId168" Type="http://schemas.openxmlformats.org/officeDocument/2006/relationships/image" Target="media/image148.jpeg"/><Relationship Id="rId169" Type="http://schemas.openxmlformats.org/officeDocument/2006/relationships/image" Target="media/image149.jpeg"/><Relationship Id="rId170" Type="http://schemas.openxmlformats.org/officeDocument/2006/relationships/image" Target="media/image150.jpeg"/><Relationship Id="rId171" Type="http://schemas.openxmlformats.org/officeDocument/2006/relationships/image" Target="media/image151.jpeg"/><Relationship Id="rId172" Type="http://schemas.openxmlformats.org/officeDocument/2006/relationships/image" Target="media/image152.png"/><Relationship Id="rId173" Type="http://schemas.openxmlformats.org/officeDocument/2006/relationships/image" Target="media/image153.jpeg"/><Relationship Id="rId174" Type="http://schemas.openxmlformats.org/officeDocument/2006/relationships/image" Target="media/image154.jpeg"/><Relationship Id="rId175" Type="http://schemas.openxmlformats.org/officeDocument/2006/relationships/image" Target="media/image155.jpeg"/><Relationship Id="rId176" Type="http://schemas.openxmlformats.org/officeDocument/2006/relationships/image" Target="media/image156.jpeg"/><Relationship Id="rId177" Type="http://schemas.openxmlformats.org/officeDocument/2006/relationships/image" Target="media/image157.jpeg"/><Relationship Id="rId178" Type="http://schemas.openxmlformats.org/officeDocument/2006/relationships/image" Target="media/image158.jpeg"/><Relationship Id="rId179" Type="http://schemas.openxmlformats.org/officeDocument/2006/relationships/image" Target="media/image159.jpeg"/><Relationship Id="rId180" Type="http://schemas.openxmlformats.org/officeDocument/2006/relationships/image" Target="media/image160.jpe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jpeg"/><Relationship Id="rId188" Type="http://schemas.openxmlformats.org/officeDocument/2006/relationships/image" Target="media/image168.png"/><Relationship Id="rId189" Type="http://schemas.openxmlformats.org/officeDocument/2006/relationships/image" Target="media/image169.jpe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90" Type="http://schemas.openxmlformats.org/officeDocument/2006/relationships/hyperlink" Target="https://www.sec.gov/Archives/edgar/data/1842279/000121390022046338/ea164030ex3-1_opal.htm" TargetMode="External"/><Relationship Id="rId91" Type="http://schemas.openxmlformats.org/officeDocument/2006/relationships/hyperlink" Target="https://www.sec.gov/Archives/edgar/data/1842279/000121390022042020/ea163248ex3-2_opal.htm" TargetMode="External"/><Relationship Id="rId93" Type="http://schemas.openxmlformats.org/officeDocument/2006/relationships/hyperlink" Target="https://www.sec.gov/Archives/edgar/data/1842279/000184227923000072/opal-bfifallriverthirdamdg.htm" TargetMode="External"/><Relationship Id="rId94" Type="http://schemas.openxmlformats.org/officeDocument/2006/relationships/hyperlink" Target="https://www.sec.gov/Archives/edgar/data/1842279/000184227923000075/opal-8xkex101kirbygspa4871.htm" TargetMode="External"/><Relationship Id="rId96" Type="http://schemas.openxmlformats.org/officeDocument/2006/relationships/hyperlink" Target="https://www.sec.gov/Archives/edgar/data/1842279/000184227923000075/opal-8xkex102kirbylease487.htm" TargetMode="External"/><Relationship Id="rId97" Type="http://schemas.openxmlformats.org/officeDocument/2006/relationships/hyperlink" Target="https://www.sec.gov/Archives/edgar/data/1842279/000184227923000075/opal-8xkex103guadalupegspa.htm" TargetMode="External"/><Relationship Id="rId99" Type="http://schemas.openxmlformats.org/officeDocument/2006/relationships/hyperlink" Target="https://www.sec.gov/Archives/edgar/data/1842279/000184227923000075/opal-8xkex104guadalupeleas.htm" TargetMode="External"/><Relationship Id="rId100" Type="http://schemas.openxmlformats.org/officeDocument/2006/relationships/hyperlink" Target="https://www.sec.gov/Archives/edgar/data/1842279/000184227923000077/opal-8xkcreditagreementex1.htm" TargetMode="External"/><Relationship Id="rId102" Type="http://schemas.openxmlformats.org/officeDocument/2006/relationships/hyperlink" Target="https://www.sec.gov/Archives/edgar/data/1842279/000184227923000077/opal-8xkpledgeagreementex1.htm" TargetMode="External"/><Relationship Id="rId103" Type="http://schemas.openxmlformats.org/officeDocument/2006/relationships/hyperlink" Target="https://www.sec.gov/Archives/edgar/data/1842279/000184227923000077/opal-8xksecurityagreemente.htm" TargetMode="External"/><Relationship Id="rId105" Type="http://schemas.openxmlformats.org/officeDocument/2006/relationships/hyperlink" Target="https://www.sec.gov/Archives/edgar/data/1842279/000184227923000077/opal-8xkbankunitedtermloan.htm" TargetMode="External"/><Relationship Id="rId106" Type="http://schemas.openxmlformats.org/officeDocument/2006/relationships/hyperlink" Target="https://www.sec.gov/Archives/edgar/data/1842279/000184227923000077/opal-8xkbankunitedrevolvin.htm" TargetMode="External"/><Relationship Id="rId108" Type="http://schemas.openxmlformats.org/officeDocument/2006/relationships/hyperlink" Target="https://www.sec.gov/Archives/edgar/data/1842279/000184227923000079/sjiopal-land2gasllcxjvll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2023-11-14T17:12:53Z</dcterms:created>
  <dcterms:modified xsi:type="dcterms:W3CDTF">2023-11-14T17:12:53Z</dcterms:modified>
</cp:coreProperties>
</file>