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372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727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Anthony Ann T</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80" w:type="dxa"/>
            <w:vAlign w:val="bottom"/>
            <w:gridSpan w:val="6"/>
          </w:tcPr>
          <w:p>
            <w:pPr>
              <w:ind w:left="6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tcPr>
          <w:p>
            <w:pPr>
              <w:jc w:val="center"/>
              <w:ind w:left="592"/>
              <w:spacing w:after="0"/>
              <w:rPr>
                <w:sz w:val="20"/>
                <w:szCs w:val="20"/>
                <w:color w:val="auto"/>
              </w:rPr>
            </w:pPr>
            <w:r>
              <w:rPr>
                <w:rFonts w:ascii="Arial" w:cs="Arial" w:eastAsia="Arial" w:hAnsi="Arial"/>
                <w:sz w:val="17"/>
                <w:szCs w:val="17"/>
                <w:color w:val="0000FF"/>
                <w:w w:val="91"/>
              </w:rPr>
              <w:t>10/03/2023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w w:val="84"/>
              </w:rPr>
              <w:t>25,000</w:t>
            </w:r>
          </w:p>
        </w:tc>
        <w:tc>
          <w:tcPr>
            <w:tcW w:w="20" w:type="dxa"/>
            <w:vAlign w:val="bottom"/>
          </w:tcPr>
          <w:p>
            <w:pPr>
              <w:spacing w:after="0"/>
              <w:rPr>
                <w:sz w:val="22"/>
                <w:szCs w:val="22"/>
                <w:color w:val="auto"/>
              </w:rPr>
            </w:pPr>
          </w:p>
        </w:tc>
        <w:tc>
          <w:tcPr>
            <w:tcW w:w="5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31,843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592"/>
              <w:spacing w:after="0"/>
              <w:rPr>
                <w:sz w:val="20"/>
                <w:szCs w:val="20"/>
                <w:color w:val="auto"/>
              </w:rPr>
            </w:pPr>
            <w:r>
              <w:rPr>
                <w:rFonts w:ascii="Arial" w:cs="Arial" w:eastAsia="Arial" w:hAnsi="Arial"/>
                <w:sz w:val="17"/>
                <w:szCs w:val="17"/>
                <w:color w:val="0000FF"/>
                <w:w w:val="91"/>
              </w:rPr>
              <w:t>10/03/2023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80"/>
              </w:rPr>
              <w:t>9,012</w:t>
            </w:r>
            <w:r>
              <w:rPr>
                <w:rFonts w:ascii="Arial" w:cs="Arial" w:eastAsia="Arial" w:hAnsi="Arial"/>
                <w:sz w:val="21"/>
                <w:szCs w:val="21"/>
                <w:color w:val="008000"/>
                <w:w w:val="80"/>
                <w:vertAlign w:val="superscript"/>
              </w:rPr>
              <w:t>(2)</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7.9</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22,831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21"/>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00" w:type="dxa"/>
            <w:vAlign w:val="bottom"/>
          </w:tcPr>
          <w:p>
            <w:pPr>
              <w:ind w:left="460"/>
              <w:spacing w:after="0" w:line="143" w:lineRule="exact"/>
              <w:rPr>
                <w:sz w:val="20"/>
                <w:szCs w:val="20"/>
                <w:color w:val="auto"/>
              </w:rPr>
            </w:pPr>
            <w:r>
              <w:rPr>
                <w:rFonts w:ascii="Arial" w:cs="Arial" w:eastAsia="Arial" w:hAnsi="Arial"/>
                <w:sz w:val="13"/>
                <w:szCs w:val="13"/>
                <w:color w:val="0000FF"/>
              </w:rPr>
              <w:t>25,000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gridSpan w:val="2"/>
          </w:tcPr>
          <w:p>
            <w:pPr>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82,498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shares held by the Company to satisfy tax withholding requirements on vesting of restricted units. The total value of securities withheld was based on a price of $7.90 per share, the closing price of the Class A common stock on October 3, 2023.</w:t>
      </w:r>
    </w:p>
    <w:p>
      <w:pPr>
        <w:spacing w:after="0" w:line="24" w:lineRule="exact"/>
        <w:rPr>
          <w:rFonts w:ascii="Arial" w:cs="Arial" w:eastAsia="Arial" w:hAnsi="Arial"/>
          <w:sz w:val="13"/>
          <w:szCs w:val="13"/>
          <w:color w:val="008000"/>
        </w:rPr>
      </w:pPr>
    </w:p>
    <w:p>
      <w:pPr>
        <w:ind w:left="40" w:right="280" w:firstLine="3"/>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25,000 restricted stock units were awarded on October 4, 2022. This award vested in full on October 3, 2023. 82,498 restricted stock units were awarded on March 31, 2023 of which 32,880 restricted stock units are scheduled to vest on each March 31, 2024 and March 31, 2025 and 16,738 restricted stock units are scheduled to vest on March 31, 2026, provided that the Reporting Person remains in continuous service on the vesting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7318"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2023-10-05T15:24:27Z</dcterms:created>
  <dcterms:modified xsi:type="dcterms:W3CDTF">2023-10-05T15:24:27Z</dcterms:modified>
</cp:coreProperties>
</file>