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16, 2022</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4"/>
          <w:szCs w:val="24"/>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245"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45"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disclosed, on November 18, 2022, OPAL Fuels Inc., a Delaware corporation (the “Company”), announced the commencement of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Offer and Consent Solicitation expired at 11:59 p.m., Eastern Time, on December 16, 2022. The Company has been advised that 13,240,756 warrants (including 4,209 warrants tendered through guaranteed delivery), or approximately 85.7% of the outstanding warrants, were validly tendered and not validly withdrawn prior to the expiration of the Offer and Consent Solicitation. The Company expects to accept all validly tendered warrants for exchange and settlement on or before December 21, 2022.</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pursuant to the Consent Solicitation, the Company received the approval of parties representing approximately 96.5% of the outstanding public warrants and approximately 78.5% of the outstanding private placement warrants to enter into the Warrant Amendment, which exceeds the threshold of 65% of each of the outstanding public warrants and outstanding private placement warrants required to effect the Warrant Amendment. Accordingly, the Company and Continental Stock Transfer &amp; Trust Company entered into the Warrant Amendment, dated December 19, 2022, and the Company announced that it will exercise its right, in accordance with the terms of the Warrant Amendment, to exchange each warrant that is outstanding upon the closing of the Offer for 0.225 shares of Class A common stock per warrant (the “Post-Offer Exchange”). The Company has fixed the date for the Post-Offer Exchange as December 23, 2022.</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Warrant Amendment is qualified in its entirety by reference to the Warrant Amendment, which is filed as Exhibit 10.1 to this Current Report on Form 8-K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of this Current Report on Form 8-K is incorporated by reference into this Item 3.03.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of this Current Report on Form 8-K is incorporated by reference into this Item 5.07.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19, 2022, the Company issued a press release announcing the final results of the Offer and Consent Solicitation and the Company’s entry into the Warrant Amendment. A copy of the press release is attached as Exhibit 99.1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 Offer and Consent Solicitation were made only through, and pursuant to the terms and conditions set forth in, the Company’s Schedule TO, prospectus/offer to exchange, and related letter of transmittal, and the complete terms and conditions of the Offer and Consent Solicitation are set forth in the Schedule TO, prospectus/offer to exchange, and related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S-4 filed by the Company with the U.S. Securities and Exchange Commission (the “SEC”) registering the Class A common stock issuable in the Offer and the Post-Offer Exchange was declared effective by the SEC on December 15,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Amendment No. 1 to Warrant Agreement, dated December 19, 2022, by and between OPAL Fuels Inc. and</w:t>
            </w:r>
          </w:p>
        </w:tc>
        <w:tc>
          <w:tcPr>
            <w:tcW w:w="340" w:type="dxa"/>
            <w:vAlign w:val="bottom"/>
            <w:gridSpan w:val="2"/>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Continental Stock Transfer &amp; Trust Company</w:t>
            </w:r>
          </w:p>
        </w:tc>
        <w:tc>
          <w:tcPr>
            <w:tcW w:w="5600" w:type="dxa"/>
            <w:vAlign w:val="bottom"/>
            <w:gridSpan w:val="4"/>
          </w:tcPr>
          <w:p>
            <w:pPr>
              <w:spacing w:after="0"/>
              <w:rPr>
                <w:sz w:val="18"/>
                <w:szCs w:val="18"/>
                <w:color w:val="auto"/>
              </w:rPr>
            </w:pP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issued by OPAL Fuels Inc., dated December 19, 2022</w:t>
            </w: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r>
      <w:tr>
        <w:trPr>
          <w:trHeight w:val="30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3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19,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WARRANT AGREEMENT</w:t>
      </w:r>
    </w:p>
    <w:p>
      <w:pPr>
        <w:spacing w:after="0" w:line="20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This amendment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made as of December 19, 2022, by and between OPAL Fuels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Continental Stock Transfer &amp; Trust Company, a New York corporation, as warrant agent (the “</w:t>
      </w:r>
      <w:r>
        <w:rPr>
          <w:rFonts w:ascii="Times New Roman" w:cs="Times New Roman" w:eastAsia="Times New Roman" w:hAnsi="Times New Roman"/>
          <w:sz w:val="22"/>
          <w:szCs w:val="22"/>
          <w:b w:val="1"/>
          <w:bCs w:val="1"/>
          <w:i w:val="1"/>
          <w:iCs w:val="1"/>
          <w:color w:val="auto"/>
        </w:rPr>
        <w:t>Warrant Agent</w:t>
      </w:r>
      <w:r>
        <w:rPr>
          <w:rFonts w:ascii="Times New Roman" w:cs="Times New Roman" w:eastAsia="Times New Roman" w:hAnsi="Times New Roman"/>
          <w:sz w:val="22"/>
          <w:szCs w:val="22"/>
          <w:color w:val="auto"/>
        </w:rPr>
        <w:t>”), and constitutes an amendment to that certain Warrant Agreement, dated as of March 25, 2021 (the “</w:t>
      </w:r>
      <w:r>
        <w:rPr>
          <w:rFonts w:ascii="Times New Roman" w:cs="Times New Roman" w:eastAsia="Times New Roman" w:hAnsi="Times New Roman"/>
          <w:sz w:val="22"/>
          <w:szCs w:val="22"/>
          <w:b w:val="1"/>
          <w:bCs w:val="1"/>
          <w:i w:val="1"/>
          <w:iCs w:val="1"/>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Warrant Agreement</w:t>
      </w:r>
      <w:r>
        <w:rPr>
          <w:rFonts w:ascii="Times New Roman" w:cs="Times New Roman" w:eastAsia="Times New Roman" w:hAnsi="Times New Roman"/>
          <w:sz w:val="22"/>
          <w:szCs w:val="22"/>
          <w:color w:val="auto"/>
        </w:rPr>
        <w:t>”), by and between the Company (as successor ArcLight Clean Transition Corp. II (“</w:t>
      </w:r>
      <w:r>
        <w:rPr>
          <w:rFonts w:ascii="Times New Roman" w:cs="Times New Roman" w:eastAsia="Times New Roman" w:hAnsi="Times New Roman"/>
          <w:sz w:val="22"/>
          <w:szCs w:val="22"/>
          <w:b w:val="1"/>
          <w:bCs w:val="1"/>
          <w:i w:val="1"/>
          <w:iCs w:val="1"/>
          <w:color w:val="auto"/>
        </w:rPr>
        <w:t>ACTC II</w:t>
      </w:r>
      <w:r>
        <w:rPr>
          <w:rFonts w:ascii="Times New Roman" w:cs="Times New Roman" w:eastAsia="Times New Roman" w:hAnsi="Times New Roman"/>
          <w:sz w:val="22"/>
          <w:szCs w:val="22"/>
          <w:color w:val="auto"/>
        </w:rPr>
        <w:t>”))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Warrant Agent. Capitalized terms used but not otherwise defined in this Amendment shall have the meanings given to such terms in the Existing Warrant Agreement.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on July 21, 2022, ACTC II domesticated as a Delaware corporation and changed its name to “Opal Fuels Inc.” and, on July 21, 2021, completed its business combination with OPAL Fuels LLC (the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WHEREAS, in accordance with Section 4.5 of the Existing Warrant Agreement, upon effectiveness of the Business Combination, the holders of the Warrants thereafter had the right to purchase and receive, upon the basis and upon the terms and conditions specified in the Warrants and in lieu of Ordinary Shares of ACTC II immediately theretofore purchasable and receivable upon the exercise of the rights represented thereby, an Alternative Issuance (as defined in the Existing Warrant Agreement) in shares of Class A common stock, par value $0.0001 per share, of the Company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number of then outstanding Public Warrants and, solely with respect to any amendment to the terms of the Private Placement Warrants, 65% of the number of the then outstanding Private Placement Warrants;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Company desires to amend the Existing Warrant Agreement to provide the Company with the right to require the holders of the Warrants to exchange all of the outstanding Warrants for shares of Class A common stock, on the terms and subject to the conditions set forth herein; and</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in the exchange offer and consent solicitation undertaken by the Company pursuant to the Registration Statement on Form S-4 filed with the U.S. Securities and Exchange Commission, the Registered Holders of more than 65% of each of the then-outstanding Public Warrants and 65% of the then-outstanding Private Placement Warrants consented to and approved this Amendment.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79"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Existing Warrant Agreement</w:t>
      </w:r>
      <w:r>
        <w:rPr>
          <w:rFonts w:ascii="Times New Roman" w:cs="Times New Roman" w:eastAsia="Times New Roman" w:hAnsi="Times New Roman"/>
          <w:sz w:val="22"/>
          <w:szCs w:val="22"/>
          <w:color w:val="auto"/>
        </w:rPr>
        <w:t>. The Existing Warrant Agreement is hereby amended by adding:</w:t>
      </w:r>
    </w:p>
    <w:p>
      <w:pPr>
        <w:spacing w:after="0" w:line="206" w:lineRule="exact"/>
        <w:rPr>
          <w:rFonts w:ascii="Times New Roman" w:cs="Times New Roman" w:eastAsia="Times New Roman" w:hAnsi="Times New Roman"/>
          <w:sz w:val="22"/>
          <w:szCs w:val="22"/>
          <w:color w:val="auto"/>
        </w:rPr>
      </w:pPr>
    </w:p>
    <w:p>
      <w:pPr>
        <w:ind w:left="660" w:right="7880"/>
        <w:spacing w:after="0" w:line="49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the new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thereto: “6A </w:t>
      </w:r>
      <w:r>
        <w:rPr>
          <w:rFonts w:ascii="Times New Roman" w:cs="Times New Roman" w:eastAsia="Times New Roman" w:hAnsi="Times New Roman"/>
          <w:sz w:val="21"/>
          <w:szCs w:val="21"/>
          <w:u w:val="single" w:color="auto"/>
          <w:color w:val="auto"/>
        </w:rPr>
        <w:t>Mandatory Exchange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94" w:right="339" w:bottom="1440" w:gutter="0" w:footer="0" w:header="0"/>
        </w:sectPr>
      </w:pPr>
    </w:p>
    <w:bookmarkStart w:id="6" w:name="page7"/>
    <w:bookmarkEnd w:id="6"/>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6A.1 </w:t>
      </w:r>
      <w:r>
        <w:rPr>
          <w:rFonts w:ascii="Times New Roman" w:cs="Times New Roman" w:eastAsia="Times New Roman" w:hAnsi="Times New Roman"/>
          <w:sz w:val="22"/>
          <w:szCs w:val="22"/>
          <w:u w:val="single" w:color="auto"/>
          <w:color w:val="auto"/>
        </w:rPr>
        <w:t>The Business Combination</w:t>
      </w:r>
      <w:r>
        <w:rPr>
          <w:rFonts w:ascii="Times New Roman" w:cs="Times New Roman" w:eastAsia="Times New Roman" w:hAnsi="Times New Roman"/>
          <w:sz w:val="22"/>
          <w:szCs w:val="22"/>
          <w:color w:val="auto"/>
        </w:rPr>
        <w:t>. On July 21, 2022, the Company domesticated as a Delaware corporation and changed its name to “OPAL Fuels Inc.” and, on July 21, 2022, completed its business combination with OPAL Fuels LLC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Combination</w:t>
      </w:r>
      <w:r>
        <w:rPr>
          <w:rFonts w:ascii="Times New Roman" w:cs="Times New Roman" w:eastAsia="Times New Roman" w:hAnsi="Times New Roman"/>
          <w:sz w:val="22"/>
          <w:szCs w:val="22"/>
          <w:color w:val="auto"/>
        </w:rPr>
        <w:t>”). In accordance with Section 4.5 of this Agreement, upon effectiveness of the Business Combination, the holders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Warrants thereafter had the right to purchase and receive, upon the basis and upon the terms and conditions specified in the Warrants and in lieu of Ordinary Shares of the Company immediately theretofore purchasable and receivable upon the exercise of the rights represented thereby, an Alternative Issuance in shares of Class A common stock, par value $0.0001 per share, of OPAL Fuels Inc.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6A.2 </w:t>
      </w:r>
      <w:r>
        <w:rPr>
          <w:rFonts w:ascii="Times New Roman" w:cs="Times New Roman" w:eastAsia="Times New Roman" w:hAnsi="Times New Roman"/>
          <w:sz w:val="22"/>
          <w:szCs w:val="22"/>
          <w:u w:val="single" w:color="auto"/>
          <w:color w:val="auto"/>
        </w:rPr>
        <w:t>Company Election to Exchange</w:t>
      </w:r>
      <w:r>
        <w:rPr>
          <w:rFonts w:ascii="Times New Roman" w:cs="Times New Roman" w:eastAsia="Times New Roman" w:hAnsi="Times New Roman"/>
          <w:sz w:val="22"/>
          <w:szCs w:val="22"/>
          <w:color w:val="auto"/>
        </w:rPr>
        <w:t>.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then-outstanding Warrants, as described in Section 6A.3 below, for shares of Class A common stock (or any Alternative Issuance pursuant to Section 4.5), at the exchange rate of 0.225 shares of Class A common stock (or any Alternative Issuance pursuant to Section 4.5) for each Warrant held by the holder thereof (the “</w:t>
      </w:r>
      <w:r>
        <w:rPr>
          <w:rFonts w:ascii="Times New Roman" w:cs="Times New Roman" w:eastAsia="Times New Roman" w:hAnsi="Times New Roman"/>
          <w:sz w:val="22"/>
          <w:szCs w:val="22"/>
          <w:b w:val="1"/>
          <w:bCs w:val="1"/>
          <w:i w:val="1"/>
          <w:iCs w:val="1"/>
          <w:color w:val="auto"/>
        </w:rPr>
        <w:t>Consideration</w:t>
      </w:r>
      <w:r>
        <w:rPr>
          <w:rFonts w:ascii="Times New Roman" w:cs="Times New Roman" w:eastAsia="Times New Roman" w:hAnsi="Times New Roman"/>
          <w:sz w:val="22"/>
          <w:szCs w:val="22"/>
          <w:color w:val="auto"/>
        </w:rPr>
        <w:t>”) (subject to equitable adjustment by the Company in the event of any stock splits, stock dividends, recapitalizations, or similar transaction with respect to the shares of Class A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$7.13.</w:t>
      </w:r>
    </w:p>
    <w:p>
      <w:pPr>
        <w:spacing w:after="0" w:line="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6A.3 </w:t>
      </w:r>
      <w:r>
        <w:rPr>
          <w:rFonts w:ascii="Times New Roman" w:cs="Times New Roman" w:eastAsia="Times New Roman" w:hAnsi="Times New Roman"/>
          <w:sz w:val="22"/>
          <w:szCs w:val="22"/>
          <w:u w:val="single" w:color="auto"/>
          <w:color w:val="auto"/>
        </w:rPr>
        <w:t>Date Fixed for, and Notice of, Exchange</w:t>
      </w:r>
      <w:r>
        <w:rPr>
          <w:rFonts w:ascii="Times New Roman" w:cs="Times New Roman" w:eastAsia="Times New Roman" w:hAnsi="Times New Roman"/>
          <w:sz w:val="22"/>
          <w:szCs w:val="22"/>
          <w:color w:val="auto"/>
        </w:rPr>
        <w:t>. In the event that the Company elects to exchange all of the Warrants, the Company shall fix a date for the exchange (the “</w:t>
      </w:r>
      <w:r>
        <w:rPr>
          <w:rFonts w:ascii="Times New Roman" w:cs="Times New Roman" w:eastAsia="Times New Roman" w:hAnsi="Times New Roman"/>
          <w:sz w:val="22"/>
          <w:szCs w:val="22"/>
          <w:b w:val="1"/>
          <w:bCs w:val="1"/>
          <w:i w:val="1"/>
          <w:iCs w:val="1"/>
          <w:color w:val="auto"/>
        </w:rPr>
        <w:t>Exchange Date</w:t>
      </w:r>
      <w:r>
        <w:rPr>
          <w:rFonts w:ascii="Times New Roman" w:cs="Times New Roman" w:eastAsia="Times New Roman" w:hAnsi="Times New Roman"/>
          <w:sz w:val="22"/>
          <w:szCs w:val="22"/>
          <w:color w:val="auto"/>
        </w:rPr>
        <w:t>”). Notice of exchange shall be mailed by first class mail, postage prepaid, by the Company not less than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6A.4 </w:t>
      </w:r>
      <w:r>
        <w:rPr>
          <w:rFonts w:ascii="Times New Roman" w:cs="Times New Roman" w:eastAsia="Times New Roman" w:hAnsi="Times New Roman"/>
          <w:sz w:val="21"/>
          <w:szCs w:val="21"/>
          <w:u w:val="single" w:color="auto"/>
          <w:color w:val="auto"/>
        </w:rPr>
        <w:t>Exercise After Notice of Exchange</w:t>
      </w:r>
      <w:r>
        <w:rPr>
          <w:rFonts w:ascii="Times New Roman" w:cs="Times New Roman" w:eastAsia="Times New Roman" w:hAnsi="Times New Roman"/>
          <w:sz w:val="21"/>
          <w:szCs w:val="21"/>
          <w:color w:val="auto"/>
        </w:rPr>
        <w:t xml:space="preserve">. The Warrants may be exercised, for cash (or on a “cashless basis” in accordance with clause (ii) </w:t>
      </w:r>
      <w:r>
        <w:rPr>
          <w:rFonts w:ascii="Times New Roman" w:cs="Times New Roman" w:eastAsia="Times New Roman" w:hAnsi="Times New Roman"/>
          <w:sz w:val="21"/>
          <w:szCs w:val="21"/>
          <w:u w:val="single" w:color="auto"/>
          <w:color w:val="auto"/>
        </w:rPr>
        <w:t>subsection 3.3.1(c)</w:t>
      </w:r>
      <w:r>
        <w:rPr>
          <w:rFonts w:ascii="Times New Roman" w:cs="Times New Roman" w:eastAsia="Times New Roman" w:hAnsi="Times New Roman"/>
          <w:sz w:val="21"/>
          <w:szCs w:val="21"/>
          <w:color w:val="auto"/>
        </w:rPr>
        <w:t xml:space="preserve"> of this Agreement, with an adjustment to the definition of “Sponsor Fair Market Value” to (A) correct such defined term to “</w:t>
      </w:r>
      <w:r>
        <w:rPr>
          <w:rFonts w:ascii="Times New Roman" w:cs="Times New Roman" w:eastAsia="Times New Roman" w:hAnsi="Times New Roman"/>
          <w:sz w:val="21"/>
          <w:szCs w:val="21"/>
          <w:b w:val="1"/>
          <w:bCs w:val="1"/>
          <w:i w:val="1"/>
          <w:iCs w:val="1"/>
          <w:color w:val="auto"/>
        </w:rPr>
        <w:t>Sponsor Exercise Fair Market Value</w:t>
      </w:r>
      <w:r>
        <w:rPr>
          <w:rFonts w:ascii="Times New Roman" w:cs="Times New Roman" w:eastAsia="Times New Roman" w:hAnsi="Times New Roman"/>
          <w:sz w:val="21"/>
          <w:szCs w:val="21"/>
          <w:color w:val="auto"/>
        </w:rPr>
        <w:t xml:space="preserve">” and (B) to substitute the date on which the notice of exchange is sent for the date on which the notice of exercise is sent) at any time after notice of exchange shall have been given by the Company pursuant to </w:t>
      </w:r>
      <w:r>
        <w:rPr>
          <w:rFonts w:ascii="Times New Roman" w:cs="Times New Roman" w:eastAsia="Times New Roman" w:hAnsi="Times New Roman"/>
          <w:sz w:val="21"/>
          <w:szCs w:val="21"/>
          <w:u w:val="single" w:color="auto"/>
          <w:color w:val="auto"/>
        </w:rPr>
        <w:t>Section 6A.3</w:t>
      </w:r>
      <w:r>
        <w:rPr>
          <w:rFonts w:ascii="Times New Roman" w:cs="Times New Roman" w:eastAsia="Times New Roman" w:hAnsi="Times New Roman"/>
          <w:sz w:val="21"/>
          <w:szCs w:val="21"/>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81"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validity, interpretation, and performance of this Amendment and of the Warrants shall be governed in all respects by the laws of the State of New York,</w:t>
      </w: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SMRH:4893-9113-3508.2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395" w:right="339" w:bottom="1440" w:gutter="0" w:footer="0" w:header="0"/>
        </w:sectPr>
      </w:pPr>
    </w:p>
    <w:bookmarkStart w:id="7" w:name="page8"/>
    <w:bookmarkEnd w:id="7"/>
    <w:p>
      <w:pPr>
        <w:jc w:val="both"/>
        <w:spacing w:after="0" w:line="217" w:lineRule="auto"/>
        <w:rPr>
          <w:sz w:val="20"/>
          <w:szCs w:val="20"/>
          <w:color w:val="auto"/>
        </w:rPr>
      </w:pPr>
      <w:r>
        <w:rPr>
          <w:rFonts w:ascii="Times New Roman" w:cs="Times New Roman" w:eastAsia="Times New Roman" w:hAnsi="Times New Roman"/>
          <w:sz w:val="22"/>
          <w:szCs w:val="22"/>
          <w:color w:val="auto"/>
        </w:rPr>
        <w:t>without giving effect to conflicts of law principles that would result in the application of the substantive laws of another jurisdiction. The Company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are not part of this Amendment and shall not affect the interpretation thereof.</w:t>
      </w:r>
    </w:p>
    <w:p>
      <w:pPr>
        <w:spacing w:after="0" w:line="17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SMRH:4893-9113-3508.2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95" w:right="339" w:bottom="1440" w:gutter="0" w:footer="0" w:header="0"/>
        </w:sectPr>
      </w:pPr>
    </w:p>
    <w:bookmarkStart w:id="8" w:name="page9"/>
    <w:bookmarkEnd w:id="8"/>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each of the parties has caused this Amendment to be duly executed as of the date first above written.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25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Jonathan Maurer</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Name: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-160020</wp:posOffset>
            </wp:positionV>
            <wp:extent cx="3017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 Co-Chief Executive Officer</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CONTINENTAL STOCK TRANSFER &amp; TRUST</w:t>
      </w:r>
    </w:p>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as Warrant Agent</w:t>
      </w:r>
    </w:p>
    <w:p>
      <w:pPr>
        <w:spacing w:after="0" w:line="22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Ana Gois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Name: Ana Gois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-160020</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Warrant Amendment]</w:t>
      </w:r>
    </w:p>
    <w:p>
      <w:pPr>
        <w:sectPr>
          <w:pgSz w:w="11900" w:h="16838" w:orient="portrait"/>
          <w:cols w:equalWidth="0" w:num="1">
            <w:col w:w="11020"/>
          </w:cols>
          <w:pgMar w:left="320" w:top="1395" w:right="5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4592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Inc. Announces Successful Warrant Exchange Offer</w:t>
      </w:r>
    </w:p>
    <w:p>
      <w:pPr>
        <w:spacing w:after="0" w:line="2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WHITE PLAINS, N.Y. – (December 19, 2022) – </w:t>
      </w:r>
      <w:r>
        <w:rPr>
          <w:rFonts w:ascii="Times New Roman" w:cs="Times New Roman" w:eastAsia="Times New Roman" w:hAnsi="Times New Roman"/>
          <w:sz w:val="21"/>
          <w:szCs w:val="21"/>
          <w:u w:val="single" w:color="auto"/>
          <w:color w:val="0000FF"/>
        </w:rPr>
        <w:t>OPAL Fuels Inc.</w:t>
      </w:r>
      <w:r>
        <w:rPr>
          <w:rFonts w:ascii="Times New Roman" w:cs="Times New Roman" w:eastAsia="Times New Roman" w:hAnsi="Times New Roman"/>
          <w:sz w:val="21"/>
          <w:szCs w:val="21"/>
          <w:color w:val="auto"/>
        </w:rPr>
        <w:t xml:space="preserve"> (“OPAL Fuels” or the “Company”) (Nasdaq: OPAL), a leading vertically integrated producer and distributor of renewable natural gas, today announced the expiration and results of its previously disclosed exchange offer (the “Offer”) and consent solicitation (the “Consent Solicitation”) relating to its outstanding</w:t>
      </w:r>
    </w:p>
    <w:p>
      <w:pPr>
        <w:spacing w:after="0" w:line="2" w:lineRule="exact"/>
        <w:rPr>
          <w:sz w:val="20"/>
          <w:szCs w:val="20"/>
          <w:color w:val="auto"/>
        </w:rPr>
      </w:pPr>
    </w:p>
    <w:p>
      <w:pPr>
        <w:jc w:val="both"/>
        <w:ind w:firstLine="8"/>
        <w:spacing w:after="0" w:line="210" w:lineRule="auto"/>
        <w:tabs>
          <w:tab w:leader="none" w:pos="28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warrants to purchase shares of Class A common stock of the Company, par value $0.0001 per share (the “Class A common stock”), which warrants trade on The Nasdaq Capital Market (the “Nasdaq”) under the symbol “OPALW”(the “public warrants”), and (ii) private placement warrants to purchase shares of Class A common stock (the “private placement warrants” and, together with the public warrants, the “warrants”). The Offer and Consent Solicitation expired at 11:59 p.m., Eastern Time, on December 16, 2022. The purpose of the Offer and Consent Solicitation is to simplify the Company’s capital structure and reduce the potential dilutive impact of the warrants, thereby providing the Company with more flexibility for financing its operations in the future.</w:t>
      </w:r>
    </w:p>
    <w:p>
      <w:pPr>
        <w:spacing w:after="0" w:line="18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Company has been advised that 13,240,756 warrants (including 4,209 warrants tendered through guaranteed delivery), or approximately 85.7% of the outstanding warrants, were validly tendered and not validly withdrawn prior to the expiration of the Offer and Consent Solicitation. The Company expects to accept all validly tendered warrants for exchange and settlement on or before December 21, 2022.</w:t>
      </w:r>
    </w:p>
    <w:p>
      <w:pPr>
        <w:spacing w:after="0" w:line="17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 addition, pursuant to the Consent Solicitation, the Company received the approval of parties representing approximately 96.5% of the outstanding public warrants and approximately 78.5% of the outstanding private placement warrants to amend the warrant agreement that governs the warrants (such amendment, the “Warrant Amendment”), which exceeds the threshold of 65% of each of the outstanding public warrants and outstanding private placement warrants required to effect the Warrant Amendment. Accordingly, the Company and Continental Stock Transfer &amp; Trust Company entered into the Warrant Amendment, dated December 19, 2022, and the Company announced that it will exercise its right, in accordance with the terms of the Warrant Amendment, to exchange each warrant that is outstanding upon the closing of the Offer for 0.225 shares of Class A common stock per warrant, which is a ratio 10% less than the exchange ratio applicable to the Offer (the “Post-Offer Exchange”). The Company has fixed the date for the Post-Offer Exchange as December 23, 2022.</w:t>
      </w:r>
    </w:p>
    <w:p>
      <w:pPr>
        <w:spacing w:after="0" w:line="18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As a result of the completion of the Offer and the Post-Offer Exchange, no warrants will remain outstanding. Accordingly, the public warrants will be suspended from trading on the Nasdaq and will be delisted upon completion of the Post-Offer Exchange. The shares of Class A common stock will continue to be listed and trade on the Nasdaq under the symbol “OPAL.” Following completion of the Offer, there are approximately 28,981,579 shares of Class A common stock outstanding (an increase of approximately 12.9% from prior to the closing of the Offer) and following completion of the Post-Offer Exchange there will be approximately 29,477,870 shares of Class A common stock outstanding (an increase of approximately 14.8% from prior to the closing of the Offer and the Post-Offer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engaged BofA Securities as the dealer manager for the Offer and Consent Solicitation, D.F. King &amp; Co., Inc. as the information agent for the Offer and Consent Solicitation, and Continental Stock Transfer &amp; Trust Company served as the exchange agent for the Offer and Consent Solicitation.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jc w:val="both"/>
        <w:spacing w:after="0" w:line="204" w:lineRule="auto"/>
        <w:rPr>
          <w:sz w:val="20"/>
          <w:szCs w:val="20"/>
          <w:color w:val="auto"/>
        </w:rPr>
      </w:pPr>
      <w:r>
        <w:rPr>
          <w:rFonts w:ascii="Times New Roman" w:cs="Times New Roman" w:eastAsia="Times New Roman" w:hAnsi="Times New Roman"/>
          <w:sz w:val="22"/>
          <w:szCs w:val="22"/>
          <w:u w:val="single" w:color="auto"/>
          <w:color w:val="0000FF"/>
        </w:rPr>
        <w:t>OPAL Fuels Inc.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(Nasdaq: OPAL) is a leading vertically integrated renewable fuels platform involved in the production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jc w:val="both"/>
        <w:spacing w:after="0" w:line="206"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jc w:val="both"/>
        <w:spacing w:after="0" w:line="214"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204" w:lineRule="auto"/>
        <w:rPr>
          <w:sz w:val="20"/>
          <w:szCs w:val="20"/>
          <w:color w:val="auto"/>
        </w:rPr>
      </w:pPr>
      <w:r>
        <w:rPr>
          <w:rFonts w:ascii="Times New Roman" w:cs="Times New Roman" w:eastAsia="Times New Roman" w:hAnsi="Times New Roman"/>
          <w:sz w:val="22"/>
          <w:szCs w:val="22"/>
          <w:color w:val="auto"/>
        </w:rPr>
        <w:t>Jason Stewart</w:t>
      </w:r>
    </w:p>
    <w:p>
      <w:pPr>
        <w:spacing w:after="0" w:line="205" w:lineRule="auto"/>
        <w:rPr>
          <w:sz w:val="20"/>
          <w:szCs w:val="20"/>
          <w:color w:val="auto"/>
        </w:rPr>
      </w:pPr>
      <w:r>
        <w:rPr>
          <w:rFonts w:ascii="Times New Roman" w:cs="Times New Roman" w:eastAsia="Times New Roman" w:hAnsi="Times New Roman"/>
          <w:sz w:val="22"/>
          <w:szCs w:val="22"/>
          <w:color w:val="auto"/>
        </w:rPr>
        <w:t>Senior Director Public Relations &amp; Marketing</w:t>
      </w:r>
    </w:p>
    <w:p>
      <w:pPr>
        <w:spacing w:after="0" w:line="205" w:lineRule="auto"/>
        <w:rPr>
          <w:sz w:val="20"/>
          <w:szCs w:val="20"/>
          <w:color w:val="auto"/>
        </w:rPr>
      </w:pPr>
      <w:r>
        <w:rPr>
          <w:rFonts w:ascii="Times New Roman" w:cs="Times New Roman" w:eastAsia="Times New Roman" w:hAnsi="Times New Roman"/>
          <w:sz w:val="22"/>
          <w:szCs w:val="22"/>
          <w:color w:val="auto"/>
        </w:rPr>
        <w:t>914-421-5336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jstewart@opalfuels.com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rPr>
          <w:sz w:val="20"/>
          <w:szCs w:val="20"/>
          <w:color w:val="auto"/>
        </w:rPr>
      </w:pPr>
      <w:r>
        <w:rPr>
          <w:rFonts w:ascii="Times New Roman" w:cs="Times New Roman" w:eastAsia="Times New Roman" w:hAnsi="Times New Roman"/>
          <w:sz w:val="22"/>
          <w:szCs w:val="22"/>
          <w:u w:val="single" w:color="auto"/>
          <w:color w:val="0000FF"/>
        </w:rPr>
        <w:t>OPALFuelsPR@icrinc.com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04" w:lineRule="auto"/>
        <w:rPr>
          <w:sz w:val="20"/>
          <w:szCs w:val="20"/>
          <w:color w:val="auto"/>
        </w:rPr>
      </w:pPr>
      <w:r>
        <w:rPr>
          <w:rFonts w:ascii="Times New Roman" w:cs="Times New Roman" w:eastAsia="Times New Roman" w:hAnsi="Times New Roman"/>
          <w:sz w:val="22"/>
          <w:szCs w:val="22"/>
          <w:color w:val="auto"/>
        </w:rPr>
        <w:t>Todd Firestone</w:t>
      </w:r>
    </w:p>
    <w:p>
      <w:pPr>
        <w:spacing w:after="0" w:line="1" w:lineRule="exact"/>
        <w:rPr>
          <w:sz w:val="20"/>
          <w:szCs w:val="20"/>
          <w:color w:val="auto"/>
        </w:rPr>
      </w:pPr>
    </w:p>
    <w:p>
      <w:pPr>
        <w:ind w:right="4879"/>
        <w:spacing w:after="0" w:line="204" w:lineRule="auto"/>
        <w:rPr>
          <w:sz w:val="20"/>
          <w:szCs w:val="20"/>
          <w:color w:val="auto"/>
        </w:rPr>
      </w:pPr>
      <w:r>
        <w:rPr>
          <w:rFonts w:ascii="Times New Roman" w:cs="Times New Roman" w:eastAsia="Times New Roman" w:hAnsi="Times New Roman"/>
          <w:sz w:val="22"/>
          <w:szCs w:val="22"/>
          <w:color w:val="auto"/>
        </w:rPr>
        <w:t>Vice President Investor Relations &amp; Corporate Development 914-705-4001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0139"/>
      </w:cols>
      <w:pgMar w:left="320" w:top="1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2022-12-19T16:17:04Z</dcterms:created>
  <dcterms:modified xsi:type="dcterms:W3CDTF">2022-12-19T16:17:04Z</dcterms:modified>
</cp:coreProperties>
</file>