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March 13, 2024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554" w:type="dxa"/>
        <w:jc w:val="left"/>
        <w:tblInd w:w="0" w:type="dxa"/>
        <w:tblLayout w:type="fixed"/>
        <w:tblCellMar>
          <w:top w:w="28" w:type="dxa"/>
          <w:left w:w="28" w:type="dxa"/>
          <w:bottom w:w="28" w:type="dxa"/>
          <w:right w:w="28" w:type="dxa"/>
        </w:tblCellMar>
      </w:tblPr>
      <w:tblGrid>
        <w:gridCol w:w="1517"/>
        <w:gridCol w:w="1334"/>
        <w:gridCol w:w="1334"/>
        <w:gridCol w:w="515"/>
        <w:gridCol w:w="515"/>
        <w:gridCol w:w="515"/>
        <w:gridCol w:w="1120"/>
        <w:gridCol w:w="1120"/>
        <w:gridCol w:w="1584"/>
      </w:tblGrid>
      <w:tr>
        <w:trPr/>
        <w:tc>
          <w:tcPr>
            <w:tcW w:w="151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55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1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$.0001 per share</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before="0" w:after="0"/>
        <w:ind w:left="0" w:right="0" w:firstLine="660"/>
        <w:jc w:val="left"/>
        <w:rPr/>
      </w:pPr>
      <w:r>
        <w:rPr/>
      </w:r>
    </w:p>
    <w:p>
      <w:pPr>
        <w:pStyle w:val="TextBody"/>
        <w:bidi w:val="0"/>
        <w:spacing w:lineRule="auto" w:line="288" w:before="0" w:after="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2024, OPAL Fuels Inc. (the ”Company”) issued a press release regarding its financial results for the three and twelve months ended December 31, 2023. A copy of the press release is furnished as Exhibit 99.1 hereto.</w:t>
      </w:r>
    </w:p>
    <w:p>
      <w:pPr>
        <w:pStyle w:val="TextBody"/>
        <w:bidi w:val="0"/>
        <w:spacing w:before="0" w:after="2"/>
        <w:jc w:val="both"/>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Additionally, to supplement the Company’s financial statements presented in accordance with accounting principles generally accepted in the United States of America (“GAAP”) in Exhibit 99.1, the Company uses a non-GAAP financial measure that it calls adjusted EBITDA (“Adjusted EBITDA”). </w:t>
      </w:r>
      <w:r>
        <w:rPr>
          <w:rFonts w:ascii="Times New Roman;sans-serif" w:hAnsi="Times New Roman;sans-serif"/>
          <w:b w:val="false"/>
          <w:color w:val="000000"/>
          <w:sz w:val="22"/>
        </w:rPr>
        <w:t>This non-GAAP measure adjusts net income for interest and financing expense, net, loss on debt extinguishment, net (income) loss attributable to non-controlling interests, depreciation, amortization and accretion expense, adjustments to reflect Adjusted EBITDA from equity method investments, loss on warrant exchange, unrealized (gain) loss on derivative instruments, non-cash charges, one-time non-recurring expenses, major maintenance on renewable power and gain on deconsolidation of VIEs.</w:t>
      </w:r>
      <w:r>
        <w:rPr>
          <w:color w:val="000000"/>
        </w:rPr>
        <w:t xml:space="preserve"> </w:t>
      </w:r>
      <w:r>
        <w:rPr>
          <w:rFonts w:ascii="Times New Roman;sans-serif" w:hAnsi="Times New Roman;sans-serif"/>
          <w:b w:val="false"/>
          <w:color w:val="000000"/>
          <w:sz w:val="20"/>
        </w:rPr>
        <w:t>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limited as an analytical tool and should not be considered in isolation from, or as a substitute for, the Company’s GAAP results. The Company expects to continue reporting non-GAAP financial measures, adjusting for the items described above(and/or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tbl>
      <w:tblPr>
        <w:tblW w:w="7045"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537"/>
        <w:gridCol w:w="1537"/>
        <w:gridCol w:w="2175"/>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opalfuels4q23earningsrelea.htm">
              <w:r>
                <w:rPr>
                  <w:rStyle w:val="InternetLink"/>
                  <w:rFonts w:ascii="Times New Roman;sans-serif" w:hAnsi="Times New Roman;sans-serif"/>
                  <w:b w:val="false"/>
                  <w:color w:val="0000FF"/>
                  <w:sz w:val="20"/>
                  <w:u w:val="single"/>
                </w:rPr>
                <w:t>Press release, issued by OPAL Fuels Inc., dated March 13,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March 13, 2024</w:t>
      </w:r>
    </w:p>
    <w:tbl>
      <w:tblPr>
        <w:tblW w:w="3498" w:type="dxa"/>
        <w:jc w:val="right"/>
        <w:tblInd w:w="0" w:type="dxa"/>
        <w:tblLayout w:type="fixed"/>
        <w:tblCellMar>
          <w:top w:w="28" w:type="dxa"/>
          <w:left w:w="28" w:type="dxa"/>
          <w:bottom w:w="28" w:type="dxa"/>
          <w:right w:w="28" w:type="dxa"/>
        </w:tblCellMar>
      </w:tblPr>
      <w:tblGrid>
        <w:gridCol w:w="312"/>
        <w:gridCol w:w="273"/>
        <w:gridCol w:w="273"/>
        <w:gridCol w:w="768"/>
        <w:gridCol w:w="768"/>
        <w:gridCol w:w="1104"/>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49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Contino</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752600" cy="4667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52600" cy="4667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9" w:before="0" w:after="0"/>
        <w:jc w:val="left"/>
        <w:rPr>
          <w:rFonts w:ascii="Times New Roman;sans-serif" w:hAnsi="Times New Roman;sans-serif"/>
          <w:b/>
          <w:color w:val="000000"/>
          <w:sz w:val="22"/>
        </w:rPr>
      </w:pPr>
      <w:r>
        <w:rPr>
          <w:rFonts w:ascii="Times New Roman;sans-serif" w:hAnsi="Times New Roman;sans-serif"/>
          <w:b/>
          <w:color w:val="000000"/>
          <w:sz w:val="22"/>
        </w:rPr>
        <w:t>FOR IMMEDIATE RELEASE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OPAL Fuels Reports Fourth Quarter and Full Year 2023 Results </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WHITE PLAINS, N.Y. – (March 13, 2024) – </w:t>
      </w:r>
      <w:r>
        <w:rPr>
          <w:rFonts w:ascii="Times New Roman;sans-serif" w:hAnsi="Times New Roman;sans-serif"/>
          <w:b w:val="false"/>
          <w:color w:val="0000FF"/>
          <w:sz w:val="24"/>
          <w:u w:val="single"/>
        </w:rPr>
        <w:t xml:space="preserve">OPAL Fuels Inc. </w:t>
      </w:r>
      <w:r>
        <w:rPr>
          <w:rFonts w:ascii="Times New Roman;sans-serif" w:hAnsi="Times New Roman;sans-serif"/>
          <w:b w:val="false"/>
          <w:color w:val="000000"/>
          <w:sz w:val="24"/>
        </w:rPr>
        <w:t>(“OPAL Fuels” or the “Company”) (Nasdaq: OPAL), a vertically integrated leader in the capture and conversion of biogas into low carbon intensity renewable natural gas (RNG) and renewable electricity, today announced financial and operating results for the three and twelve months ended December 31, 2023.</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OPAL Fuels continues to progress on its strategic and operational goals” said Co-CEO Jonathan Maurer. “Over the last two years, we have more than doubled RNG production and significantly expanded our fueling station network while continuing to organically grow our project pipeline with industry leading partners. We are pleased with our results as we leverage the benefits of our vertically integrated platform.”</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Fourth quarter and full year 2023 financial and operational results were in-line with our most recent guidance” said Maurer. “These results, coupled with achieving strategic initiatives such as closing on our $500 million credit facility and advancing industry partnerships, put us in a position to capitalize on favorable industry fundamentals in 2024.”</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 xml:space="preserve">We now have 5.2 million MMBtu of annual design capacity online at eight RNG facilities. We anticipate ending the year with 8.8 million MMBtu of RNG capacity online, adding 3.6 million MMBtu in 2024 as Prince William, Sapphire and Polk County (Florida) projects begin operations. We also anticipate bringing online 2.4 MW of renewable power nameplate capacity (0.2 million MMBtu of biomethane equivalent per year) as our Fall River project commences operations in the fourth quarter. Further, we expect several additional RNG projects to enter construction this year and see increasing momentum in Fuel Station Services, supporting growth beyond 2024.”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The tailwinds from the capture and conversion of biogas into low carbon intensity energy products that replace fossil fuels continue to be strong. Constructive domestic and international policy support continues to broaden, and demand for RNG is increasing as positive feedback continues from heavy duty fleets testing RNG,” said Co-CEO Adam Comora. “Our business model is designed to position us to take advantage of these tailwinds and drive growth.”</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Financial Highlights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Revenue for the three and twelve months ended December 31, 2023, was $87.0 million and $256.1 million, respectively, up 30% and 9%, compared to same periods last year.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Net income for the three and twelve months ended December 31, 2023, was $20.1 million and $127.0 million, respectively, compared to $32.0 million and $32.6 million, in the comparable periods last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Basic net earnings per share attributable to Class A common shareholders for the three and twelve months ended December 31, 2023, was $0.11 and $0.70, respectively compared to $0.18 and $0.13 in the comparable periods last year.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Adjusted EBITDA</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for the three and twelve months ended December 31, 2023, was $32.0 million and $52.0 million, respectively, compared to $20.4 million and $53.4 million in comparable periods last year.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At December 31, 2023, RNG Pending Monetization totaled $18.5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Operational Highlights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We exited 2023 with an aggregate annual design capacity of our operating RNG projects of 5.2 million MMBtu.</w:t>
      </w:r>
      <w:r>
        <w:rPr>
          <w:rFonts w:ascii="Times New Roman;sans-serif" w:hAnsi="Times New Roman;sans-serif"/>
          <w:b w:val="false"/>
          <w:color w:val="000000"/>
          <w:sz w:val="16"/>
        </w:rPr>
        <w:t>2,3</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RNG produced was 0.8 million and 2.7 million MMBtu, for the three and twelve months ended December 31, 2023, an increase of 33% and 23% compared to the prior-year periods.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RNG sold as transportation fuel was 13.5 million and 43.8 million GGEs, respectively, for the three and twelve months ended December 31, 2023, an increase of 44% and 49% compared to the prior-year periods.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Fuel Station Services segment sold, dispensed, and serviced an aggregate of 35.3 million and 133.2 million GGEs of transportation fuel for the three and twelve months ended December 31, 2023, an increase of 8% and 15% compared to the prior-year periods.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w:t>
      </w:r>
    </w:p>
    <w:p>
      <w:pPr>
        <w:pStyle w:val="TextBody"/>
        <w:bidi w:val="0"/>
        <w:spacing w:lineRule="auto" w:line="268" w:before="0" w:after="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This is a non-GAAP measure. A reconciliation of non-GAAP financial measure to comparable GAAP measure has been provided in the financial tables included in this press release. An explanation of this measure and how it is calculated is also included below under the heading “Non-GAAP Financial Measures."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0"/>
        </w:rPr>
        <w:t>Design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6"/>
        </w:rPr>
        <w:t>3</w:t>
      </w:r>
      <w:r>
        <w:rPr>
          <w:color w:val="000000"/>
        </w:rPr>
        <w:t xml:space="preserve"> </w:t>
      </w:r>
      <w:r>
        <w:rPr>
          <w:rFonts w:ascii="Times New Roman;sans-serif" w:hAnsi="Times New Roman;sans-serif"/>
          <w:b w:val="false"/>
          <w:color w:val="000000"/>
          <w:sz w:val="20"/>
        </w:rPr>
        <w:t>Represents OPAL Fuels' proportional share with respect to RNG projects owned with joint venture partners.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Construction Update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The Prince William RNG project is mechanically </w:t>
      </w:r>
      <w:r>
        <w:rPr>
          <w:rFonts w:ascii="Times New Roman;sans-serif" w:hAnsi="Times New Roman;sans-serif"/>
          <w:b w:val="false"/>
          <w:color w:val="000000"/>
          <w:sz w:val="24"/>
          <w:shd w:fill="FFFFFF" w:val="clear"/>
        </w:rPr>
        <w:t xml:space="preserve">complete </w:t>
      </w:r>
      <w:r>
        <w:rPr>
          <w:rFonts w:ascii="Times New Roman;sans-serif" w:hAnsi="Times New Roman;sans-serif"/>
          <w:b w:val="false"/>
          <w:color w:val="000000"/>
          <w:sz w:val="24"/>
        </w:rPr>
        <w:t xml:space="preserve">and in commissioning. The project will commence commercial operations in the coming weeks. This project, owned 100% by OPAL Fuels, represents approximately 1.7 million MMBtu of annual design capacity.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We anticipate commencing commercial operations at our Sapphire RNG project in the third quarter of 2024. This project represents approximately 0.8 million MMBtu for OPAL Fuels’ 50% ownership share of annual design capacity.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We expect the Polk County (Florida) RNG project to commence commercial operations in the fourth quarter of 2024. This project, owned 100% by OPAL Fuels, represents approximately 1.1 million MMBtu of annual design capacity.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Completion of construction at two dairy projects in California (Hilltop and Vander Schaaf) has been delayed due to a dispute with the Engineering, Procurement and Construction contractor over a series of change order requests.</w:t>
      </w:r>
      <w:r>
        <w:rPr>
          <w:rFonts w:ascii="Times New Roman;sans-serif" w:hAnsi="Times New Roman;sans-serif"/>
          <w:b w:val="false"/>
          <w:color w:val="000000"/>
          <w:sz w:val="16"/>
        </w:rPr>
        <w:t xml:space="preserve">4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Atlantic RNG project is expected to commence commercial operations in </w:t>
      </w:r>
      <w:r>
        <w:rPr>
          <w:rFonts w:ascii="Times New Roman;sans-serif" w:hAnsi="Times New Roman;sans-serif"/>
          <w:b w:val="false"/>
          <w:color w:val="000000"/>
          <w:sz w:val="24"/>
          <w:shd w:fill="FFFFFF" w:val="clear"/>
        </w:rPr>
        <w:t>mid-2025.</w:t>
      </w:r>
      <w:r>
        <w:rPr>
          <w:color w:val="000000"/>
        </w:rPr>
        <w:t xml:space="preserve"> </w:t>
      </w:r>
      <w:r>
        <w:rPr>
          <w:rFonts w:ascii="Times New Roman;sans-serif" w:hAnsi="Times New Roman;sans-serif"/>
          <w:b w:val="false"/>
          <w:color w:val="000000"/>
          <w:sz w:val="24"/>
        </w:rPr>
        <w:t xml:space="preserve">This project represents approximately 0.3 million MMBtu for OPAL Fuels’ 50% ownership share of annual design capacity.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Fall River project is a renewable power project that is expected to commence operations at the end of 2024. This project represents 2.4 MW of renewable power nameplate capacity (0.2 million MMBtus of biomethane equivalent per year) and is 100% owned by OPAL Fuels.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8"/>
        </w:rPr>
        <w:t>For more information, please see the Company’s Annual Report on Form 10-K for the twelve months ended December 31, 2023.</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2024 Guidance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Company currently estimates that Adjusted EBITDA for the full year 2024 will range between $90 million and $100 million. Adjusted EBITDA does not include: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Approximately $40 million of potential ITC cash proceeds from Emerald and the three landfill RNG projects coming online this year, which would be included in net income in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An increase of approximately $15 million from RNG pending monetization in 2024, which represents the time lag between the recognition of RNG production costs compared with the associated revenues;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An adjustment for development and project start up expenses</w:t>
      </w:r>
      <w:r>
        <w:rPr>
          <w:rFonts w:ascii="Times New Roman;sans-serif" w:hAnsi="Times New Roman;sans-serif"/>
          <w:b w:val="false"/>
          <w:color w:val="000000"/>
          <w:sz w:val="16"/>
        </w:rPr>
        <w:t>5</w:t>
      </w:r>
      <w:r>
        <w:rPr>
          <w:color w:val="000000"/>
        </w:rPr>
        <w:t xml:space="preserve"> </w:t>
      </w:r>
      <w:r>
        <w:rPr>
          <w:rFonts w:ascii="Times New Roman;sans-serif" w:hAnsi="Times New Roman;sans-serif"/>
          <w:b w:val="false"/>
          <w:color w:val="000000"/>
          <w:sz w:val="24"/>
        </w:rPr>
        <w:t xml:space="preserve">of approximately $12 million in 2024, which is predominantly the Prince William virtual pipeline expense.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anticipate Adjusted EBITDA from our Fuel Station Services segment to grow by 75%-90% compared to 2023</w:t>
      </w:r>
      <w:r>
        <w:rPr>
          <w:rFonts w:ascii="Times New Roman;sans-serif" w:hAnsi="Times New Roman;sans-serif"/>
          <w:b w:val="false"/>
          <w:color w:val="000000"/>
          <w:sz w:val="24"/>
          <w:shd w:fill="FFFFFF" w:val="clear"/>
        </w:rPr>
        <w: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expect 2024 RNG production to range from 4.4 to 4.8 million MMBtu.</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We expect full year 2024 capital expenditures at wholly-owned and joint venture projects to total approximately $230 million. This total includes approximately $28 million for Fuel Station Services and $41 million relating to equity method investments in RNG projects.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We anticipate putting into construction at least 2.0 million annual MMBtu of RNG design capacity in 2024 which is included in our 2024 capital expenditure guidance.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2024 guidance assumes a weighted average annual price for D3 RINs of approximately $3.0/gallon, natural gas price of $2.00/MMBtu, and an LCFS credit price of $65.0/metric ton.</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6"/>
        </w:rPr>
        <w:t>5</w:t>
      </w:r>
      <w:r>
        <w:rPr>
          <w:rFonts w:ascii="Times New Roman;sans-serif" w:hAnsi="Times New Roman;sans-serif"/>
          <w:b w:val="false"/>
          <w:color w:val="000000"/>
          <w:sz w:val="20"/>
        </w:rPr>
        <w:t>Project development and start up expenses will be presented as a separate line item on the Income Statement in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10"/>
        <w:gridCol w:w="1136"/>
        <w:gridCol w:w="1140"/>
        <w:gridCol w:w="109"/>
        <w:gridCol w:w="109"/>
        <w:gridCol w:w="109"/>
        <w:gridCol w:w="253"/>
        <w:gridCol w:w="865"/>
        <w:gridCol w:w="130"/>
        <w:gridCol w:w="130"/>
        <w:gridCol w:w="130"/>
        <w:gridCol w:w="130"/>
        <w:gridCol w:w="253"/>
        <w:gridCol w:w="865"/>
        <w:gridCol w:w="130"/>
        <w:gridCol w:w="109"/>
        <w:gridCol w:w="109"/>
        <w:gridCol w:w="109"/>
        <w:gridCol w:w="243"/>
        <w:gridCol w:w="954"/>
        <w:gridCol w:w="125"/>
        <w:gridCol w:w="125"/>
        <w:gridCol w:w="125"/>
        <w:gridCol w:w="125"/>
        <w:gridCol w:w="243"/>
        <w:gridCol w:w="954"/>
        <w:gridCol w:w="185"/>
      </w:tblGrid>
      <w:tr>
        <w:trPr/>
        <w:tc>
          <w:tcPr>
            <w:tcW w:w="131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thousands of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 December 31,</w:t>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Consolidated Adjusted EBITDA</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This is a non-GAAP measure. A reconciliation of non-GAAP financial measure to comparable GAAP measure has been provided in the financial tables included in this press release. An explanation of this measure and how it is calculated is also included below under the heading “Non-GAAP Financial Measures."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Landfill RNG Facility Capacity and Utilization Summary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4"/>
        <w:gridCol w:w="1303"/>
        <w:gridCol w:w="1311"/>
        <w:gridCol w:w="109"/>
        <w:gridCol w:w="109"/>
        <w:gridCol w:w="109"/>
        <w:gridCol w:w="256"/>
        <w:gridCol w:w="237"/>
        <w:gridCol w:w="572"/>
        <w:gridCol w:w="229"/>
        <w:gridCol w:w="229"/>
        <w:gridCol w:w="229"/>
        <w:gridCol w:w="256"/>
        <w:gridCol w:w="237"/>
        <w:gridCol w:w="572"/>
        <w:gridCol w:w="260"/>
        <w:gridCol w:w="239"/>
        <w:gridCol w:w="580"/>
        <w:gridCol w:w="233"/>
        <w:gridCol w:w="233"/>
        <w:gridCol w:w="233"/>
        <w:gridCol w:w="260"/>
        <w:gridCol w:w="239"/>
        <w:gridCol w:w="686"/>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29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Landfill RNG Facility Capacity and Utilization</w:t>
            </w:r>
            <w:r>
              <w:rPr>
                <w:rFonts w:ascii="Times New Roman;sans-serif" w:hAnsi="Times New Roman;sans-serif"/>
                <w:b/>
                <w:color w:val="000000"/>
                <w:sz w:val="13"/>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Design Capacity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of Inlet Gas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Inlet Design Capacity Utilization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Utilization of Inlet Gas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 xml:space="preserve">Data not available for the Company's dairy projects, i.e., Sunoma and Biotown. Total RNG fuel design capacity for the three and twelve months ended December 31, 2023 is 1.3 million MMBtu and 4.3 million MMBtu, respectively. Including Sunoma and Biotown, RNG fuel volume produced is 0.8 and 2.7 million MMBtu for the three and twelve months ended December 31, 2023, respectively.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RNG Pending Monetization Summary</w:t>
      </w:r>
    </w:p>
    <w:tbl>
      <w:tblPr>
        <w:tblW w:w="10205" w:type="dxa"/>
        <w:jc w:val="left"/>
        <w:tblInd w:w="0" w:type="dxa"/>
        <w:tblLayout w:type="fixed"/>
        <w:tblCellMar>
          <w:top w:w="28" w:type="dxa"/>
          <w:left w:w="28" w:type="dxa"/>
          <w:bottom w:w="28" w:type="dxa"/>
          <w:right w:w="28" w:type="dxa"/>
        </w:tblCellMar>
      </w:tblPr>
      <w:tblGrid>
        <w:gridCol w:w="1979"/>
        <w:gridCol w:w="1670"/>
        <w:gridCol w:w="1667"/>
        <w:gridCol w:w="109"/>
        <w:gridCol w:w="109"/>
        <w:gridCol w:w="109"/>
        <w:gridCol w:w="211"/>
        <w:gridCol w:w="736"/>
        <w:gridCol w:w="109"/>
        <w:gridCol w:w="109"/>
        <w:gridCol w:w="109"/>
        <w:gridCol w:w="109"/>
        <w:gridCol w:w="354"/>
        <w:gridCol w:w="1211"/>
        <w:gridCol w:w="182"/>
        <w:gridCol w:w="109"/>
        <w:gridCol w:w="109"/>
        <w:gridCol w:w="109"/>
        <w:gridCol w:w="211"/>
        <w:gridCol w:w="736"/>
        <w:gridCol w:w="158"/>
      </w:tblGrid>
      <w:tr>
        <w:trPr/>
        <w:tc>
          <w:tcPr>
            <w:tcW w:w="197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1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000's)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Stored Gas Metrics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Stored RNG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RNG production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period RNG volumes dispensed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Stored RNG (MMBtus)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ending balance Stored RNG using quarter end price </w:t>
            </w:r>
            <w:r>
              <w:rPr>
                <w:rFonts w:ascii="Times New Roman;sans-serif" w:hAnsi="Times New Roman;sans-serif"/>
                <w:b/>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6,101</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18,228</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RIN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Generated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RIN credit balance (Available for sale)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D3 price per RIN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RINs using quarter end price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LCFS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(net share)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Generated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LCFS credit balance (Available for sale)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LCFS credit price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LCFSs using quarter end price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Value of RECs using quarter end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realized sales price - 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realized sales price - LCFS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Value of RNG Pending Monetization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6,274</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18,458</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Reflects OPAL’s ownership share of Stored RNG (i.e., net of joint venture partners’ ownership) including equity method investments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Liquidity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of December 31, 2023, we have drawn approximately $186.6 million, and utilized $13.8 million of our revolver availability to issue letters of credit, under the $500 million senior secured credit facility we entered into in September 2023.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As of December 31, 2023, our liquidity was $347.8 million, consisting of $299.6 million of availability under the above referenced credit facility, and $48.2 million of cash, cash equivalents, and short-term investments.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We believe our liquidity and anticipated cash flows from operations are sufficient to meet our existing funding needs.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Capital Expenditures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the twelve months ended December 31, 2023, OPAL Fuels invested $113.8 million across RNG projects in construction and OPAL Fuels proprietary fueling stations in construction as compared to $131.4 million in the prior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for the twelve months ended December 31, 2023, the Company's portion of capital expenditures in unconsolidated entities was $20.6 million. This represents our share of capital expenditures incurred by Paragon for the Emerald and Sapphire projects post deconsolidation.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Earnings Call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webcast to review OPAL Fuels’ Fourth Quarter and Full Year 2023 results is being held tomorrow, March 14, 2024 at 11:00AM EDT.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Materials to be discussed in the webcast will be available before the call on the Company's website.</w:t>
      </w:r>
    </w:p>
    <w:p>
      <w:pPr>
        <w:pStyle w:val="TextBody"/>
        <w:bidi w:val="0"/>
        <w:spacing w:before="0" w:after="0"/>
        <w:jc w:val="both"/>
        <w:rPr/>
      </w:pPr>
      <w:r>
        <w:rPr/>
      </w:r>
    </w:p>
    <w:p>
      <w:pPr>
        <w:pStyle w:val="TextBody"/>
        <w:bidi w:val="0"/>
        <w:spacing w:lineRule="auto" w:line="252" w:before="0" w:after="0"/>
        <w:jc w:val="left"/>
        <w:rPr/>
      </w:pPr>
      <w:r>
        <w:rPr>
          <w:rFonts w:ascii="Times New Roman;sans-serif" w:hAnsi="Times New Roman;sans-serif"/>
          <w:b w:val="false"/>
          <w:color w:val="000000"/>
          <w:sz w:val="24"/>
        </w:rPr>
        <w:t xml:space="preserve">Participants may access the call at https://edge.media-server.com/mmc/p/igoxez25. Investors can also listen to a webcast of the presentation on the company’s Investor Relations website at </w:t>
      </w:r>
      <w:r>
        <w:rPr>
          <w:rFonts w:ascii="Times New Roman;sans-serif" w:hAnsi="Times New Roman;sans-serif"/>
          <w:b w:val="false"/>
          <w:color w:val="0E32E1"/>
          <w:sz w:val="24"/>
        </w:rPr>
        <w:t>https://investors.opalfuels.com/news-events/events-presentations.</w:t>
      </w:r>
    </w:p>
    <w:p>
      <w:pPr>
        <w:pStyle w:val="TextBody"/>
        <w:bidi w:val="0"/>
        <w:spacing w:before="0" w:after="0"/>
        <w:jc w:val="both"/>
        <w:rPr/>
      </w:pPr>
      <w:r>
        <w:rPr/>
      </w:r>
    </w:p>
    <w:p>
      <w:pPr>
        <w:pStyle w:val="TextBody"/>
        <w:bidi w:val="0"/>
        <w:spacing w:lineRule="auto" w:line="36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Glossary of terms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Environmental Attributes” </w:t>
      </w:r>
      <w:r>
        <w:rPr>
          <w:rFonts w:ascii="Times New Roman;sans-serif" w:hAnsi="Times New Roman;sans-serif"/>
          <w:b w:val="false"/>
          <w:color w:val="000000"/>
          <w:sz w:val="24"/>
        </w:rPr>
        <w:t>refer to federal, state, and local government incentives in the United States, provided in the form of 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GGE” </w:t>
      </w:r>
      <w:r>
        <w:rPr>
          <w:rFonts w:ascii="Times New Roman;sans-serif" w:hAnsi="Times New Roman;sans-serif"/>
          <w:b w:val="false"/>
          <w:color w:val="000000"/>
          <w:sz w:val="24"/>
        </w:rPr>
        <w:t xml:space="preserve">refers to Gasoline gallon equivalent. The conversion ratio is 1MMBtu of natural gas equal to 7.74 GGE. </w:t>
      </w:r>
    </w:p>
    <w:p>
      <w:pPr>
        <w:pStyle w:val="TextBody"/>
        <w:bidi w:val="0"/>
        <w:spacing w:before="0" w:after="0"/>
        <w:jc w:val="left"/>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LFG” </w:t>
      </w:r>
      <w:r>
        <w:rPr>
          <w:rFonts w:ascii="Times New Roman;sans-serif" w:hAnsi="Times New Roman;sans-serif"/>
          <w:b w:val="false"/>
          <w:color w:val="000000"/>
          <w:sz w:val="24"/>
        </w:rPr>
        <w:t>refers to landfill gas.</w:t>
      </w:r>
    </w:p>
    <w:p>
      <w:pPr>
        <w:pStyle w:val="TextBody"/>
        <w:bidi w:val="0"/>
        <w:spacing w:before="0" w:after="0"/>
        <w:jc w:val="left"/>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MMBtu” </w:t>
      </w:r>
      <w:r>
        <w:rPr>
          <w:rFonts w:ascii="Times New Roman;sans-serif" w:hAnsi="Times New Roman;sans-serif"/>
          <w:b w:val="false"/>
          <w:color w:val="000000"/>
          <w:sz w:val="24"/>
        </w:rPr>
        <w:t xml:space="preserve">refers to British thermal units. </w:t>
      </w:r>
    </w:p>
    <w:p>
      <w:pPr>
        <w:pStyle w:val="TextBody"/>
        <w:bidi w:val="0"/>
        <w:spacing w:before="0" w:after="0"/>
        <w:jc w:val="left"/>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Renewable Power” </w:t>
      </w:r>
      <w:r>
        <w:rPr>
          <w:rFonts w:ascii="Times New Roman;sans-serif" w:hAnsi="Times New Roman;sans-serif"/>
          <w:b w:val="false"/>
          <w:color w:val="000000"/>
          <w:sz w:val="24"/>
        </w:rPr>
        <w:t>refers to electricity generated from renewable sources.</w:t>
      </w:r>
    </w:p>
    <w:p>
      <w:pPr>
        <w:pStyle w:val="TextBody"/>
        <w:bidi w:val="0"/>
        <w:spacing w:before="0" w:after="0"/>
        <w:jc w:val="left"/>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RNG” </w:t>
      </w:r>
      <w:r>
        <w:rPr>
          <w:rFonts w:ascii="Times New Roman;sans-serif" w:hAnsi="Times New Roman;sans-serif"/>
          <w:b w:val="false"/>
          <w:color w:val="000000"/>
          <w:sz w:val="24"/>
        </w:rPr>
        <w:t>refers to renewable natural gas.</w:t>
      </w:r>
    </w:p>
    <w:p>
      <w:pPr>
        <w:pStyle w:val="TextBody"/>
        <w:bidi w:val="0"/>
        <w:spacing w:before="0" w:after="0"/>
        <w:jc w:val="left"/>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D3” </w:t>
      </w:r>
      <w:r>
        <w:rPr>
          <w:rFonts w:ascii="Times New Roman;sans-serif" w:hAnsi="Times New Roman;sans-serif"/>
          <w:b w:val="false"/>
          <w:color w:val="000000"/>
          <w:sz w:val="24"/>
        </w:rPr>
        <w:t>refers to cellulosic biofuel with a 60% GHG reduction requirement.</w:t>
      </w:r>
    </w:p>
    <w:p>
      <w:pPr>
        <w:pStyle w:val="TextBody"/>
        <w:bidi w:val="0"/>
        <w:spacing w:before="0" w:after="0"/>
        <w:jc w:val="left"/>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RIN” </w:t>
      </w:r>
      <w:r>
        <w:rPr>
          <w:rFonts w:ascii="Times New Roman;sans-serif" w:hAnsi="Times New Roman;sans-serif"/>
          <w:b w:val="false"/>
          <w:color w:val="000000"/>
          <w:sz w:val="24"/>
        </w:rPr>
        <w:t>refers to Renewal Identification Numbers.</w:t>
      </w:r>
    </w:p>
    <w:p>
      <w:pPr>
        <w:pStyle w:val="TextBody"/>
        <w:bidi w:val="0"/>
        <w:spacing w:before="0" w:after="0"/>
        <w:jc w:val="left"/>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EPA” </w:t>
      </w:r>
      <w:r>
        <w:rPr>
          <w:rFonts w:ascii="Times New Roman;sans-serif" w:hAnsi="Times New Roman;sans-serif"/>
          <w:b w:val="false"/>
          <w:color w:val="000000"/>
          <w:sz w:val="24"/>
        </w:rPr>
        <w:t>refers to Environmental Protection Agency.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About OPAL Fuels Inc.</w:t>
      </w:r>
    </w:p>
    <w:p>
      <w:pPr>
        <w:pStyle w:val="TextBody"/>
        <w:bidi w:val="0"/>
        <w:spacing w:lineRule="auto" w:line="288" w:before="0" w:after="0"/>
        <w:jc w:val="both"/>
        <w:rPr/>
      </w:pPr>
      <w:r>
        <w:rPr>
          <w:rFonts w:ascii="Times New Roman;sans-serif" w:hAnsi="Times New Roman;sans-serif"/>
          <w:b w:val="false"/>
          <w:color w:val="0563C1"/>
          <w:sz w:val="24"/>
        </w:rPr>
        <w:t>OPAL Fuels</w:t>
      </w:r>
      <w:r>
        <w:rPr>
          <w:color w:val="000000"/>
        </w:rPr>
        <w:t xml:space="preserve"> </w:t>
      </w:r>
      <w:r>
        <w:rPr>
          <w:rFonts w:ascii="Times New Roman;sans-serif" w:hAnsi="Times New Roman;sans-serif"/>
          <w:b w:val="false"/>
          <w:color w:val="0563C1"/>
          <w:sz w:val="24"/>
        </w:rPr>
        <w:t>Inc. (Nasdaq: OPAL)</w:t>
      </w:r>
      <w:r>
        <w:rPr>
          <w:color w:val="000000"/>
        </w:rPr>
        <w:t xml:space="preserve"> </w:t>
      </w:r>
      <w:r>
        <w:rPr>
          <w:rFonts w:ascii="Times New Roman;sans-serif" w:hAnsi="Times New Roman;sans-serif"/>
          <w:b w:val="false"/>
          <w:color w:val="000000"/>
          <w:sz w:val="24"/>
        </w:rPr>
        <w:t>is a leader in the capture and conversion of biogas into low carbon intensity renewable electricity and renewable natural gas (RNG). OPAL Fuels is also a leader in the marketing and distribution of RNG to heavy duty trucking and other hard to de-carbonize industrial sectors. RNG is chemically identical to the natural gas Americans use to cook with, heat homes, and fuel natural gas engines, with one significant difference: RNG is produced by recycling harmful methane emissions created by decaying organic waste as opposed to fossil natural gas which is pumped from the ground. For additional information p</w:t>
      </w:r>
      <w:r>
        <w:rPr>
          <w:rFonts w:ascii="Times New Roman;sans-serif" w:hAnsi="Times New Roman;sans-serif"/>
          <w:b w:val="false"/>
          <w:color w:val="212121"/>
          <w:sz w:val="24"/>
        </w:rPr>
        <w:t xml:space="preserve">lease visit </w:t>
      </w:r>
      <w:r>
        <w:rPr>
          <w:rFonts w:ascii="Times New Roman;sans-serif" w:hAnsi="Times New Roman;sans-serif"/>
          <w:b w:val="false"/>
          <w:color w:val="0078D4"/>
          <w:sz w:val="24"/>
        </w:rPr>
        <w:t>www.opalfuels.com.</w:t>
      </w:r>
    </w:p>
    <w:p>
      <w:pPr>
        <w:pStyle w:val="TextBody"/>
        <w:bidi w:val="0"/>
        <w:spacing w:before="0" w:after="0"/>
        <w:jc w:val="left"/>
        <w:rPr/>
      </w:pPr>
      <w:r>
        <w:rPr/>
      </w:r>
    </w:p>
    <w:p>
      <w:pPr>
        <w:pStyle w:val="TextBody"/>
        <w:bidi w:val="0"/>
        <w:spacing w:lineRule="auto" w:line="268" w:before="0" w:after="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filed on March 29, 2023,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Disclaimer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Contact information</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Todd Firestone</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Investor Relations &amp; Corporate Development</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914-705-4001</w:t>
      </w:r>
    </w:p>
    <w:p>
      <w:pPr>
        <w:pStyle w:val="TextBody"/>
        <w:bidi w:val="0"/>
        <w:spacing w:lineRule="auto" w:line="369"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investors@opalfuels.com</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ICR, Inc. </w:t>
      </w:r>
    </w:p>
    <w:p>
      <w:pPr>
        <w:pStyle w:val="TextBody"/>
        <w:bidi w:val="0"/>
        <w:spacing w:lineRule="auto" w:line="312"/>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OPALFuelsPR@icrinc.com</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tbl>
      <w:tblPr>
        <w:tblW w:w="10205" w:type="dxa"/>
        <w:jc w:val="center"/>
        <w:tblInd w:w="0" w:type="dxa"/>
        <w:tblLayout w:type="fixed"/>
        <w:tblCellMar>
          <w:top w:w="28" w:type="dxa"/>
          <w:left w:w="28" w:type="dxa"/>
          <w:bottom w:w="28" w:type="dxa"/>
          <w:right w:w="28" w:type="dxa"/>
        </w:tblCellMar>
      </w:tblPr>
      <w:tblGrid>
        <w:gridCol w:w="2772"/>
        <w:gridCol w:w="2312"/>
        <w:gridCol w:w="2304"/>
        <w:gridCol w:w="206"/>
        <w:gridCol w:w="777"/>
        <w:gridCol w:w="114"/>
        <w:gridCol w:w="109"/>
        <w:gridCol w:w="109"/>
        <w:gridCol w:w="109"/>
        <w:gridCol w:w="250"/>
        <w:gridCol w:w="941"/>
        <w:gridCol w:w="202"/>
      </w:tblGrid>
      <w:tr>
        <w:trPr/>
        <w:tc>
          <w:tcPr>
            <w:tcW w:w="277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$166 and $12,506 at December 31, 2023 and December 31, 2022, respectively, related to consolidated VIEs)</w:t>
            </w:r>
          </w:p>
        </w:tc>
        <w:tc>
          <w:tcPr>
            <w:tcW w:w="2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$33 and $966 at December 31, 2023 and December 31, 2022,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$4,395 and $6,971 at December 31, 2023 and December 31, 2022,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 (includes $29 and $— at December 31, 2023 and December 31, 2022,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$107 and $415 at December 31, 2023 and December 31, 2022,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$26,626 and $73,140 at December 31, 2023 and December 31, 2022,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right-of use assets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$1,850 and $2,923 at December 31, 2023 and December 31, 2022,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$744 and $4,896 at December 31, 2023 and December 31, 2022,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 (includes $1,046 and $433 at December 31, 2023 and December 31, 2022,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$0 and $7,821 at December 31, 2023 and December 31, 2022,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$647 and $646 at December 31, 2023 and December 31, 2022,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006"/>
        <w:gridCol w:w="2361"/>
        <w:gridCol w:w="2382"/>
        <w:gridCol w:w="196"/>
        <w:gridCol w:w="736"/>
        <w:gridCol w:w="109"/>
        <w:gridCol w:w="109"/>
        <w:gridCol w:w="109"/>
        <w:gridCol w:w="109"/>
        <w:gridCol w:w="196"/>
        <w:gridCol w:w="736"/>
        <w:gridCol w:w="156"/>
      </w:tblGrid>
      <w:tr>
        <w:trPr/>
        <w:tc>
          <w:tcPr>
            <w:tcW w:w="300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$1,608 and $380 at December 31,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(includes $92 and $— at December 31,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$20,010 and $21,712 at December 31,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(includes $211 and $— at December 31,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December 31, 2023; 29,701,146 and 29,477,766 shares, issued and outstanding at December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December 31, 2023; None issued and outstanding as of December 31,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December 31, 2023; None issued and outstanding as of December 31,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December 31, 2023; 144,399,037 issued and outstanding at December 31,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 shares at December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Redeemable preferred, Redeemable non-controlling interests and Stockholders' (deficit)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tbl>
      <w:tblPr>
        <w:tblW w:w="10205" w:type="dxa"/>
        <w:jc w:val="center"/>
        <w:tblInd w:w="0" w:type="dxa"/>
        <w:tblLayout w:type="fixed"/>
        <w:tblCellMar>
          <w:top w:w="28" w:type="dxa"/>
          <w:left w:w="28" w:type="dxa"/>
          <w:bottom w:w="28" w:type="dxa"/>
          <w:right w:w="28" w:type="dxa"/>
        </w:tblCellMar>
      </w:tblPr>
      <w:tblGrid>
        <w:gridCol w:w="2848"/>
        <w:gridCol w:w="2414"/>
        <w:gridCol w:w="2429"/>
        <w:gridCol w:w="223"/>
        <w:gridCol w:w="738"/>
        <w:gridCol w:w="109"/>
        <w:gridCol w:w="109"/>
        <w:gridCol w:w="109"/>
        <w:gridCol w:w="109"/>
        <w:gridCol w:w="223"/>
        <w:gridCol w:w="738"/>
        <w:gridCol w:w="156"/>
      </w:tblGrid>
      <w:tr>
        <w:trPr/>
        <w:tc>
          <w:tcPr>
            <w:tcW w:w="284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769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$56,069 and $58,185 for the years ended December 31, 2023 and 2022, respectively)</w:t>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$28,468 and $18,735 for the years ended December 31, 2023 and 2022, respectively)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$6,614 and $5,495 for the years ended December 31, 2023 and 2022, respectively)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 up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Dividends on Redeemable preferred non-controlling interests </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attributable to Class A common stockholders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 :</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25,774,312 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26,062,398 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tbl>
      <w:tblPr>
        <w:tblW w:w="8829" w:type="dxa"/>
        <w:jc w:val="center"/>
        <w:tblInd w:w="0" w:type="dxa"/>
        <w:tblLayout w:type="fixed"/>
        <w:tblCellMar>
          <w:top w:w="28" w:type="dxa"/>
          <w:left w:w="28" w:type="dxa"/>
          <w:bottom w:w="28" w:type="dxa"/>
          <w:right w:w="28" w:type="dxa"/>
        </w:tblCellMar>
      </w:tblPr>
      <w:tblGrid>
        <w:gridCol w:w="2342"/>
        <w:gridCol w:w="2054"/>
        <w:gridCol w:w="2069"/>
        <w:gridCol w:w="196"/>
        <w:gridCol w:w="736"/>
        <w:gridCol w:w="109"/>
        <w:gridCol w:w="109"/>
        <w:gridCol w:w="109"/>
        <w:gridCol w:w="109"/>
        <w:gridCol w:w="196"/>
        <w:gridCol w:w="64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64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exchange of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the earnout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Gain on repayment of Note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on previously recorded paid-in-kind 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Deconsolidation of VIEs, net of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(purchase) of short 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investment in other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from repayment of Note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882"/>
        <w:gridCol w:w="2518"/>
        <w:gridCol w:w="2530"/>
        <w:gridCol w:w="196"/>
        <w:gridCol w:w="646"/>
        <w:gridCol w:w="109"/>
        <w:gridCol w:w="109"/>
        <w:gridCol w:w="109"/>
        <w:gridCol w:w="109"/>
        <w:gridCol w:w="196"/>
        <w:gridCol w:w="646"/>
        <w:gridCol w:w="155"/>
      </w:tblGrid>
      <w:tr>
        <w:trPr/>
        <w:tc>
          <w:tcPr>
            <w:tcW w:w="2882"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(184,028)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Sunoma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received from Business Combination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Repayment of Convertible Note Payable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Sunoma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finance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equipment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Reimbursement of financing costs by joint venture partner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paid-in-kind preferred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related to net share settlement of equity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 of shares upon exercise of put option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non-redeemable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shares of Class A common stock under the ATM program,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redeemable preferred non-controlling interests,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members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restricted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$5,475 and $3,678 capitalized,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Convertible Note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Public and Private warrants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Derivative warrant liabilities assumed related to Business Combination</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Earnout liabilities related to Business Combination</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put option on a forward purchase agreement related to Business Combination</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included in Property, Plant and equipment,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included in Other long-term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16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Non-GAAP Financial Measures (Unaudited)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Adjusted EBITDA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supplement the Company's unaudited condensed consolidated financial statements presented in accordance with GAAP, the Company uses a non-GAAP financial measure that it calls adjusted EBITDA ("Adjusted EBITDA"). This non-GAAP measure adjusts net income for interest and financing expense, net, loss on debt extinguishment, net (income) loss attributable to non-controlling interests, depreciation, amortization and accretion expense, adjustments to reflect Adjusted EBITDA from equity method investments, loss on warrant exchange, unrealized (gain) loss on derivative instruments, non-cash charges, one-time non-recurring expenses, major maintenance on renewable power and gain on deconsolidation of VIEs.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Management believes this non-GAAP measure provides meaningful supplemental information about the Company's performance, for the following reasons: (1) it allows for greater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presents the reconciliation of our Net income to Adjusted EBITDA:</w:t>
      </w:r>
    </w:p>
    <w:p>
      <w:pPr>
        <w:pStyle w:val="TextBody"/>
        <w:bidi w:val="0"/>
        <w:spacing w:before="0" w:after="0"/>
        <w:jc w:val="left"/>
        <w:rPr/>
      </w:pPr>
      <w:r>
        <w:rPr/>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GAAP Net income to Adjusted EBITDA </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Twelve Months Ended December 31, 2023 and 2022</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tbl>
      <w:tblPr>
        <w:tblW w:w="15101" w:type="dxa"/>
        <w:jc w:val="center"/>
        <w:tblInd w:w="0" w:type="dxa"/>
        <w:tblLayout w:type="fixed"/>
        <w:tblCellMar>
          <w:top w:w="28" w:type="dxa"/>
          <w:left w:w="28" w:type="dxa"/>
          <w:bottom w:w="28" w:type="dxa"/>
          <w:right w:w="28" w:type="dxa"/>
        </w:tblCellMar>
      </w:tblPr>
      <w:tblGrid>
        <w:gridCol w:w="930"/>
        <w:gridCol w:w="280"/>
        <w:gridCol w:w="231"/>
        <w:gridCol w:w="109"/>
        <w:gridCol w:w="109"/>
        <w:gridCol w:w="109"/>
        <w:gridCol w:w="211"/>
        <w:gridCol w:w="721"/>
        <w:gridCol w:w="109"/>
        <w:gridCol w:w="109"/>
        <w:gridCol w:w="109"/>
        <w:gridCol w:w="109"/>
        <w:gridCol w:w="211"/>
        <w:gridCol w:w="721"/>
        <w:gridCol w:w="109"/>
        <w:gridCol w:w="109"/>
        <w:gridCol w:w="109"/>
        <w:gridCol w:w="109"/>
        <w:gridCol w:w="213"/>
        <w:gridCol w:w="622"/>
        <w:gridCol w:w="111"/>
        <w:gridCol w:w="109"/>
        <w:gridCol w:w="109"/>
        <w:gridCol w:w="109"/>
        <w:gridCol w:w="211"/>
        <w:gridCol w:w="63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82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 2023</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on debt extinguishment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to reflect Adjusted EBITDA from equity method investments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warrant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tbl>
      <w:tblPr>
        <w:tblW w:w="14966" w:type="dxa"/>
        <w:jc w:val="center"/>
        <w:tblInd w:w="0" w:type="dxa"/>
        <w:tblLayout w:type="fixed"/>
        <w:tblCellMar>
          <w:top w:w="28" w:type="dxa"/>
          <w:left w:w="28" w:type="dxa"/>
          <w:bottom w:w="28" w:type="dxa"/>
          <w:right w:w="28" w:type="dxa"/>
        </w:tblCellMar>
      </w:tblPr>
      <w:tblGrid>
        <w:gridCol w:w="915"/>
        <w:gridCol w:w="280"/>
        <w:gridCol w:w="231"/>
        <w:gridCol w:w="109"/>
        <w:gridCol w:w="109"/>
        <w:gridCol w:w="109"/>
        <w:gridCol w:w="211"/>
        <w:gridCol w:w="721"/>
        <w:gridCol w:w="109"/>
        <w:gridCol w:w="109"/>
        <w:gridCol w:w="109"/>
        <w:gridCol w:w="109"/>
        <w:gridCol w:w="211"/>
        <w:gridCol w:w="616"/>
        <w:gridCol w:w="109"/>
        <w:gridCol w:w="109"/>
        <w:gridCol w:w="109"/>
        <w:gridCol w:w="109"/>
        <w:gridCol w:w="213"/>
        <w:gridCol w:w="622"/>
        <w:gridCol w:w="11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3"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3"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 2022</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to reflect Adjusted EBITDA from equity method investments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repayment of Note Receivable and reversal of liability to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Net income (loss) by segment is included in our quarterly report on Form 10 K. Net loss for RNG Fuel includes our portion of net income on our equity method investments.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Loss on debt extinguishment relates to assignment of our senior secured credit facility to Paragon and debt restructuring related to OPAL Term Loan.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Includes interest, depreciation, amortization and accretion on equity method investments.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Unrealized (gain) loss on derivative instruments includes change in fair value of interest rate swaps, commodity swaps, earnout liabilities and put option on a forward purchase agreement.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20"/>
        </w:rPr>
        <w:t xml:space="preserve">Non-cash charges include stock-based compensation expense, certain expenses included in selling, general and administrative expenses relating to employee benefit accruals, inventory write down charges included in cost of sales - RNG fuel and loss on disposal of assets.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13"/>
        </w:rPr>
        <w:t xml:space="preserve">(6) </w:t>
      </w:r>
      <w:r>
        <w:rPr>
          <w:rFonts w:ascii="Times New Roman;sans-serif" w:hAnsi="Times New Roman;sans-serif"/>
          <w:b w:val="false"/>
          <w:color w:val="000000"/>
          <w:sz w:val="20"/>
        </w:rPr>
        <w:t>One-time non-recurring charges include (i) certain expenses related to development expenses on our RNG facilities such as lease expenses and virtual pipeline costs, incurred during construction phase that could not be capitalized per GAAP for the year ended December 31, 2023, and (ii) transaction costs relating to the Business Combination for the year ended December 31, 2022.</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7330</Words>
  <Characters>41670</Characters>
  <CharactersWithSpaces>48475</CharactersWithSpaces>
  <Paragraphs>1373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