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255270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00" w:right="500" w:hanging="424"/>
        <w:spacing w:after="0" w:line="236" w:lineRule="auto"/>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43" w:lineRule="exact"/>
        <w:rPr>
          <w:sz w:val="24"/>
          <w:szCs w:val="24"/>
          <w:color w:val="auto"/>
        </w:rPr>
      </w:pPr>
    </w:p>
    <w:p>
      <w:pPr>
        <w:ind w:left="600" w:right="40" w:hanging="424"/>
        <w:spacing w:after="0" w:line="256" w:lineRule="auto"/>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jc w:val="center"/>
        <w:ind w:right="60"/>
        <w:spacing w:after="0"/>
        <w:tabs>
          <w:tab w:leader="none" w:pos="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200"/>
          </w:cols>
          <w:pgMar w:left="260" w:top="230"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001-40272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98-1578357</w:t>
      </w:r>
    </w:p>
    <w:p>
      <w:pPr>
        <w:spacing w:after="0" w:line="31" w:lineRule="exact"/>
        <w:rPr>
          <w:sz w:val="24"/>
          <w:szCs w:val="24"/>
          <w:color w:val="auto"/>
        </w:rPr>
      </w:pPr>
    </w:p>
    <w:p>
      <w:pPr>
        <w:sectPr>
          <w:pgSz w:w="11900" w:h="16838" w:orient="portrait"/>
          <w:cols w:equalWidth="0" w:num="3">
            <w:col w:w="4680" w:space="720"/>
            <w:col w:w="2880" w:space="720"/>
            <w:col w:w="2200"/>
          </w:cols>
          <w:pgMar w:left="260" w:top="230" w:right="439" w:bottom="1440" w:gutter="0" w:footer="0" w:header="0"/>
          <w:type w:val="continuous"/>
        </w:sectPr>
      </w:pPr>
    </w:p>
    <w:p>
      <w:pPr>
        <w:spacing w:after="0" w:line="12" w:lineRule="exact"/>
        <w:rPr>
          <w:sz w:val="24"/>
          <w:szCs w:val="24"/>
          <w:color w:val="auto"/>
        </w:rPr>
      </w:pPr>
    </w:p>
    <w:p>
      <w:pPr>
        <w:ind w:left="1140"/>
        <w:spacing w:after="0"/>
        <w:rPr>
          <w:sz w:val="20"/>
          <w:szCs w:val="20"/>
          <w:color w:val="auto"/>
        </w:rPr>
      </w:pPr>
      <w:r>
        <w:rPr>
          <w:rFonts w:ascii="Arial" w:cs="Arial" w:eastAsia="Arial" w:hAnsi="Arial"/>
          <w:sz w:val="13"/>
          <w:szCs w:val="13"/>
          <w:b w:val="1"/>
          <w:bCs w:val="1"/>
          <w:color w:val="auto"/>
        </w:rPr>
        <w:t>(State or other jurisdiction of</w:t>
      </w:r>
    </w:p>
    <w:p>
      <w:pPr>
        <w:ind w:left="11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240" w:space="720"/>
            <w:col w:w="3040" w:space="720"/>
            <w:col w:w="2480"/>
          </w:cols>
          <w:pgMar w:left="260" w:top="230" w:right="439" w:bottom="1440" w:gutter="0" w:footer="0" w:header="0"/>
          <w:type w:val="continuous"/>
        </w:sectPr>
      </w:pPr>
    </w:p>
    <w:p>
      <w:pPr>
        <w:spacing w:after="0" w:line="30"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200 Clarendon Street, 55th Floor Boston, MA</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02116</w:t>
      </w:r>
    </w:p>
    <w:p>
      <w:pPr>
        <w:spacing w:after="0" w:line="61" w:lineRule="exact"/>
        <w:rPr>
          <w:sz w:val="24"/>
          <w:szCs w:val="24"/>
          <w:color w:val="auto"/>
        </w:rPr>
      </w:pPr>
    </w:p>
    <w:p>
      <w:pPr>
        <w:sectPr>
          <w:pgSz w:w="11900" w:h="16838" w:orient="portrait"/>
          <w:cols w:equalWidth="0" w:num="2">
            <w:col w:w="7580" w:space="720"/>
            <w:col w:w="2900"/>
          </w:cols>
          <w:pgMar w:left="260" w:top="230" w:right="439" w:bottom="1440" w:gutter="0" w:footer="0" w:header="0"/>
          <w:type w:val="continuous"/>
        </w:sectPr>
      </w:pPr>
    </w:p>
    <w:p>
      <w:pPr>
        <w:ind w:left="17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3020"/>
          </w:cols>
          <w:pgMar w:left="260" w:top="230" w:right="43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(617) 531-6300</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8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Title of Each Class:</w:t>
            </w:r>
          </w:p>
        </w:tc>
        <w:tc>
          <w:tcPr>
            <w:tcW w:w="480" w:type="dxa"/>
            <w:vAlign w:val="bottom"/>
          </w:tcPr>
          <w:p>
            <w:pPr>
              <w:spacing w:after="0"/>
              <w:rPr>
                <w:sz w:val="14"/>
                <w:szCs w:val="14"/>
                <w:color w:val="auto"/>
              </w:rPr>
            </w:pPr>
          </w:p>
        </w:tc>
        <w:tc>
          <w:tcPr>
            <w:tcW w:w="3640" w:type="dxa"/>
            <w:vAlign w:val="bottom"/>
            <w:gridSpan w:val="4"/>
            <w:vMerge w:val="restart"/>
          </w:tcPr>
          <w:p>
            <w:pPr>
              <w:jc w:val="center"/>
              <w:ind w:right="1080"/>
              <w:spacing w:after="0"/>
              <w:rPr>
                <w:sz w:val="20"/>
                <w:szCs w:val="20"/>
                <w:color w:val="auto"/>
              </w:rPr>
            </w:pPr>
            <w:r>
              <w:rPr>
                <w:rFonts w:ascii="Arial" w:cs="Arial" w:eastAsia="Arial" w:hAnsi="Arial"/>
                <w:sz w:val="14"/>
                <w:szCs w:val="14"/>
                <w:b w:val="1"/>
                <w:bCs w:val="1"/>
                <w:color w:val="auto"/>
                <w:w w:val="94"/>
              </w:rPr>
              <w:t>Trading Symbol:</w:t>
            </w:r>
          </w:p>
        </w:tc>
        <w:tc>
          <w:tcPr>
            <w:tcW w:w="3040" w:type="dxa"/>
            <w:vAlign w:val="bottom"/>
            <w:gridSpan w:val="2"/>
          </w:tcPr>
          <w:p>
            <w:pPr>
              <w:jc w:val="center"/>
              <w:ind w:right="410"/>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640" w:type="dxa"/>
            <w:vAlign w:val="bottom"/>
            <w:gridSpan w:val="4"/>
            <w:vMerge w:val="continue"/>
          </w:tcPr>
          <w:p>
            <w:pPr>
              <w:spacing w:after="0"/>
              <w:rPr>
                <w:sz w:val="16"/>
                <w:szCs w:val="16"/>
                <w:color w:val="auto"/>
              </w:rPr>
            </w:pPr>
          </w:p>
        </w:tc>
        <w:tc>
          <w:tcPr>
            <w:tcW w:w="3040" w:type="dxa"/>
            <w:vAlign w:val="bottom"/>
            <w:gridSpan w:val="2"/>
          </w:tcPr>
          <w:p>
            <w:pPr>
              <w:jc w:val="center"/>
              <w:ind w:right="410"/>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Units, each consisting of one Class A Ordinary</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10"/>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Share, $0.0001 par value, and one-fifth of one</w:t>
            </w: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A ordinary shares included as part of the</w:t>
            </w:r>
          </w:p>
        </w:tc>
        <w:tc>
          <w:tcPr>
            <w:tcW w:w="480" w:type="dxa"/>
            <w:vAlign w:val="bottom"/>
          </w:tcPr>
          <w:p>
            <w:pPr>
              <w:spacing w:after="0"/>
              <w:rPr>
                <w:sz w:val="18"/>
                <w:szCs w:val="18"/>
                <w:color w:val="auto"/>
              </w:rPr>
            </w:pPr>
          </w:p>
        </w:tc>
        <w:tc>
          <w:tcPr>
            <w:tcW w:w="364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rPr>
              <w:t>ACTD</w:t>
            </w:r>
          </w:p>
        </w:tc>
        <w:tc>
          <w:tcPr>
            <w:tcW w:w="304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included as part of the units, each</w:t>
            </w:r>
          </w:p>
        </w:tc>
        <w:tc>
          <w:tcPr>
            <w:tcW w:w="480" w:type="dxa"/>
            <w:vAlign w:val="bottom"/>
          </w:tcPr>
          <w:p>
            <w:pPr>
              <w:spacing w:after="0"/>
              <w:rPr>
                <w:sz w:val="18"/>
                <w:szCs w:val="18"/>
                <w:color w:val="auto"/>
              </w:rPr>
            </w:pPr>
          </w:p>
        </w:tc>
        <w:tc>
          <w:tcPr>
            <w:tcW w:w="364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rPr>
              <w:t>ACTDW</w:t>
            </w:r>
          </w:p>
        </w:tc>
        <w:tc>
          <w:tcPr>
            <w:tcW w:w="304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whole warrant exercisable for one Class A</w:t>
            </w: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Ordinary Share at an exercise price of $11.50</w:t>
            </w: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80" w:type="dxa"/>
            <w:vAlign w:val="bottom"/>
            <w:gridSpan w:val="7"/>
          </w:tcPr>
          <w:p>
            <w:pPr>
              <w:ind w:left="3080"/>
              <w:spacing w:after="0"/>
              <w:rPr>
                <w:sz w:val="20"/>
                <w:szCs w:val="20"/>
                <w:color w:val="auto"/>
              </w:rPr>
            </w:pPr>
            <w:r>
              <w:rPr>
                <w:rFonts w:ascii="Arial" w:cs="Arial" w:eastAsia="Arial" w:hAnsi="Arial"/>
                <w:sz w:val="18"/>
                <w:szCs w:val="18"/>
                <w:b w:val="1"/>
                <w:bCs w:val="1"/>
                <w:color w:val="auto"/>
                <w:w w:val="89"/>
              </w:rPr>
              <w:t>Securities registered pursuant to Section 12(g) of the Act: None</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40" w:type="dxa"/>
            <w:vAlign w:val="bottom"/>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880" w:type="dxa"/>
            <w:vAlign w:val="bottom"/>
            <w:gridSpan w:val="4"/>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540" w:type="dxa"/>
            <w:vAlign w:val="bottom"/>
            <w:gridSpan w:val="8"/>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4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9540" w:type="dxa"/>
            <w:vAlign w:val="bottom"/>
            <w:gridSpan w:val="8"/>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Exchange Act.</w:t>
            </w:r>
          </w:p>
        </w:tc>
        <w:tc>
          <w:tcPr>
            <w:tcW w:w="14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00"/>
          </w:cols>
          <w:pgMar w:left="26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left="180"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lef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18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180"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180"/>
        <w:spacing w:after="0" w:line="207" w:lineRule="exact"/>
        <w:tabs>
          <w:tab w:leader="none" w:pos="8500" w:val="left"/>
          <w:tab w:leader="none" w:pos="92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on December 31, 2021, computed by reference to the closing price for such stock on The Nasdaq Stock Market LLC on such date, was $310,540,723.90.</w:t>
      </w:r>
    </w:p>
    <w:p>
      <w:pPr>
        <w:spacing w:after="0" w:line="170"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color w:val="auto"/>
        </w:rPr>
        <w:t>As of March 9, 2022, 31,116,305 shares of Class A ordinary shares, par value $0.0001, and 7,779,076 shares of Class B ordinary shares, par value $0.0001, were issued and outstanding.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80"/>
          </w:cols>
          <w:pgMar w:left="260" w:top="48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80" w:type="dxa"/>
            <w:vAlign w:val="bottom"/>
            <w:gridSpan w:val="3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0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0" w:type="dxa"/>
            <w:vAlign w:val="bottom"/>
            <w:gridSpan w:val="10"/>
          </w:tcPr>
          <w:p>
            <w:pPr>
              <w:ind w:left="7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578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CAUTIONARY NOTE REGARDING FORWARD-LOOKING STATEMENTS</w:t>
              </w:r>
            </w:hyperlink>
          </w:p>
        </w:tc>
        <w:tc>
          <w:tcPr>
            <w:tcW w:w="468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120" w:type="dxa"/>
            <w:vAlign w:val="bottom"/>
          </w:tcPr>
          <w:p>
            <w:pPr>
              <w:spacing w:after="0"/>
              <w:rPr>
                <w:sz w:val="17"/>
                <w:szCs w:val="17"/>
                <w:color w:val="auto"/>
              </w:rPr>
            </w:pPr>
          </w:p>
        </w:tc>
        <w:tc>
          <w:tcPr>
            <w:tcW w:w="10460" w:type="dxa"/>
            <w:vAlign w:val="bottom"/>
            <w:gridSpan w:val="3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 OF RISK FACTORS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PART I</w:t>
              </w:r>
            </w:hyperlink>
          </w:p>
        </w:tc>
        <w:tc>
          <w:tcPr>
            <w:tcW w:w="1940" w:type="dxa"/>
            <w:vAlign w:val="bottom"/>
            <w:tcBorders>
              <w:top w:val="single" w:sz="8" w:color="0000EE"/>
            </w:tcBorders>
            <w:gridSpan w:val="9"/>
          </w:tcPr>
          <w:p>
            <w:pPr>
              <w:spacing w:after="0"/>
              <w:rPr>
                <w:sz w:val="17"/>
                <w:szCs w:val="17"/>
                <w:color w:val="auto"/>
              </w:rPr>
            </w:pPr>
          </w:p>
        </w:tc>
        <w:tc>
          <w:tcPr>
            <w:tcW w:w="798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ITEM 1. BUSINESS</w:t>
              </w:r>
            </w:hyperlink>
          </w:p>
        </w:tc>
        <w:tc>
          <w:tcPr>
            <w:tcW w:w="876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ITEM 1B. UNRESOLVED STAFF COMMENTS</w:t>
              </w:r>
            </w:hyperlink>
          </w:p>
        </w:tc>
        <w:tc>
          <w:tcPr>
            <w:tcW w:w="668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2. PROPERTIES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ITEM 3. LEGAL PROCEEDINGS</w:t>
              </w:r>
            </w:hyperlink>
          </w:p>
        </w:tc>
        <w:tc>
          <w:tcPr>
            <w:tcW w:w="774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ITEM 4. MINE SAFETY DISCLOSURES</w:t>
              </w:r>
            </w:hyperlink>
          </w:p>
        </w:tc>
        <w:tc>
          <w:tcPr>
            <w:tcW w:w="718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2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PART II</w:t>
              </w:r>
            </w:hyperlink>
          </w:p>
        </w:tc>
        <w:tc>
          <w:tcPr>
            <w:tcW w:w="9860" w:type="dxa"/>
            <w:vAlign w:val="bottom"/>
            <w:gridSpan w:val="2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tcBorders>
              <w:bottom w:val="single" w:sz="8" w:color="0000EE"/>
            </w:tcBorders>
            <w:gridSpan w:val="30"/>
          </w:tcPr>
          <w:p>
            <w:pPr>
              <w:spacing w:after="0" w:line="19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ITEM 5. MARKET FOR REGISTRANT’S COMMON EQUITY, RELATED STOCKHOLDER MATTERS AND ISSUER PURCHASES OF</w:t>
              </w:r>
            </w:hyperlink>
          </w:p>
        </w:tc>
        <w:tc>
          <w:tcPr>
            <w:tcW w:w="5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EQUITY SECURITIES</w:t>
              </w:r>
            </w:hyperlink>
          </w:p>
        </w:tc>
        <w:tc>
          <w:tcPr>
            <w:tcW w:w="8360" w:type="dxa"/>
            <w:vAlign w:val="bottom"/>
            <w:gridSpan w:val="2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6. SELECTED FINANCIAL DATA</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8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ITEM 7. MANAGEMENT’S DISCUSSION AND ANALYSIS OF FINANCIAL CONDITION AND RESULTS OF OPERATIONS</w:t>
              </w:r>
            </w:hyperlink>
          </w:p>
        </w:tc>
        <w:tc>
          <w:tcPr>
            <w:tcW w:w="70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7A. Quantitative and Qualitative Disclosures about Market Risk</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Item 8. Financial Statements and Supplementary Data</w:t>
              </w:r>
            </w:hyperlink>
          </w:p>
        </w:tc>
        <w:tc>
          <w:tcPr>
            <w:tcW w:w="1100" w:type="dxa"/>
            <w:vAlign w:val="bottom"/>
            <w:tcBorders>
              <w:top w:val="single" w:sz="8" w:color="0000EE"/>
            </w:tcBorders>
            <w:gridSpan w:val="2"/>
          </w:tcPr>
          <w:p>
            <w:pPr>
              <w:spacing w:after="0"/>
              <w:rPr>
                <w:sz w:val="17"/>
                <w:szCs w:val="17"/>
                <w:color w:val="auto"/>
              </w:rPr>
            </w:pPr>
          </w:p>
        </w:tc>
        <w:tc>
          <w:tcPr>
            <w:tcW w:w="530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60" w:type="dxa"/>
            <w:vAlign w:val="bottom"/>
            <w:tcBorders>
              <w:bottom w:val="single" w:sz="8" w:color="0000EE"/>
            </w:tcBorders>
            <w:gridSpan w:val="28"/>
          </w:tcPr>
          <w:p>
            <w:pPr>
              <w:spacing w:after="0" w:line="196"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ITEM 9. CHANGES IN AND DISAGREEMENTS WITH ACCOUNTANTS ON ACCOUNTING AND FINANCIAL DISCLOSURE</w:t>
              </w:r>
            </w:hyperlink>
          </w:p>
        </w:tc>
        <w:tc>
          <w:tcPr>
            <w:tcW w:w="52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9A. CONTROLS AND PROCEDURES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9B. OTHER INFORMATION</w:t>
              </w:r>
            </w:hyperlink>
          </w:p>
        </w:tc>
        <w:tc>
          <w:tcPr>
            <w:tcW w:w="690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ITEM 9C. Disclosure Regarding Foreign Jurisdictions that Prevent Inspections</w:t>
              </w:r>
            </w:hyperlink>
          </w:p>
        </w:tc>
        <w:tc>
          <w:tcPr>
            <w:tcW w:w="460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0">
              <w:r>
                <w:rPr>
                  <w:rFonts w:ascii="Arial" w:cs="Arial" w:eastAsia="Arial" w:hAnsi="Arial"/>
                  <w:sz w:val="18"/>
                  <w:szCs w:val="18"/>
                  <w:color w:val="0000EE"/>
                  <w:w w:val="94"/>
                </w:rPr>
                <w:t>PART III</w:t>
              </w:r>
            </w:hyperlink>
          </w:p>
        </w:tc>
        <w:tc>
          <w:tcPr>
            <w:tcW w:w="9800" w:type="dxa"/>
            <w:vAlign w:val="bottom"/>
            <w:gridSpan w:val="2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10. DIRECTORS, EXECUTIVE OFFICERS AND CORPORATE GOVERNANCE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11. EXECUTIVE COMPENSATION</w:t>
              </w:r>
            </w:hyperlink>
          </w:p>
        </w:tc>
        <w:tc>
          <w:tcPr>
            <w:tcW w:w="374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tcBorders>
              <w:bottom w:val="single" w:sz="8" w:color="0000EE"/>
            </w:tcBorders>
            <w:gridSpan w:val="29"/>
          </w:tcPr>
          <w:p>
            <w:pPr>
              <w:spacing w:after="0" w:line="196" w:lineRule="exact"/>
              <w:rPr>
                <w:rFonts w:ascii="Arial" w:cs="Arial" w:eastAsia="Arial" w:hAnsi="Arial"/>
                <w:sz w:val="18"/>
                <w:szCs w:val="18"/>
                <w:color w:val="0000EE"/>
                <w:w w:val="96"/>
              </w:rPr>
            </w:pPr>
            <w:hyperlink w:anchor="page89">
              <w:r>
                <w:rPr>
                  <w:rFonts w:ascii="Arial" w:cs="Arial" w:eastAsia="Arial" w:hAnsi="Arial"/>
                  <w:sz w:val="18"/>
                  <w:szCs w:val="18"/>
                  <w:color w:val="0000EE"/>
                  <w:w w:val="96"/>
                </w:rPr>
                <w:t>ITEM 12. SECURITY OWNERSHIP OF CERTAIN BENEFICIAL OWNERS AND MANAGEMENT AND RELATED STOCKHOLDER</w:t>
              </w:r>
            </w:hyperlink>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MATTERS</w:t>
              </w:r>
            </w:hyperlink>
          </w:p>
        </w:tc>
        <w:tc>
          <w:tcPr>
            <w:tcW w:w="928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ITEM 13. CERTAIN RELATIONSHIPS AND RELATED TRANSACTIONS, AND DIRECTOR INDEPENDENCE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ITEM 14. Principal Accounting Fees and Services</w:t>
              </w:r>
            </w:hyperlink>
          </w:p>
        </w:tc>
        <w:tc>
          <w:tcPr>
            <w:tcW w:w="4820" w:type="dxa"/>
            <w:vAlign w:val="bottom"/>
            <w:tcBorders>
              <w:top w:val="single" w:sz="8" w:color="0000EE"/>
            </w:tcBorders>
            <w:gridSpan w:val="7"/>
          </w:tcPr>
          <w:p>
            <w:pPr>
              <w:spacing w:after="0"/>
              <w:rPr>
                <w:sz w:val="17"/>
                <w:szCs w:val="17"/>
                <w:color w:val="auto"/>
              </w:rPr>
            </w:pPr>
          </w:p>
        </w:tc>
        <w:tc>
          <w:tcPr>
            <w:tcW w:w="184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20" w:type="dxa"/>
            <w:vAlign w:val="bottom"/>
          </w:tcPr>
          <w:p>
            <w:pPr>
              <w:spacing w:after="0"/>
              <w:rPr>
                <w:sz w:val="17"/>
                <w:szCs w:val="17"/>
                <w:color w:val="auto"/>
              </w:rPr>
            </w:pPr>
          </w:p>
        </w:tc>
        <w:tc>
          <w:tcPr>
            <w:tcW w:w="10460" w:type="dxa"/>
            <w:vAlign w:val="bottom"/>
            <w:gridSpan w:val="3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PART IV</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94">
              <w:r>
                <w:rPr>
                  <w:rFonts w:ascii="Arial" w:cs="Arial" w:eastAsia="Arial" w:hAnsi="Arial"/>
                  <w:sz w:val="18"/>
                  <w:szCs w:val="18"/>
                  <w:color w:val="0000EE"/>
                  <w:w w:val="96"/>
                </w:rPr>
                <w:t>ITEM 15. EXHIBITS, FINANCIAL STATEMENTS SCHEDULES</w:t>
              </w:r>
            </w:hyperlink>
          </w:p>
        </w:tc>
        <w:tc>
          <w:tcPr>
            <w:tcW w:w="538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ITEM 16. FORM 10-K SUMMARY</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73"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TERMS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Unless otherwise stated in this Annual Report on Form 10-K (this “Report”), or the context otherwise requires, references to:</w:t>
      </w:r>
    </w:p>
    <w:p>
      <w:pPr>
        <w:spacing w:after="0" w:line="131" w:lineRule="exact"/>
        <w:rPr>
          <w:sz w:val="20"/>
          <w:szCs w:val="20"/>
          <w:color w:val="auto"/>
        </w:rPr>
      </w:pPr>
    </w:p>
    <w:p>
      <w:pPr>
        <w:ind w:left="1080" w:right="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and restated memorandum and articles of association” are to the amended and restated memorandum and articles of association that the company adopted prior to the consummation of our initial public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“Companies Law” are to the Cayman Islands Companies Act as the same may be amended from time to time;</w:t>
      </w:r>
    </w:p>
    <w:p>
      <w:pPr>
        <w:spacing w:after="0" w:line="130" w:lineRule="exact"/>
        <w:rPr>
          <w:rFonts w:ascii="Arial" w:cs="Arial" w:eastAsia="Arial" w:hAnsi="Arial"/>
          <w:sz w:val="18"/>
          <w:szCs w:val="18"/>
          <w:color w:val="auto"/>
        </w:rPr>
      </w:pPr>
    </w:p>
    <w:p>
      <w:pPr>
        <w:jc w:val="both"/>
        <w:ind w:left="1080" w:right="40" w:hanging="424"/>
        <w:spacing w:after="0" w:line="31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“founder shares” are to our ArcLight Class B ordinary shares initially issued to our sponsor in a private placement prior to our IPO and the ArcLight Class A ordinary shares that will be issued upon the automatic conversion of the ArcLight Class B ordinary shares at the time of our initial business combination (for the avoidance of doubt, such ArcLight Class A ordinary shares were not “public shares”);</w:t>
      </w:r>
    </w:p>
    <w:p>
      <w:pPr>
        <w:spacing w:after="0" w:line="54"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“IPO” are to ArcLight’s initial public offering of its public shares and public warrants pursuant to the IPO Registration Statement and completed on March 25,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or our “management team” are to our executive officers and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shares” are to our ArcLight Class A ordinary shares and our ArcLight Class B ordinary shares;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are to the warrants issued to our sponsor in a private placement simultaneously with the closing of our IPO and upon conversion of working capital loans, if any;</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shares” are to our ArcLight Class A ordinary shares sold as part of the units in our IPO (whether they are purchased in our IPO or thereafter in the open market);</w:t>
      </w:r>
    </w:p>
    <w:p>
      <w:pPr>
        <w:spacing w:after="0" w:line="75"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shareholders” are to the holders of our public shares, including our sponsor and management team to the extent our sponsor and/or members of our management team purchase public shares, provided that our sponsor’s and each member of our management team’s status as a “public shareholder” will only exist with respect to such public shares;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are to ArcLight CTC Holdings II, L.P., a Delaware limited partnership;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“company” or “our company” are to ArcLight Clean Transition Corp. II, a Cayman Islands exempted company.</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forfeiture of shares described in this Report will take effect as a surrender of shares for no consideration of such shares as a matter of Cayman Islands law. Any conversion of the ArcLight Class B ordinary shares described in this Report will take effect as a compulsory redemption of ArcLight Class B ordinary shares and an issuance of ArcLight Class A ordinary shares as a matter of Cayman Islands law. Any share dividends described in this Report will take effect as share capitalizations as a matter of Cayman Islands law.</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86"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This Report, including, without limitation, statements under the heading “Item 7.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w:t>
      </w:r>
    </w:p>
    <w:p>
      <w:pPr>
        <w:spacing w:after="0" w:line="102" w:lineRule="exact"/>
        <w:rPr>
          <w:sz w:val="20"/>
          <w:szCs w:val="20"/>
          <w:color w:val="auto"/>
        </w:rPr>
      </w:pPr>
    </w:p>
    <w:p>
      <w:pPr>
        <w:ind w:left="1080" w:right="2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complete our proposed initial business combination with OPAL Fuels LLC, a Delaware limited liability company (“OPAL Fuels”) or any other initial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around the performance of OPAL Fuels or any other prospective target business or businesses;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pool of prospective target businesses if we do not complete our proposed business combination with OPAL Fuels;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consummate an initial business combination due to the uncertainty resulting from the recent COVID-19 pandemic;</w:t>
      </w:r>
    </w:p>
    <w:p>
      <w:pPr>
        <w:spacing w:after="0" w:line="142" w:lineRule="exact"/>
        <w:rPr>
          <w:rFonts w:ascii="Arial" w:cs="Arial" w:eastAsia="Arial" w:hAnsi="Arial"/>
          <w:sz w:val="17"/>
          <w:szCs w:val="17"/>
          <w:color w:val="auto"/>
        </w:rPr>
      </w:pPr>
    </w:p>
    <w:p>
      <w:pPr>
        <w:ind w:left="1080" w:right="4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additional potential business combination opportunities if we do not complete our proposed business combination with OPAL Fuels;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securities’ liquidity and trading;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contained herein, whether as a result of new information, future events or otherwise, except as may be required under applicable securities laws.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86"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is a summary of the principal risks described below in Part I, Item 1A “Risk Factors” in this Annual Report on Form 10-K.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 on Form 10-K.</w:t>
      </w:r>
    </w:p>
    <w:p>
      <w:pPr>
        <w:spacing w:after="0" w:line="63" w:lineRule="exact"/>
        <w:rPr>
          <w:sz w:val="20"/>
          <w:szCs w:val="20"/>
          <w:color w:val="auto"/>
        </w:rPr>
      </w:pPr>
    </w:p>
    <w:p>
      <w:pPr>
        <w:ind w:left="1080" w:right="1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Combination Agreement and Business Combination are subject to conditions, including certain conditions that may not be satisfied on a timely basis, if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no operating history and no revenues, and you have no basis on which to evaluate our ability to achieve our business objective.</w:t>
      </w:r>
    </w:p>
    <w:p>
      <w:pPr>
        <w:spacing w:after="0" w:line="153"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Past performance by our management team (including with respect to ACTC I), ArcLight Capital and CAMS or their respective affiliates may not be indicative of future performance of an investment in us.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public shareholders to exercise redemption rights with respect to a large number of our shares may not allow us to complete the most desirable business combination or optimize our capital structure.</w:t>
      </w:r>
    </w:p>
    <w:p>
      <w:pPr>
        <w:spacing w:after="0" w:line="75"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51" w:lineRule="exact"/>
        <w:rPr>
          <w:rFonts w:ascii="Arial" w:cs="Arial" w:eastAsia="Arial" w:hAnsi="Arial"/>
          <w:sz w:val="17"/>
          <w:szCs w:val="17"/>
          <w:color w:val="auto"/>
        </w:rPr>
      </w:pPr>
    </w:p>
    <w:p>
      <w:pPr>
        <w:ind w:left="1080" w:right="220" w:hanging="424"/>
        <w:spacing w:after="0" w:line="25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not able to complete the Business Combination with OPAL Fuels nor able to complete another business combination by March 25, 2023, in each case, as such date may be extended pursuant to our amended and restated memorandum and articles of association, we would cease all operations except for the purpose of winding up and we would redeem our ArcLight Class A ordinary shares and liquidate the Trust Account, in which case our public shareholders may only receive approximately $10.00 per share and our public warrants will expire worthless.</w:t>
      </w:r>
    </w:p>
    <w:p>
      <w:pPr>
        <w:spacing w:after="0" w:line="93"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our sponsor, directors, executive officers, advisors and their affiliates may elect to purchase public shares or warrants, which may influence a vote on a proposed business combination and reduce the public “float” of our Class A ordinary shares or public warrants.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8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 shareholder fails to receive notice of our offer to redeem our public shares in connection with the initial business combination, or fails to comply with the procedures for tendering its shares, such shares may not be redeemed.</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and we do not conduct redemptions pursuant to the tender offer rules, and if you or a “group” of shareholders are deemed to hold in excess of 15% of ArcLight Class A ordinary shares, you will lose the ability to redeem all such shares in excess of 15% of ArcLight Class A ordinary shares.</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our initial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92"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net proceeds of our IPO and the sale of the private placement warrants not being held in the Trust Account are insufficient to allow us to operate for the 24 months from the closing of our IPO, it could limit the amount available to fund our search for a target business or businesses and our ability to complete our initial business combination, and we will depend on loans from our sponsor, its affiliates or members of our management team to fund our search and to complete our initial business combination.</w:t>
      </w:r>
    </w:p>
    <w:p>
      <w:pPr>
        <w:spacing w:after="0" w:line="76"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third parties bring claims against us, the proceeds held in the Trust Account could be reduced and the per-share redemption amount received by shareholders may be less than $10.00 per public share.</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directors may decide not to enforce the indemnification obligations of our sponsor, resulting in a reduction in the amount of funds in the Trust Account available for distribution to our public shareholders.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after we distribute the proceeds in the Trust Account to our public shareholders, we file a bankruptcy or insolvency or an involuntary bankruptcy or insolvency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60"/>
          </w:cols>
          <w:pgMar w:left="320" w:top="486"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ArcLight Clean Transition Corp. II (“ArcLight”) is a blank check company incorporated as a Cayman Islands exempted entity for the purpose of effecting a merger, share exchange, asset acquisition, share purchase, reorganization or similar business combination with one or more businesses or entities, which we refer to throughout this Annual Report on Form 10-K as our initial business combination.</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intend to pursue opportunities created by the accelerating transition toward sustainable use of energy and natural resources. The renewable energy sector has emerged from a niche source of electricity to be the key driver of growth in the industry, with an estimated $1.5 trillion invested globally between 2015 through 2019 according to IEA. Our sponsor has been a leader in identifying this trend and making investments in the renewable energy sector. Our primary areas of focus include products, equipment, services and technologies enabling the continued decarbonization of the economy. We plan to target companies that serve rapidly growing segments in the clean energy ecosystem, including renewable power generation, energy storage, the distributed electrical grid, zero-emission transportation, renewable fuels, carbon capture, utilization and storage, zero/low-carbon industrial applications and sustainable manufacturing. We believe that market leaders within these high-impact segments can deliver superior long-term returns to equity investors.</w:t>
      </w:r>
    </w:p>
    <w:p>
      <w:pPr>
        <w:spacing w:after="0" w:line="17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sponsor is an affiliate of ArcLight Capital Partners, LLC (“ArcLight Capital”), one of the leading private equity firms focused on energy infrastructure investments in North America. Since its inception, ArcLight Capital has been at the forefront of the energy transition, investing $25 billion in 113 platform investments across the energy infrastructure landscape, including approximately 5 gigawatts of renewable generation as well as critical assets within the U.S. electric grid. ArcLight Capital also has extensive exposure to the transportation sector through its investments in multiple fuel supply and logistics companies. ArcLight Capital’s joint venture and transaction counterparties range from some of the largest global corporations to privately-held, entrepreneur-led businesses. We expect that ArcLight Capital’s long-standing operational partner, Consolidated Asset Management Services, LLC (“CAMS”), which is minority-owned by an affiliate of ArcLight Capital and which has a 12 year working relationship with ArcLight Capital, will bring to bear its experience in providing information technology, environmental health and safety, engineering, due diligence and general operating services to the renewable energy sector, as well as its relationships with an extensive network of equipment, services and software providers.</w:t>
      </w:r>
    </w:p>
    <w:p>
      <w:pPr>
        <w:spacing w:after="0" w:line="166"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We are confident that our sponsor’s extensive track record, established investment team, broad industry relationships and deal-making capabilities give us a distinct advantage to capitalize on the long-term opportunities created by the ongoing transition toward a clean energy economy.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Business Combination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December 2, 2021, we entered into a Business Combination Agreement (as it may be amended, supplemented or otherwise modified from time to time, the “Business Combination Agreement”), by and among Opal HoldCo LLC, a Delaware limited liability company (“OPAL HoldCo”) and Opal Fuels LLC, a Delaware limited liability company (“OPAL Fuels”).</w:t>
      </w:r>
    </w:p>
    <w:p>
      <w:pPr>
        <w:spacing w:after="0" w:line="184"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Business Combination Agreement and the transactions contemplated thereby (collectively, the “Business Combination”) were unanimously approved by the boards of directors of each of ArcLight and OPAL Fuels and also approved by OPAL HoldCo, the sole member of OPAL Fuels. The Business Combination Agreement provides for, among other things, the following transactions: (i) each outstanding ArcLight Class B ordinary share, par value $0.0001 per share, will convert into one ArcLight Class A ordinary share, par value $0.0001 per share; (ii) ArcLight will change the jurisdiction of its incorporation by deregistering as an exempted company in the Cayman Islands and domesticating to, and continuing as a corporation incorporated under the laws of, the State of Delaware (the “Domestication”) and, in connection with the Domestication (A) ArcLight’s name will be changed to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“Opal Fuels Inc.” (“New OPAL”), (B) each outstanding ArcLight Class A ordinary share will become one share of Class A common stock, par value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$0.0001 per share, of New OPAL (the “New OPAL Class A Common Stock”), (C) each outstanding warrant to purchase one ArcLight Class A ordinary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 will become a warrant to purchase one share of New OPAL Class A Common Stock and (D) New OPAL will file its certificate of incorporation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adopt bylaws to serve as its governing documents in connection with the Domestication; and (iii) (A) OPAL Fuels will cause its existing limited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liability company agreement to be amended and restated, (B) OPAL Fuels will cause all of its limited liability company interests existing immediately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prior to the closing of the Business Combination (the “Closing”) to be re-classified into a number of common units (collectively, the OPAL Units”)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based on a pre-transaction equity value for OPAL Fuels equal to $1,501,870,000, less all principal and accrued interest outstanding immediately after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Closing pursuant to that certain convertible promissory note, dated as of May 1, 2021 (as amended, including that certain First Amendment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 Note, dated November 29, 2021”), held by ARCC Beacon LLC, a Delaware limited liability company (“Ares”), (C) ArcLight will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contribute (x) the amount of cash in the Trust Account established by ArcLight with the proceeds from its IPO (the “IPO”) as of immediately prior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Closing (and before, for the avoidance of doubt, giving effect to the exercise of redemption rights by any ArcLight shareholders (the “Public</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 Redemptions”)), minus (y) the aggregate amount of cash required to fund the ArcLight Class A ordinary share redemptions and any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obligations to be funded from the Trust Account, plus (z) the aggregate cash proceeds actually received in respect of the PIPE Investment (as defined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below) and (D) New OPAL will issue to OPAL Fuels, and OPAL Fuels will in turn distribute to OPAL HoldCo and Hillman RNG Investments, LLC</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(“Hillman”) a number of shares of Class D common stock, par value $0.0001 per share of New OPAL (the “New OPAL Class D Common Stock”),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distribute to Ares (together with OPAL HoldCo and Hillman, collectively, the “OPAL Equityholders”) shares of Class B common stock, par value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$0.0001 per share, of New OPAL (the “New OPAL Class B Common Stock”) (neither of which will have any economic value but will entitle the holder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thereof to five votes per share or one vote per share, respectively), equal to the number of OPAL Units held by each of the OPAL Equityholders.</w:t>
      </w:r>
    </w:p>
    <w:p>
      <w:pPr>
        <w:spacing w:after="0" w:line="222"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Immediately prior to the Closing, ArcLight will effect the Domestication pursuant to which (a) each ArcLight Class A ordinary share and each ArcLight Class B ordinary share will automatically convert into one share of Class A common stock of ArcLight and (b) the outstanding warrants to purchase ArcLight Class A ordinary shares will automatically become exercisable for Class A common stock of ArcLight.</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Following the Business Combination, the combined company will be organized in an “Up-C” structure, such that OPAL Fuels and the subsidiaries of OPAL Fuels will hold and operate substantially all of the assets and business of New OPAL, and New OPAL will be a publicly listed holding company that will hold equity interests in OPAL Fuels.</w:t>
      </w:r>
    </w:p>
    <w:p>
      <w:pPr>
        <w:spacing w:after="0" w:line="184"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For additional information regarding Opal Fuels, the Business Combination and the transactions contemplated thereby, see the registration statement on Form S-4 containing a preliminary proxy statement and a preliminary prospectus of ArcLight initially filed with the Securities and Exchange Commission on February 8, 2022.</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than as specifically discussed, this report does not assume the closing of the Business Combination.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believe that the inexorable global economic transition toward the sustainable use of energy and natural resources presents significant, attractive investment opportunities within existing and emerging industries. Between 2009 and 2019, global non-hydro renewables generation capacity grew by over 1,000 GW, increasing its share of power generation from approximately 3% to approximately 10% according to BP. We believe that over the coming decades the pace and scope of investments will continue to increase exponentially, as the urgency of decarbonizing the economy grows and the number of sectors ripe for transitioning to a sustainable model proliferates. Additionally, the regulatory frameworks incentivizing the adoption of sustainable practices and technologies, such as the European Union’s Action Plan on Financing Sustainable Growth and related Taxonomy Regulation, are expected to become increasingly favorable to the sectors that we are targeting over time. These trends provide long-term tailwinds for companies that develop assets and provide equipment, software and services, enabling an integrated approach to the continued decarbonization of the economy.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part of this transition, we expect rapidly growing penetration of intermittent renewable resources, distributed generation and storage, and power-intensive distributed applications such as charging stations, which will in turn require an increase in grid assets and technologies, both at the utility scale and at the edge of the network. These changes are poised to create opportunities for the providers of equipment, services and software that facilitate the efficient and customer-focused deployment and management of an evolving and growing electrical infrastructure network and the integration with legacy utility operations. Similarly, we anticipate large, sustained opportunities to deploy energy efficiency solutions as part of the upgrading of the building sector in the residential, commercial, industrial and public-sector end markets. We believe that similar opportunities will develop in the water, chemicals, industrial, construction and manufacturing sectors, all of which will require investment and expertise to develop tailored solutions.</w:t>
      </w:r>
    </w:p>
    <w:p>
      <w:pPr>
        <w:spacing w:after="0" w:line="19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also believe that the migration of the transportation sector toward zero-emission vehicles will spur investments in electric charging, hydrogen refueling and renewable-fuel production networks. Furthermore, the ongoing re-thinking of transportation across public, private and shared mobility solutions, combined with the advent of autonomous driving technologies, will create a paradigm shift on the technology and infrastructure required to support the circulation of passenger and commercial vehicles.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summary, we believe that innovative, well-managed, market leaders within these high-impact sectors can capitalize on rapid market adoption of technologies capable of enhancing operating efficiencies, performance and convenience to asset owners and end users, delivering superior long-term returns to equity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Sponsor</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ArcLight Capital is one of the leading firms focused on energy infrastructure investments in North America. Established in 2001 and based in Boston, Massachusetts, ArcLight Capital has invested $25 billion in 113 platform investments across the energy infrastructure landscape since inception. ArcLight’s investors include many of the largest pension funds, sovereign wealth funds, and endowments in the world. ArcLight Capital has a highly experienced investment team complemented by a broad range of in-house specialists and external advisers. We expect that ArcLight Capital’s resources will be made available to assist us in executing our initial business combination.</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Having recognized the value of sound stewardship and control, ArcLight Capital’s environmental, social and governance (“ESG”) policies and programs have been evolving since the formal adoption of its ESG Investment Guidelines in 2011. For example, in 2015, ArcLight Capital developed its formal ESG program and since that time has formed an ESG team that includes, from time to time, members of our investment, compliance, risk management, and investor relations teams. The ESG team works with ArcLight Capital’s broader team and investments to build ESG awareness and capacity, to gather and report on certain ESG data, and, in a manner consistent with its fiduciary duties to its investors, to identify opportunities to build ESG considerations into ArcLight Capital’s investment and management decisions.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ArcLight Clean Transition Corp. (“ACTC I”), an affiliate of our sponsor launched with a similar mission to ArcLight, announced a business combination with Proterra Inc. on January 12, 2021. Proterra Inc. is a leader in the design and manufacture of zero-emission electric transit vehicles and EV technology solutions for commercial applications. The transaction closed in the first half of 2021, highlighting ArcLight Capital’s connectivity and knowledge in the electric mobility space.</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ArcLight Capital has owned interests in approximately 5 gigawatts of renewable energy infrastructure, including, at the time of construction, the largest wind project ever developed in the U.S. ArcLight Capital recognized the importance of the clean energy transition early and deployed capital to support this core belief through multiple investments in renewables generation, electric grids, automotive refueling infrastructure and logistics. ArcLight Capital began investing in renewable energy in 2001 and has since invested $4 billion in 16 platforms representing 88 individual renewable projects, including: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Alta Wind: 1,550-megawatt wind development, the largest in the U.S. at the time of construction;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Terra-Gen: Developer, owner and operator of a 653-megawatt portfolio of utility-scale clean energy assets at the time of exit;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 River Hydro: 584-megawatt hydroelectric power platform, the largest in New England.</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ArcLight Capital also has differentiated insights into the electrical grid and the grid’s ongoing evolution to support the increased penetration of renewables and grid-edge applications. ArcLight Capital has invested in multiple grid assets, including:</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Path 15: 1,500-megawatt line upgrade that debottlenecked a critical Southern-to-Northern California power interconnect;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Neptune Regional Transmission System: 660-megawatt undersea and underground direct current line that provides more than 20 percent of Long Island’s typical electricity demand</w:t>
      </w:r>
    </w:p>
    <w:p>
      <w:pPr>
        <w:spacing w:after="0" w:line="170"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Furthermore, ArcLight Capital’s extensive experience in the fuel supply and logistics space provide us with unique and real-time insights into critical factors impacting the successful rollout of biofuels and EV charging infrastructure, including automotive consumer behavior, real estate development and convenience offerings. Representative investments include:</w:t>
      </w:r>
    </w:p>
    <w:p>
      <w:pPr>
        <w:spacing w:after="0" w:line="8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Thorntons, the owner and operator of more than 200 convenience stores and travel centers;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Gulf, one of the largest branded sales platforms in the automotive industry</w:t>
      </w:r>
    </w:p>
    <w:p>
      <w:pPr>
        <w:spacing w:after="0" w:line="11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As a result of its long-dated presence in the clean energy transition space, ArcLight Capital has developed deep relationships with companies, executives and intermediaries that we believe will provide us with an advantage in accessing business combination opportunities in the space.</w:t>
      </w:r>
    </w:p>
    <w:p>
      <w:pPr>
        <w:spacing w:after="0" w:line="12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currently have a formal arrangement in place with CAMS, ArcLight Capital’s operational partner, whereby CAMS would make available to us a team of individuals who are highly experienced across the various sectors in which we expect to complete our initial business combination. Formed in 2007, CAMS has more than ~1,500 employees providing operational and asset management services to the renewable and conventional energy sectors, including information technology, environmental health and safety, asset integrity, engineering and due diligence services. CAMS has been involved in over 100 projects, including 19 wind facilities and 23 solar facilities totaling over 3.4 gigawatts. CAMS is also an industry leader in the decommissioning of legacy fossil generation facilities and the repurposing and repowering of sites for solar and battery storage installation. Through its day-to-day activities, CAMS has developed strong commercial and strategic relationships with most large equipment, services and software providers within the renewable segment, giving it a unique perspective on market-leading companies in the industry.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company is supported by a full management team with decades of experience completing transactions and managing several billion dollars of equity capital in the renewable energy, power and energy infrastructure sectors. Our management team is supported by ArcLight Capital and CAMS. Our operations will also be overseen by an experienced board of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Daniel R. Revers, 59, serves as our Chairman. Mr. Revers is the founder of ArcLight Capital and has 30 years of energy finance and private equity experience. Mr. Revers is responsible for overall investment, asset management, strategic planning, and operations of ArcLight Capital and its funds. Previously, Mr. Revers served as the Chairman of the board of directors of ACTC I (Nasdaq: ACTC) from September 2020 to June 2021 when the ACTC I Business Combination was completed and was previously a director at American Midstream Partners, L.P. and JP Energy Partners, L.P. Prior to forming ArcLight Capital in 2001, Mr. Revers was a Managing Director in the Corporate Finance Group at John Hancock Financial Services, a private insurance and financial services firm, where he was responsible for the origination, execution, and management of a $6 billion portfolio consisting of debt, equity, and mezzanine investments in the energy 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8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John (“Jake”) F. Erhard, 47, serves as our President, Chief Executive Officer and Director. Mr. Erhard is also a Partner and Head of ESG at ArcLight Capital, where he has worked in various leadership positions since September 2001. Mr. Erhard has 20 years of energy finance and private equity experience. Mr. Erhard previously served as a director of Proterra Inc (Nasdaq: PTRA) from June 2021 until December 2021 and served as President, Chief Executive Officer and Director of ACTC I (Nasdaq: ACTC) from September 2020 to June 2021 when the ACTC I Business Combination was completed and was previously a director at American Midstream Partners, L.P., Buckeye Partners, LP, and JP Energy Partners, L.P. Prior to joining ArcLight, Mr. Erhard was an Analyst at the investment banking firm Schroder Wertheim, where he focused on mergers and acquisitions. Mr. Erhard earned a Bachelor of Arts in Economics from Princeton University and a Juris Doctor from Harvard Law School.</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Marco F. Gatti, 38, serves as our Chief Financial Officer. Mr. Gatti joined ArcLight Capital in 2018 and has 11 years of energy and private equity experience. Previously, Mr. Gatti served as the Chief Financial Officer of ACTC I (Nasdaq: ACTC) from September 2020 to June 2021 when the ACTC I Business Combination was completed.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66"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Christine M. Miller, 51, serves as our General Counsel. Ms. Miller joined ArcLight Capital in 2004 and has 23 years of legal experience in the areas of investment transactions and fund operations, with 21 years specific to energy finance and private equity. Previously, Ms. Miller served as General Counsel of ACTC I (Nasdaq: ACTC) from September 2020 to June 2021 when the ACTC I Business Combination was completed. Prior to joining ArcLight Capital,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78"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Arno Harris, 52, serves on our Board. Mr. Harris has spent the last 25 years starting and growing successful businesses in high technology, clean energy and electric mobility. Previously, Mr. Harris served on the board of directors of ACTC I (Nasdaq: ACTC) from September 2020 to June 2021 when the ACTC I Business Combination was completed.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 Mr. Harris was the founder, CEO and chair of Recurrent Energy, one of North America’s largest solar project developers. Prior to Recurrent Energy, Mr. Harris was the founder and CEO of Prevalent Power, one of California’s fastest growing commercial solar project developers. Mr. Harris earned a Bachelor of Arts from the University of California Berkeley.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Dr. Ja-Chin Audrey Lee, 43, serves on our Board. Dr. Lee has almost 20 years of experience in clean energy and currently serves as Senior Director, Energy Strategy at Microsoft (Nasdaq: MSFT). Previously, Dr. Lee served on the board of directors of ACTC I (Nasdaq: ACTC) from September 2020 to June 2021 when the ACTC I Business Combination was completed and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previously served on the board of Pinnacle Engines from 2020 to 2021, commercializing advanced engines for reduced petroleum usage and greenhouse gas emissions. Dr. Lee also serves on the board of Redaptive, an Efficiency-as-a-Service tool for commercial and industrial customers and is an advisory board member of CelerateX. She volunteered as Co-Chair and Co-Founder of Clean Energy for Biden. Dr. Lee earned her Ph.D. and M.S. in Electrical Engineering from Princeton University and her B.S. in Applied Physics from the California Institute of Technology.</w:t>
      </w:r>
    </w:p>
    <w:p>
      <w:pPr>
        <w:spacing w:after="0" w:line="17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Brian Goncher, 65, serves on our Board. Mr. Goncher has more than 42 years of experience in finance, management and consulting. Previously, Mr. Goncher served on the board of directors of ACTC I (Nasdaq: ACTC) from September 2020 to June 2021 when the ACTC I Business Combination was completed.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 Mr. Goncher was the founder/CFO of several technology-enabled startups and a Corporate Banking Officer at Bank of America. Mr. Goncher earned a BS in Economics and MBA in Finance from the University of Chicago.</w:t>
      </w:r>
    </w:p>
    <w:p>
      <w:pPr>
        <w:spacing w:after="0" w:line="178"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Steven Berkenfeld, 62, serves on our Board. After 33 years, Mr. Berkenfeld retired from a career in investment banking in 2019 to focus entirely on impact and sustainability. Mr. Berkenfeld is founder and principal of Ecotopia Consulting LLC and is primarily engaged in advising earlier stage, mission driven companies. Previously, Mr. Berkenfeld served on the board of directors of ACTC I (Nasdaq: ACTC) from September 2020 to June 2021 when the ACTC I Business Combination was complete and Managing Director in Investment Banking at Barclays where he served as senior sponsor of the Environmental and Social Impact Banking Initiative and was co-head of the firm’s Cleantech Initiative. Before joining Barclays in 2008, Steven spent over 21 years at Lehman Brothers in numerous roles, including 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16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In July 2020, an affiliate of our sponsor incorporated ACTC I, a blank check company incorporated for substantially similar purposes as ArcLight. ACTC I completed its initial public offering in September 2020, in which it sold a total of 27,750,000 units, each consisting of one Class A ordinary share of ACTC I and one-half of one redeemable warrant to purchase one Class A ordinary share of ACTC I, for an offering price of $10.00 per unit, generating aggregate proceeds of $277.5 million. Mr. Erhard was the President and Chief Executive Officer of ACTC I and a director on ACTC I’s board of directors, Mr. Gatti was the Chief Financial Officer of ACTC I, Mr. Revers was the Chairman of the board of directors of ACTC I and</w:t>
      </w:r>
    </w:p>
    <w:p>
      <w:pPr>
        <w:spacing w:after="0" w:line="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Ms. Miller served as General Counsel of ACTC I, Mr. Harris, Dr. Lee, Mr. Berkenfeld and Mr. Goncher all served on ACTC I’s board of directors. On January 12, 2021, ACTC I announced that it had entered into a definitive agreement with Proterra Inc, a leading innovator in commercial vehicle electrification technology, to combine. The transaction closed in the first half of 2021. Upon the closing of the transaction, Proterra Inc began trading under the ticker symbol PTRA on the Nasdaq Capital Market.</w:t>
      </w:r>
    </w:p>
    <w:p>
      <w:pPr>
        <w:spacing w:after="0" w:line="193"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With respect to the above, past performance of our management team (including with respect to ACTC I), ArcLight Capital and CAMS is not a guarantee of either (i) success with respect to any business combination that may be consummated, (ii) the ability to successfully identify and execute a transaction or (iii) the success of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business ultimately identified or acquired. You should not rely on the historical record of management, ArcLight Capital, CAMS or their respective affiliates as indicative of future performance. Past performance by our management team, ArcLight Capital and CAMS, including investments and transactions in which they have participated and businesses with which they have been associated, may not be indicative of future performance of an investment in us, and we may be unable to provide positive returns to shareholders. References to total amounts invested in across the energy infrastructure landscape and amounts invested in renewable energy infrastructure refer to the gross capital invested in such portfolio investments without reduction for any “recycled” distributions from such portfolio investments (e.g., sales or recapitalization proceeds from portfolio investments that have been distributed to the applicable fund by a portfolio company within approximately one year of the date of the investment). All capacity ratings presented herein are nominal ratings, which may differ from nameplate and/or seasonal ratings. Nominal ratings are the most typical representation of capacity and differ from nameplate and/or seasonal ratings, which are calculated based on defined conditions that vary (e.g., temperature and other inputs). For a list of our executive officers and entities for which a conflict of interest may or does exist between such officers and the company, please refer to “Directors, Executive Officers and Corporate Governance — Conflicts of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business strategy is to identify and complete an initial business combination that creates substantial long-term value for our shareholders. We believe our proposed business combination with OPAL Fuels is consistent with our business strategy. We will seek targets that we believe are market leaders in facilitating the transition of the energy industry toward decarbonization and sustainability and are positioned to generate long-term value and growing cash flows. We believe ArcLight Capital’s network of proprietary transaction sources and relationships, combined with its investment team’s deep experience in the renewable energy industry, will allow us to effectively and efficiently identify and evaluate potential opportunities for our initial business combination. In addition to ArcLight Capital’s network and expertise, we plan to leverage CAMS’ footprint and relationships with service providers, clients and counterparties, to extend our access to opportunities. We seek to:</w:t>
      </w:r>
    </w:p>
    <w:p>
      <w:pPr>
        <w:spacing w:after="0" w:line="83"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capitalize on the wide opportunity set of companies driving the transition toward decarbonization and sustainability;</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our management team and sponsor’s wealth of knowledge of the renewable energy and transportation industry to identify promising subsectors and market-leading companies within them;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the transactional experience of our management team and sponsor to effectuate a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utilize CAMS’ network and team of experts to identify and diligence targets, and potentially transform companies;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and prepare potential targets to succeed as public companies and take advantage of unique opportunities offered by the public markets;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the combination target or targets at the board level, providing guidance on organic and accretive value creation opportunities to capitalize on the opportunities offered by the energy transition.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 Criteria</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Consistent with our business strategy, we have established the following general criteria and guidelines to evaluate prospective target businesses. We use these criteria and guidelines in evaluating acquisition opportunities, but we may decide to enter into our initial business combination with a target business that does not meet all of these criteria and guidelines and may consider criteria and guidelines not set forth below. We intend to acquire a business or an entity that we believe: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 or has the potential to develop, fundamentally sound financial performance, with visibility into revenue and cash flow growth and relatively predictable future financial performance;</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an active market participant in the global development of the clean energy industry, continued decarbonization of the industrial, government and consumer spaces, and/or broader transition toward a sustainable economic model;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targets large addressable markets with long-term tailwinds and low risk of obsolescence;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has a defensible market position with differentiated product offerings, technology, assets, distribution channels, supply chain capabilities or other sustainable competitive advantages;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 serve as a platform for both organic and acquisitive growth;</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led by an experienced management team with a proven track record and complementary capabilities, or is open to enhancing the existing management team’s strengths with additional talent through our network;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embraces the potential to utilize our industry experience, as well as our operating, strategic, financing and M&amp;A capabilities to maximize the value to shareholders.</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and our sponsor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Annual Report on Form 10-K, would be in the form of tender offer documents or proxy solicitation materials that we would file with the SEC.</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evaluating prospective business combinations, we expect to conduct a thorough due diligence review process. This due diligence review process will be specific to the target business, but will include, among other things and to the extent relevant to the specific opportunity, a review of historical and projected financial and operating data, meetings with management and their financial sponsors, on-site inspection of assets, discussions with customers, legal and environmental reviews and other reviews as we deem appropriate. We will also utilize our management team’s expertise and ArcLight Capital’s relationships and transaction execution abilities, as well as CAMS’ operational know-how to evaluate operating and financial projections, and to determine the appropriate return expectations given the risk profile of the target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believe the sourcing, valuation, diligence and execution capabilities of our management team and the broader teams at ArcLight Capital and CAMS will provide us with a significant pipeline of opportunities from which to evaluate and select a target for an business combinations that will benefit from our extensive experience. Our proposed initial business combination with OPAL Fuels is an example of the opportunities our competitive strengths provide. Our competitive strengths include the following:</w:t>
      </w:r>
    </w:p>
    <w:p>
      <w:pPr>
        <w:spacing w:after="0" w:line="92" w:lineRule="exact"/>
        <w:rPr>
          <w:sz w:val="20"/>
          <w:szCs w:val="20"/>
          <w:color w:val="auto"/>
        </w:rPr>
      </w:pPr>
    </w:p>
    <w:p>
      <w:pPr>
        <w:ind w:left="1080" w:right="5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management team and sponsor with a long track record of attaining opportunities through propriety transaction sources and a wide network of relationships;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management team and sponsor with industry-leading experience in sectors focused on decarbonization;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sponsor with an experienced and large investment team that will assist in all aspects of transaction execution;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partnership with CAMS, which will provide extensive operational capabilities, market insights, and relationships built through extensive activities surrounding commercial and operational management of investments, acquisitions and divestitures;</w:t>
      </w:r>
    </w:p>
    <w:p>
      <w:pPr>
        <w:spacing w:after="0" w:line="51"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flexible execution capabilities to structure customized and complex transactions that maximize shareholder value, mitigate risk and allocate resources efficiently for attractive returns;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sponsor with extensive capital raising experience and relationships with institutional capital providers.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So long as our securities are then listed on Nasdaq, our initial business combination must occur with one or more target businesses that together have an aggregate fair market value of at least 80% of the net assets held in the Trust Account (excluding the deferred underwriting commissions and taxes payable on the interest earned on the Trust Account) at the time of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 independent valuation or appraisal firm with respect to the satisfaction of such criteria.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74"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shares, capital stock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 In addition, we have agreed not to enter into a definitive agreement regarding an initial business combination without the prior consent of our sponsor. If our securities are not then listed on Nasdaq for whatever reason, we would no longer be required to meet the foregoing 80% of net asset test.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80" w:firstLine="440"/>
        <w:spacing w:after="0" w:line="311" w:lineRule="auto"/>
        <w:rPr>
          <w:sz w:val="20"/>
          <w:szCs w:val="20"/>
          <w:color w:val="auto"/>
        </w:rPr>
      </w:pPr>
      <w:r>
        <w:rPr>
          <w:rFonts w:ascii="Arial" w:cs="Arial" w:eastAsia="Arial" w:hAnsi="Arial"/>
          <w:sz w:val="16"/>
          <w:szCs w:val="16"/>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Considerations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management team is regularly made aware of potential business opportunities, one or more of which we may desire to pursue for a business combination.</w:t>
      </w:r>
    </w:p>
    <w:p>
      <w:pPr>
        <w:spacing w:after="0" w:line="17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addition, certain of our officers and directors presently have, and any of them in the future are expected to have additional, fiduciary and contractual duties to other entities. As a result, if any of our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sponsor, officers and directors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In addition, our sponsor,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Status as a Public Company</w:t>
      </w:r>
    </w:p>
    <w:p>
      <w:pPr>
        <w:spacing w:after="0" w:line="121"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IPO through a merger or other business combination with us. In a business combination transaction with us, the owners of the target business may, for example, exchange their shares or stock in the target business for our ArcLight Class A ordinary shares (or shares of a new holding company) or for a combination of our ArcLight Class A ordinary shares and cash, allowing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us to tailor the consideration to the specific needs of the sellers. We believe target businesses will find this method a more expeditious and cost effective method to becoming a public company than the typical IPO. The typical IPO process takes a significantly longer period of time than the typical business combination transaction process, and there are significant expenses in the IPO process, including underwriting discounts and commissions, that may not be present to the same extent in connection with a business combination with us.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IPO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8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taken advantage of the benefits of this extended transition period.</w:t>
      </w:r>
    </w:p>
    <w:p>
      <w:pPr>
        <w:spacing w:after="0" w:line="187" w:lineRule="exact"/>
        <w:rPr>
          <w:sz w:val="20"/>
          <w:szCs w:val="20"/>
          <w:color w:val="auto"/>
        </w:rPr>
      </w:pPr>
    </w:p>
    <w:p>
      <w:pPr>
        <w:ind w:left="120" w:right="60" w:firstLine="440"/>
        <w:spacing w:after="0" w:line="281"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ArcLight Class A ordinary shares that are held by non-affiliates exceeds $700 million as of the prior June 30</w:t>
      </w:r>
      <w:r>
        <w:rPr>
          <w:rFonts w:ascii="Arial" w:cs="Arial" w:eastAsia="Arial" w:hAnsi="Arial"/>
          <w:sz w:val="24"/>
          <w:szCs w:val="24"/>
          <w:color w:val="auto"/>
          <w:vertAlign w:val="superscript"/>
        </w:rPr>
        <w:t>th</w:t>
      </w:r>
      <w:r>
        <w:rPr>
          <w:rFonts w:ascii="Arial" w:cs="Arial" w:eastAsia="Arial" w:hAnsi="Arial"/>
          <w:sz w:val="17"/>
          <w:szCs w:val="17"/>
          <w:color w:val="auto"/>
        </w:rPr>
        <w:t>, and (2) the date on which we have issued more than $1.0 billion in non-convertible debt during the prior three-year period.</w:t>
      </w:r>
    </w:p>
    <w:p>
      <w:pPr>
        <w:spacing w:after="0" w:line="70"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86"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Position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As of December 31, 2021, in the Trust Account, we had approximately $311.2 million held in marketable securities, not taking into account payment of $10.9 million of deferred underwriting commissions. With the funds available,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We intend to effectuate our initial business combination using cash from the proceeds of our IPO and the placement of the private placement warrants, the proceeds of the sale of our shares in connection with our initial business combination (pursuant to forward purchase agreements or backstop agreements we may enter into following the consummation of our IPO or otherwise), shares issued to the owners of the target, debt issued to bank or other lenders or the owners of the target, or a combination of the foregoing or other sources.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9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used for redemptions of our ArcLight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Other than the potential availability of the backstop arrangement with our sponsor and the PIPE Financing we entered into as part of our Business Combination, we are not currently a party to any arrangement or understanding with any third party with respect to raising any additional funds through the sale of securities, the incurrence of debt or otherwise.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some of these sources will have read this Annual Report on Form 10-K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at the time of the closing of a transaction. In no event, however, will our sponsor or any of our existing officers or directors, or their respective affiliates be paid by us any finder’s fee, consulting fee or other compensation prior to, or for any services they render in order to effectuate, the completion of our initial business combination (regardless of the type of transaction that it is). We have agreed to pay an affiliate of our sponsor a total of $10,000 per month for office space,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post-business combination company following our initial business combination. The presence or absence of any such fees or arrangements will not be used as a criterion in our selection process of an acquisition candidate.</w:t>
      </w:r>
    </w:p>
    <w:p>
      <w:pPr>
        <w:spacing w:after="0" w:line="16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Each of our officers and directors presently has, and any of them in the future are expected to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“Directors, Executive Officers and Corporate Governance — Conflicts of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a Target Business and Structuring of Our Initial Business Combination</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In evaluating a prospective target business, we expect to conduct an extensive due diligence review which may encompass, as applicable and among other things, meetings with incumbent management and employees, document reviews, interviews of customers and suppliers, inspection of facilities and a review of financial and other information about the target and its industry. We will also utilize our management team’s operational and capital planning experience. If we determine to move forward with a particular target, we will proceed to structure and negotiate the terms of the business combination transaction.</w:t>
      </w:r>
    </w:p>
    <w:p>
      <w:pPr>
        <w:spacing w:after="0" w:line="18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their respective affiliates, for services rendered to or in connection with our initial business combination. In addition, we have agreed not to enter into a definitive agreement regarding an initial business combination without the prior consent of our sponsor.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77" w:lineRule="exact"/>
        <w:rPr>
          <w:sz w:val="20"/>
          <w:szCs w:val="20"/>
          <w:color w:val="auto"/>
        </w:rPr>
      </w:pPr>
    </w:p>
    <w:p>
      <w:pPr>
        <w:ind w:left="1080" w:right="2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team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May Not Have the Ability to Approve Our Initial Business Combination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 or we may decide to seek shareholder approval for business or other reasons.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Nasdaq’s listing rules, shareholder approval would typically be required for our initial business combination if, for example:</w:t>
      </w:r>
    </w:p>
    <w:p>
      <w:pPr>
        <w:spacing w:after="0" w:line="131" w:lineRule="exact"/>
        <w:rPr>
          <w:sz w:val="20"/>
          <w:szCs w:val="20"/>
          <w:color w:val="auto"/>
        </w:rPr>
      </w:pPr>
    </w:p>
    <w:p>
      <w:pPr>
        <w:ind w:left="1080" w:right="2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then-outstanding (other than in a public offering);</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of our directors, officers or substantial security holder (as defined by Nasdaq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86"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 decision as to whether we will seek shareholder approval of a proposed business combination in those instances in which shareholder approval is not required by law will be made by us, solely in our discretion, and will be based on business and reasons, which include a variety of factors, including, but not limited to:</w:t>
      </w:r>
    </w:p>
    <w:p>
      <w:pPr>
        <w:spacing w:after="0" w:line="89" w:lineRule="exact"/>
        <w:rPr>
          <w:sz w:val="20"/>
          <w:szCs w:val="20"/>
          <w:color w:val="auto"/>
        </w:rPr>
      </w:pPr>
    </w:p>
    <w:p>
      <w:pPr>
        <w:ind w:left="10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30" w:lineRule="exact"/>
        <w:rPr>
          <w:rFonts w:ascii="Arial" w:cs="Arial" w:eastAsia="Arial" w:hAnsi="Arial"/>
          <w:sz w:val="18"/>
          <w:szCs w:val="18"/>
          <w:color w:val="auto"/>
        </w:rPr>
      </w:pPr>
    </w:p>
    <w:p>
      <w:pPr>
        <w:ind w:left="1080" w:right="9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shareholders.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Permitted Purchases and Other Transactions with Respect to Our Securities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8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the event that our sponsor, directors, officers, advisors or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purpose of any such transaction could be to (i) vote in favor of the business combination and thereby increase the likelihood of obtaining shareholder approval of the business combination, (ii) reduce the number of public warrants outstanding or vote such warrants on any matters submitted to the warrant holders for approval in connection with our initial business combination or (iii)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addition, if such purchases are made, the public “float” of our ArcLight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6"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sponsor, officers, directors and/or their affiliates anticipate that they may identify the shareholders with whom our sponsor, officers, directors or their affiliates may pursue privately negotiated transactions by either the shareholders contacting us directly or by our receipt of redemption requests submitted by shareholders (in the case of ArcLight Class A ordinary shares) following our mailing of a tender offer or proxy materials in connection with our initial business combination. To the extent that our sponsor, officers, directors, advisors or their affiliates enter into a private transaction, they would identify and contact only potential selling or redeeming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w:t>
      </w:r>
    </w:p>
    <w:p>
      <w:pPr>
        <w:spacing w:after="0" w:line="168" w:lineRule="exact"/>
        <w:rPr>
          <w:sz w:val="20"/>
          <w:szCs w:val="20"/>
          <w:color w:val="auto"/>
        </w:rPr>
      </w:pPr>
    </w:p>
    <w:p>
      <w:pPr>
        <w:ind w:left="120" w:right="640" w:firstLine="440"/>
        <w:spacing w:after="0" w:line="286" w:lineRule="auto"/>
        <w:rPr>
          <w:sz w:val="20"/>
          <w:szCs w:val="20"/>
          <w:color w:val="auto"/>
        </w:rPr>
      </w:pPr>
      <w:r>
        <w:rPr>
          <w:rFonts w:ascii="Arial" w:cs="Arial" w:eastAsia="Arial" w:hAnsi="Arial"/>
          <w:sz w:val="17"/>
          <w:szCs w:val="17"/>
          <w:color w:val="auto"/>
        </w:rPr>
        <w:t>Our sponsor, officers, directors and/or their affiliates will be restricted from making purchases of shares if the purchases would violate Section 9(a)(2) or Rule 10b-5 of the Exchange Act. We expect any such purchases would be reported by such person pursuant to Section 13 and Section 16 of the Exchange Act to the extent such purchasers are subject to such reporting requirements.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 for Public Shareholders upon Completion of Our Initial Business Combination</w:t>
      </w:r>
    </w:p>
    <w:p>
      <w:pPr>
        <w:spacing w:after="0" w:line="117"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We will provide our public shareholders with the opportunity to redeem all or a portion of their ArcLight Class A ordinary shares in connection with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was approximately $10.00 per public share as of December 31, 2021. The per-share amount we will distribute to investors who properly redeem their shares will not be reduced by the deferred underwriting commissions we will pay to the underwriters of the IPO. The redemption rights will include the requirement that a beneficial holder must identify itself in order to validly redeem its shares. There will be no redemption rights upon the completion of our initial business combination with respect to our warrants. Further, we will not proceed with redeeming our public shares, even if a public shareholder has properly elected to redeem its shares, if a business combination does not close.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ArcLight Class A ordinary shares the right to have their shares redeemed in connection with our initial business combination or to redeem 100% of our public shares if we do not complete our initial business combination within 24 months (unless extended in accordance with the amended and restated memorandum and articles of association) from the closing of our IPO or</w:t>
      </w:r>
    </w:p>
    <w:p>
      <w:pPr>
        <w:ind w:left="120" w:right="400" w:hanging="4"/>
        <w:spacing w:after="0" w:line="290" w:lineRule="auto"/>
        <w:tabs>
          <w:tab w:leader="none" w:pos="4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 respect to any other provision relating to the rights of holders of our Class A ordinary shares. The redemptions referred to herein shall take effect as repurchases under our amended and restated memorandum and articles of association, dated as of March 22, 2021.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amended and restated memorandum and articles of association provide that in no event will we redeem our public shares in an amount that would cause our net tangible assets to be less than $5,000,001 (so that we do not then become subject to the SEC’s “penny stock” rules). However, the proposed business combination may require: (i) cash consideration to be paid to the target or its owners, (ii) cash to be transferred to the target for working capital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or other general corporate purposes or (iii) the retention of cash to satisfy other conditions in accordance with the terms of the proposed business combination. In the event the aggregate cash consideration we would be required to pay for all ArcLight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ArcLight Class A ordinary shares submitted for redemption will be returned to the holders thereof.</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will provide our public shareholders with the opportunity to redeem all or a portion of their ArcLight Class A ordinary shares upon the completion of our initial business combination either (i) in connection with a general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ArcLight where we do not survive and any transactions where we issue more than 20% of our issued and outstanding ordinary shares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listing requirement or we choose to conduct redemptions pursuant to the tender offer rules of the SEC for business or other reasons. So long as we obtain and maintain a listing for our securities on Nasdaq, we will be required to comply with Nasdaq rules.</w:t>
      </w:r>
    </w:p>
    <w:p>
      <w:pPr>
        <w:spacing w:after="0" w:line="17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If we hold a shareholder vote to approve our initial business combination, we will, pursuant to our amended and restated memorandum and articles of association:</w:t>
      </w:r>
    </w:p>
    <w:p>
      <w:pPr>
        <w:spacing w:after="0" w:line="76" w:lineRule="exact"/>
        <w:rPr>
          <w:sz w:val="20"/>
          <w:szCs w:val="20"/>
          <w:color w:val="auto"/>
        </w:rPr>
      </w:pPr>
    </w:p>
    <w:p>
      <w:pPr>
        <w:ind w:left="1080" w:right="3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4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purchaser’s founder shares, we would need 11,668,614, or 37.5% (assuming all issued and outstanding shares are voted), or 1,944,769, or 6.25% (assuming only the minimum number of shares representing a quorum are voted), of the 31,116,305 public shares sold in our IPO to be voted in favor of an initial business combination in order to have our initial business combination approved. Each public shareholder may elect to redeem their public shares irrespective of whether they vote for or against the proposed transaction or vote at all. In addition, our sponsor and each member of our management team have entered into an agreement with us, pursuant to which they have agreed to waive their redemption rights with respect to any founder shares and public shares held by them in connection with (i) the completion of a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business combination within 24 months (unless such date is extended in accordance with the amended and restated memorandum and articles of association) from the closing of our IPO or (B) with respect to any other provision relating to the rights of holders of ArcLight Class A ordinary shares.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14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Class A ordinary shares in the open market, in order to comply with Rule 14e-5 under the Exchange Act.</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Shareholder Approval</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our IPO, which we refer to as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our IPO could threaten to exercise its redemption rights if such holder’s shares are not purchased by us, our sponsor or our management at a premium to the then-current market price or on other undesirable terms.</w:t>
      </w:r>
    </w:p>
    <w:p>
      <w:pPr>
        <w:spacing w:after="0" w:line="18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By limiting our shareholders’ ability to redeem no more than 15% of the shares sold in our IPO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4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Tendering Share Certificates in Connection with a Tender Offer or Redemption Rights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initially scheduled vote on the proposal to approve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6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general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68"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6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24 months (unless such date is extended in accordance with the amended and restated memorandum and articles of association) from the closing of our IPO.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have until March 25, 2023 (unless such date is extended in accordance with our amended and restated memorandum and articles of association) to consummate an initial business combination. If we are unable to consummate an initial business combination by March 25, 2023,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w:t>
      </w:r>
    </w:p>
    <w:p>
      <w:pPr>
        <w:spacing w:after="0" w:line="1" w:lineRule="exact"/>
        <w:rPr>
          <w:sz w:val="20"/>
          <w:szCs w:val="20"/>
          <w:color w:val="auto"/>
        </w:rPr>
      </w:pPr>
    </w:p>
    <w:p>
      <w:pPr>
        <w:ind w:left="120" w:right="160" w:hanging="4"/>
        <w:spacing w:after="0" w:line="270" w:lineRule="auto"/>
        <w:tabs>
          <w:tab w:leader="none" w:pos="3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and (iii) to our obligations under Cayman Islands law to provide for claims of creditors and the requirements of other applicable law. There will be no redemption rights or liquidating distributions with respect to our warrants, which will expire worthless if we fail to consummate an initial business combination by March 25, 2023 (unless such date is extended in accordance with our amended and restated memorandum and articles of association).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78"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or private placement warrants they hold if we fail to consummate an initial business combination by March 25, 2023 (although they will be entitled to liquidating distributions from the Trust Account with respect to any public shares they hold if we fail to complete our initial business combination by March 25, 2023 (unless such date is extended in accordance with our amended and restated memorandum and articles of association).</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sponsor, executive officers and directors have agreed, pursuant to a written agreement with us, that they will not propose any amendment to our amended and restated memorandum and articles of association (A) that would modify the substance or timing of our obligation to provide holders of our ArcLight Class A ordinary shares the right to have their shares redeemed in connection with our initial business combination or to redeem 100% of our public shares if we do not complete our initial business combination by March 25, 2023 (unless such date is extended in accordance with our amended and restated memorandum and articles of association) or (B) with respect to any other provision relating to the rights of holders of our ArcLight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7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proceeds of the IPO held outside the Trust Account plus up to $100,000 of funds from the Trust Account available to us to pay dissolution expenses, although we cannot assure you that there will be sufficient funds for such purpose.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were to expend all of the net proceeds of our IPO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92"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 xml:space="preserve">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third-party refuses to execute an agreement waiving such claims to the monies held in the Trust Account, our management will perform an analysis of the alternatives available to it and will only enter into an agreement with a third-party that has not executed a waiver if management believes that such third-party’s engagement would be significantly more beneficial to us than any alternative. Examples of possible instances where we may engage a third-party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our IPO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third-party or prospective target business that executed a waiver of any and all rights to seek access to the Trust Account nor will it apply to any claims under our indemnity of the underwriters of our IPO against certain liabilities, including liabilities under the Securities Act. In the event that an executed waiver is deemed to be unenforceable against a third-party,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38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seek to reduce the possibility that our sponsor will have to indemnify the Trust Account due to claims of creditors by endeavoring to have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vendors, service providers, prospective target businesses or other entities with which we do business execute agreements with us waiving any right,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title, interest or claim of any kind in or to monies held in the Trust Account. Our sponsor will also not be liable as to any claims under our indemnity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of our IPO against certain liabilities, including liabilities under the Securities Act. At December 31, 2021, we had access to up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$812,000 from the proceeds of the IPO and the sale of our private placement warrants with which to pay any such potential claims (including costs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expenses incurred in connection with our liquidation, currently estimated to be no more than approximately $100,000). In the event that we liquidate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it is subsequently determined that the reserve for claims and liabilities is insufficient, shareholders who received funds from the Trust Account could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liable for claims made by creditors; however, such liability will not be greater than the amount of funds from our Trust Account received by any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w:t>
      </w:r>
    </w:p>
    <w:p>
      <w:pPr>
        <w:spacing w:after="0" w:line="21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If we file a bankruptcy or insolvency or an involuntary bankruptcy or insolvency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or insolvency or an involuntary bankruptcy or insolvency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66"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Our public shareholders will be entitled to receive funds from the Trust Account only (i) in the event of the redemption of our public shares if we do not complete our initial business combination within 24 months (unless such date is extended in accordance with the amended and restated memorandum and articles of association) from the closing of our IPO, (ii) in connection with a shareholder vote to amend our amended and restated memorandum and articles of association (A) to modify the substance or timing of our obligation to provide holders of our ArcLight Class A ordinary shares the right to have their shares redeemed in connection with our initial business combination or to redeem 100% of our public shares if we do not complete our initial business combination within 24 months (unless such date is extended in accordance with the amended and restated memorandum and articles of association) from the closing of our IPO or (B) with respect to any other provision relating to the rights of holders of our ArcLight Class A ordinary shares, or (iii) if they redeem their respective shares for cash upon the completion of the initial business combination. Public shareholders who redeem their ArcLight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(unless such date is extended in accordance with the amended and restated memorandum and articles of association) from the closing of our IPO, with respect to such ArcLight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73" w:lineRule="auto"/>
        <w:rPr>
          <w:sz w:val="20"/>
          <w:szCs w:val="20"/>
          <w:color w:val="auto"/>
        </w:rPr>
      </w:pPr>
      <w:r>
        <w:rPr>
          <w:rFonts w:ascii="Arial" w:cs="Arial" w:eastAsia="Arial" w:hAnsi="Arial"/>
          <w:sz w:val="17"/>
          <w:szCs w:val="17"/>
          <w:color w:val="auto"/>
        </w:rPr>
        <w:t>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0" w:lineRule="exact"/>
        <w:rPr>
          <w:sz w:val="20"/>
          <w:szCs w:val="20"/>
          <w:color w:val="auto"/>
        </w:rPr>
      </w:pPr>
    </w:p>
    <w:p>
      <w:pPr>
        <w:ind w:left="120" w:right="100" w:firstLine="440"/>
        <w:spacing w:after="0" w:line="226" w:lineRule="auto"/>
        <w:rPr>
          <w:sz w:val="20"/>
          <w:szCs w:val="20"/>
          <w:color w:val="auto"/>
        </w:rPr>
      </w:pPr>
      <w:r>
        <w:rPr>
          <w:rFonts w:ascii="Arial" w:cs="Arial" w:eastAsia="Arial" w:hAnsi="Arial"/>
          <w:sz w:val="18"/>
          <w:szCs w:val="18"/>
          <w:color w:val="auto"/>
        </w:rPr>
        <w:t>We currently maintain our executive offices at 200 Clarendon Street, 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Boston, MA 02116. The cost for our use of this space is included in the $10,000 per month fee we pay to an affiliate of our sponsor for office space, administrative and support services. We consider our current office space adequate for our current operations.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registered our units, ArcLight Class A ordinary shares and warrants under the Exchange Act and have reporting obligations, including the requirement that we file annual, quarterly and current reports with the SEC. In accordance with the requirements of the Exchange Act, our annual reports, including this Annual Report on Form 10-K, will contain financial statements audited and reported on by our independent registered public accountants.</w:t>
      </w:r>
    </w:p>
    <w:p>
      <w:pPr>
        <w:spacing w:after="0" w:line="18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8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A target business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Prior to the effectiveness of the registration statement of which the prospectus dated March 22, 2021 (the “prospectus”) forms a part, we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6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taken advantage of the benefits of this extended transition period.</w:t>
      </w:r>
    </w:p>
    <w:p>
      <w:pPr>
        <w:spacing w:after="0" w:line="187" w:lineRule="exact"/>
        <w:rPr>
          <w:sz w:val="20"/>
          <w:szCs w:val="20"/>
          <w:color w:val="auto"/>
        </w:rPr>
      </w:pPr>
    </w:p>
    <w:p>
      <w:pPr>
        <w:ind w:left="120" w:right="80" w:firstLine="440"/>
        <w:spacing w:after="0" w:line="25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22"/>
          <w:szCs w:val="22"/>
          <w:color w:val="auto"/>
          <w:vertAlign w:val="superscript"/>
        </w:rPr>
        <w:t>th</w:t>
      </w:r>
      <w:r>
        <w:rPr>
          <w:rFonts w:ascii="Arial" w:cs="Arial" w:eastAsia="Arial" w:hAnsi="Arial"/>
          <w:sz w:val="16"/>
          <w:szCs w:val="16"/>
          <w:color w:val="auto"/>
        </w:rPr>
        <w:t>, and</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the date on which we have issued more than $1.0 billion in non-convertible debt during the prior three-year period.</w:t>
      </w:r>
    </w:p>
    <w:p>
      <w:pPr>
        <w:spacing w:after="0" w:line="2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February 14, 2022, the Company received a demand letter from a purported shareholder of the Company claiming certain alleged material omissions in the registration statement on Form S-4, initially filed with the SEC on February 8, 2022, surrounding its planned transaction with OPAL Fuels. Additional demand letters may follow in the future. The Company specifically denies all allegations in the demand letter that any additional disclosure is required and believes this purported shareholder’s claim is without merit.</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60"/>
          </w:cols>
          <w:pgMar w:left="320" w:top="486" w:right="7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Annual Report on Form 10-K and the prospectus associated with our IPO,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For risk factors related to the Business Combination, see the Proxy Statement/Prospectus initially filed by us on February 8, 2022.</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Business Combination</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Business Combination Agreement and Business Combination are subject to conditions, including certain conditions that may not be satisfied on a timely basis, if at all.</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Even if the Business Combination Agreement is approved by the shareholders of ArcLight, certain customary closing conditions, including, but not limited to, (i) the absence of any order, law or other legal restraint or prohibition issued by any court of competent jurisdiction or other governmental entity of competent jurisdiction prohibiting or preventing the consummation of the transactions contemplated by the Business Combination Agreement,</w:t>
      </w:r>
    </w:p>
    <w:p>
      <w:pPr>
        <w:spacing w:after="0" w:line="2" w:lineRule="exact"/>
        <w:rPr>
          <w:sz w:val="20"/>
          <w:szCs w:val="20"/>
          <w:color w:val="auto"/>
        </w:rPr>
      </w:pPr>
    </w:p>
    <w:p>
      <w:pPr>
        <w:ind w:left="120" w:right="20" w:hanging="4"/>
        <w:spacing w:after="0" w:line="267" w:lineRule="auto"/>
        <w:tabs>
          <w:tab w:leader="none" w:pos="38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effectiveness of this proxy statement/prospectus in accordance with the provisions of the Securities Act, registering the New OPAL Class A Common Stock to be issued in connection with the Business Combination (excluding that which will be issued to the OPAL Equityholders), (iii) OPAL Fuels’ and OPAL HoldCo’s approval (which was delivered concurrently with the signing of the Business Combination Agreement), (iv) the Aggregate Transaction Proceeds equaling no less than $225,000,000 and ArcLight having made arrangements for such amounts held in the Trust Account to be released from the Trust Account at the Closing, (v) the sum of all Unpaid ACT Expenses and all Unpaid ACT Liabilities (each as defined in the Business Combination Agreement) not exceeding $30,000,000, (vi) the conditional approval by Nasdaq of ArcLight’s initial listing application for the New OPAL Class A Common Stock to be issued in connection with the Business Combination, (vii) ArcLight having at least $5,000,001 of net tangible assets (as determined in accordance with Rule 3a51-1(g)(1) of the Exchange Act) remaining immediately after the Closing, (viii) no material adverse effect having occurred and be continuing, (ix) as of the Closing, the effectiveness of each of the agreements ancillary to the Business Combination Agreement, and (x) the Domestication having been consummated on the Closing Date prior to the Closing in accordance with the Business Combination Agreement and a time-stamped copy of the certificate of domestication issued by the Secretary of State of the State of Delaware in relation to the Domestication having been delivered to OPAL Fuels. ArcLight and New OPAL may not satisfy all of the closing conditions in the Business Combination Agreement. If the closing conditions are not satisfied or waived, the Business Combination will not occur, or will be delayed pending later satisfaction or waiver, and such delay may cause ArcLight and New OPAL to each lose some or all of the intended benefits of the Business Combination.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no operating history and no revenues, and you have no basis on which to evaluate our ability to achieve our business objective.</w:t>
      </w:r>
    </w:p>
    <w:p>
      <w:pPr>
        <w:spacing w:after="0" w:line="14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were formed on January 13, 2021, incorporated under the laws of the Cayman Islands, and we will not commence operations until we consummate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Past performance by our management team (including with respect to ACTC I), ArcLight Capital and CAMS or their respective affiliates may not be indicative of future performance of an investment in us.</w:t>
      </w:r>
    </w:p>
    <w:p>
      <w:pPr>
        <w:spacing w:after="0" w:line="62"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Information regarding performance is presented for informational purposes only. Any past experience or performance of our management team (including with respect to ACTC I), ArcLight Capital, CAMS or their respective affiliates is not a guarantee of either (i) our ability to successfully identify and execute a transaction or (ii) success with respect to any business combination that we may consummate. You should not rely on the historical record of our management team, ArcLight, CAMS or their respective affiliates as indicative of the future performance of an investment in us or the returns we will, or are likely to, generate going forward. Our management, ArcLight Capital and CAMS have no experience in operating special purpose acquisition companies.</w:t>
      </w:r>
    </w:p>
    <w:p>
      <w:pPr>
        <w:spacing w:after="0" w:line="300"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3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choose not to hold a shareholder vote before we complete our initial business combination if the business combination would not require shareholder approval under applicable law or stock exchange listing requirements. For instance, if we were seeking to acquire a target business where the consideration we were paying in the transaction was all cash, we would typically not be required to seek shareholder approval to complete such a transaction. Except for as required by applicable law or stock exchange listing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issued and outstanding ordinary shares do not approve of the business combination we complete.</w:t>
      </w:r>
    </w:p>
    <w:p>
      <w:pPr>
        <w:spacing w:after="0" w:line="17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Please see the section entitled “Effecting Our Initial Business Combination — Shareholders May Not Have the Ability to Approve Our Initial Business Combination” for additional information.</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17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initial shareholders owned, on an as-converted basis, 20% of our outstanding ordinary shares immediately following the completion of the IPO. Our sponsor and members of our management team also may, from time to time, purchase Class A ordinary shares prior to our initial business combination. Our amended and restated memorandum and articles of association provide that,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As a result, in addition to our initial shareholders’ founder shares, we would need 11,668,614, or 37.5% (assuming all issued and outstanding shares are voted), or 1,944,769, or 6.25% (assuming only the minimum number of shares representing a quorum are voted), of the 31,116,305 public shares sold in the IPO to be voted in favor of an initial business combination in order to have our initial business combination approved. Accordingly, if we seek shareholder approval of our initial business combination, the agreement by our sponsor and each member of our management team to vote in favor of our initial business combination will increase the likelihood that we will receive the requisite shareholder approval for such initial business combination.</w:t>
      </w:r>
    </w:p>
    <w:p>
      <w:pPr>
        <w:spacing w:after="0" w:line="276"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3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shares in an amount that would cause our net tangible assets to be less than $5,000,001 (so that we do not then become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9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a large number of shares are submitted for redemption,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28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we do not consummate an initial business combination by March 25, 2023, the public shareholders may be forced to wait until after March 25, 2023 before redemption from the Trust Account.</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If we are unable to consummate our initial business combination by March 25, 2023 (as such date may be extended pursuant to our amended and restated memorandum and articles of association), we will distribute the aggregate amount then on deposit in the Trust Account, including interest earned on the funds held in the Trust Account and not previously released to us to pay our income taxes, if any (less up to $100,000 of the net interest earned thereon to pay dissolution expenses), pro rata to our public shareholders by way of redemption and cease all operations except for the purposes of winding up of our affairs. Any redemption of public shareholders from the Trust Account shall be affected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Cayman Islands law. In that case, investors may be forced to wait beyond March 25, 2023 (unless such date is extended in accordance with our amended and restated memorandum and articles of association), before the redemption proceeds of the Trust Account become available to them, and they receive the return of their pro rata portion of the proceeds from the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only then in cases where investors have sought to redeem their public shares. Only upon our redemption or any liquidation will public shareholders be entitled to distributions if we do not complete our initial business combination and do not amend our amended and restated memorandum and articles of association.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00" w:lineRule="exact"/>
        <w:rPr>
          <w:sz w:val="20"/>
          <w:szCs w:val="20"/>
          <w:color w:val="auto"/>
        </w:rPr>
      </w:pPr>
    </w:p>
    <w:p>
      <w:pPr>
        <w:spacing w:after="0" w:line="300"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The requirement that we consummate an initial business combination within 24 months (unless such date is extended in accordance with the amended and restated memorandum and articles of association) after the closing of our IPO may give potential target businesses leverage over us in negotiating a business combination and may limit the time we have in which to conduct due diligence on potential business combination targets, in</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particular as we approach our dissolution deadline, which could undermine our ability to complete our initial business combination on terms that would produce value for our shareholders.</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consummate an initial business combination within 24 months (unless such date is extended in accordance with the amended and restated memorandum and articles of association) from the closing of our IPO.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spacing w:after="0" w:line="303"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3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7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 The outbreak of COVID-19 may also have the effect of heightening many of the other risks described in this “Risk Factors” section, such as those related to the market for our securities and cross-border transactions.</w:t>
      </w:r>
    </w:p>
    <w:p>
      <w:pPr>
        <w:spacing w:after="0" w:line="27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b w:val="1"/>
          <w:bCs w:val="1"/>
          <w:i w:val="1"/>
          <w:iCs w:val="1"/>
          <w:color w:val="auto"/>
        </w:rPr>
        <w:t>If we are not able to complete the Business Combination with OPAL Fuels nor able to complete another business combination by March 25, 2023, in each case, as such date may be extended pursuant to our amended and restated memorandum and articles of association, we would cease all operations except for the purpose of winding up and we would redeem our ArcLight Class A ordinary shares and liquidate the Trust Account, in which case our public shareholders may only receive approximately $10.00 per share and our public warrants will expire worthless.</w:t>
      </w:r>
    </w:p>
    <w:p>
      <w:pPr>
        <w:spacing w:after="0" w:line="4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we are not able to complete the Business Combination with OPAL Fuels nor able to complete another business combination by March 25, 2023, in each case, as such date may be extended pursuant to our amended and restated memorandum and articles of association,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will be net of taxes payable), and (less up to $100,000 of interest to pay dissolution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86"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In such case, our public shareholders may only receive approximately $10.00 per share and our public warrants will expire worthless.</w:t>
      </w:r>
    </w:p>
    <w:p>
      <w:pPr>
        <w:spacing w:after="0" w:line="2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directors, executive officers, advisors and their affiliates may elect to purchase public shares or warrants, which may influence a vote on a proposed business combination and reduce the public “float” of our Class A ordinary shares or public warrants.</w:t>
      </w:r>
    </w:p>
    <w:p>
      <w:pPr>
        <w:spacing w:after="0" w:line="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transaction could be to (1) vote in favor of the business combination and thereby increase the likelihood of obtaining shareholder approval of the business combination, (2) reduce the number of public warrants outstanding or vote such warrants on any matters submitted to the warrant holders for approval in connection with our initial business combination or (3)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ArcLight Class A ordinary shares or public warrants may be reduced and the number of beneficial holders of our securities may be reduced, which may make it difficult to maintain or obtain the quotation, listing or trading of our securities on a national securities exchange. Any such purchases will be reported pursuant to Section 13 and Section 16 of the Exchange Act to the extent such purchasers are subject to such reporting requirements. See “Item 1.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28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the initial business combination, or fails to comply with the procedures for tendering its shares, such shares may not be redeemed.</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ArcLight Class A ordinary shares in connection with our initial business combination will describe the various procedures that must be complied with in order to validly redeem or tender public shares. In the event that a shareholder fails to comply with these procedures, its shares may not be redeemed.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62"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Our public shareholders are entitled to receive funds from the Trust Account only upon the earliest to occur of: (i) our completion of an initial business combination, and then only in connection with those ArcLight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ArcLight Class A ordinary shares the right to have their shares redeemed in connection with our initial business combination or to redeem 100% of our public shares if we do not complete our initial business combination by March 25, 2023 (unless such date is extended in accordance with our amended and restated memorandum and articles of association) or (B) with respect to any other provision relating to the rights of holders of our ArcLight Class A ordinary shares, and (iii) the redemption of our public shares if we have not consummated an initial business combination by March 25, 2023 (unless such date is extended in accordance with amended and restated memorandum and articles of association), subject to applicable law and as further described herein. Public shareholders who redeem their ArcLight Class A ordinary shares in connection with a shareholder vote described in clause</w:t>
      </w:r>
    </w:p>
    <w:p>
      <w:pPr>
        <w:spacing w:after="0" w:line="5" w:lineRule="exact"/>
        <w:rPr>
          <w:sz w:val="20"/>
          <w:szCs w:val="20"/>
          <w:color w:val="auto"/>
        </w:rPr>
      </w:pPr>
    </w:p>
    <w:p>
      <w:pPr>
        <w:ind w:left="120" w:right="60" w:hanging="4"/>
        <w:spacing w:after="0" w:line="252" w:lineRule="auto"/>
        <w:tabs>
          <w:tab w:leader="none" w:pos="3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preceding sentence shall not be entitled to funds from the Trust Account upon the subsequent completion of an initial business combination or liquidation if we have not consummated an initial business combination by March 25, 2023 (unless such date is extended in accordance with our amended and restated memorandum and articles of association), with respect to such ArcLight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30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6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units, ArcLight Class A ordinary shares and warrants, are currently listed on Nasdaq. In order to continue listing our securities on Nasdaq prior to our initial business combination, we must maintain certain financial, distribution and share price levels. Generally, we must maintain a minimum market capitalization (generally $50,000,000) and a minimum number of holders of our securities (generally 300 public holders).</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Additionally, our units will not be traded after completion of our initial business combination and, in connection with our initial business combination, we will be required to demonstrate compliance with Nasdaq initial listing requirements, which are more rigorous than Nasdaq continued listing requirements, in order to continue to maintain the listing of our securities on Nasdaq.</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instance, in order for our shares to be listed upon the consummation of our business combination, at such time our share price would generally be required to be at least $4.00 per share, our total market capitalization would be required to be at least $200.0 million, the aggregate market value of publicly held shares would be required to be at least $100.0 million and we would be required to have at least 400 round lot shareholders. We may not be able to meet those listing requirements at that time.</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our securities on another national securities exchange, we expect such securities could be quoted on an over-the-counter market. If this were to occur, we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determination that ArcLight Class A ordinary shares are a “penny stock” which will require brokers trading in ArcLight Class A ordinary shares to adhere to more stringent rules and possibly result in a reduced level of trading activity in the secondary trading market for our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units and ArcLight Class A ordinary shares and warrants are listed on Nasdaq, our units, ArcLight Class A ordinary shares and warrants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117"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Since the net proceeds of our IPO and the sale of the private placement warrants are intended to be used to complete an initial business combination with a target business, we may be deemed to be a “blank check” company under the United States securities laws. However, because we have net tangible assets in excess of $5,000,001 upon the completion of our IPO and the sale of the private placement warrants and have filed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that since our units were immediately tradable and we have a longer period of time to complete our initial business combination than do companies subject to Rule 419. Moreover, if our IPO were subject to Rule 419, that rule would have prohibited the release of any interest earned on funds held in the Trust Account to us unless and until the funds in the Trust Account were released to us in connection with our completion of an initial business combination.</w:t>
      </w:r>
    </w:p>
    <w:p>
      <w:pPr>
        <w:spacing w:after="0" w:line="28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ArcLight Class A ordinary shares, you will lose the ability to redeem all such shares in excess of 15% of ArcLight Class A ordinary shares.</w:t>
      </w:r>
    </w:p>
    <w:p>
      <w:pPr>
        <w:spacing w:after="0" w:line="7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our IPO,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Because of our limited resources and the significant competition for business combination opportunities, it may be more difficult for us to complete our initial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7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the IPO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 See “— If third parties bring claims against us, the proceeds held in the Trust Account could be reduced and the per-share redemption amount received by shareholders may be less than $10.00 per public share” and other risk factors herein.</w:t>
      </w:r>
    </w:p>
    <w:p>
      <w:pPr>
        <w:spacing w:after="0" w:line="27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b w:val="1"/>
          <w:bCs w:val="1"/>
          <w:i w:val="1"/>
          <w:iCs w:val="1"/>
          <w:color w:val="auto"/>
        </w:rPr>
        <w:t>If the net proceeds of our IPO and the sale of the private placement warrants not being held in the Trust Account are insufficient to allow us to operate for the 24 months from the closing of our IPO, it could limit the amount available to fund our search for a target business or businesses and our ability to complete our initial business combination, and we will depend on loans from our sponsor, its affiliates or members of our management team to fund our search and to complete our initial business combination.</w:t>
      </w:r>
    </w:p>
    <w:p>
      <w:pPr>
        <w:spacing w:after="0" w:line="63"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of December 31, 2021, we had approximately $812,000 in cash held outside the Trust Account to fund our working capital requirements. We believe that the funds available to us outside of the Trust Account, together with funds available from loans from our sponsor, its affiliates or members of our management team will be sufficient to allow us to operate for at least the 24 months from the closing of the IPO (as such date may be extended pursuant to our amended and restated memorandum and articles of association); however, we cannot assure you that our estimate is accurate, and our sponsor, its affiliates or members of our management team are under no obligation to advance funds to us in such circumstances.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7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we are required to seek additional capital, we would need to borrow funds from our sponsor, its affiliates, members of our management team or other third parties to operate or may be forced to liquidate. Neither our sponsor, members of our management team, nor their affiliates is under any obligation to us in such circumstances. Any such advances may be repaid only from funds held outside the Trust Account or from funds released to us upon completion of our initial business combination. Up to $1,500,000 of such loans may be convertible into warrants of the post-business combination entity at a price of $1.00 per warrant at the option of the lender. The warrants would be identical to the private placement warrants. Prior to the completion of our initial business combination, we do not expect to seek loans from parties other than our sponsor, its affiliates or members of our management team as we do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not believe third parties will be willing to loan such funds and provide a waiver against any and all rights to seek access to funds in our Trust Account. If we have not consummated our initial business combination within the required time period because we do not have sufficient funds available to us, we will be forced to cease operations and liquidate the Trust Account. Consequently, our public shareholders may only receive an estimated $10.00 per public share, or possibly less, on our redemption of our public shares, and our warrants will expire worthless. See “— If third parties bring claims against us, the proceeds held in the Trust Account could be reduced and the per-share redemption amount received by shareholders may be less than $10.00 per public share” and other risk factors herein.</w:t>
      </w:r>
    </w:p>
    <w:p>
      <w:pPr>
        <w:spacing w:after="0" w:line="300"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w:t>
      </w:r>
    </w:p>
    <w:p>
      <w:pPr>
        <w:spacing w:after="0" w:line="2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shareholders may be less than $10.00 per public share.</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Furthermore, requiring targets to execute a trust waiver may be a deterrent. If any third-party refuses to execute an agreement waiving such claims to the monies held in the Trust Account, our management will perform an analysis of the alternatives available to it and will only enter into an agreement with a third-party that has not executed a waiver if management believes that such third-party’s engagement would be significantly more beneficial to us than any alternative.</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Examples of possible instances where we may engage a third-party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from the closing of our IPO,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received by public shareholders could be less than the $10.00 per public share initially held in the Trust Account, due to claims of such creditors. Pursuant to a letter agreement, our sponsor has agreed that it will be liable to us if and to the extent any claims by a third-party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third-party or prospective target business that executed a waiver of any and all rights to seek access to the Trust Account nor will it apply to any claims under our indemnity of the underwriters of our IPO against certain liabilities, including liabilities under the Securities Act. Moreover, in the event that an executed waiver is deemed to be unenforceable against a third-party, our sponsor will not be responsible to the extent of any liability for such third-party claims.</w:t>
      </w:r>
    </w:p>
    <w:p>
      <w:pPr>
        <w:spacing w:after="0" w:line="19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30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public share.</w:t>
      </w:r>
    </w:p>
    <w:p>
      <w:pPr>
        <w:spacing w:after="0" w:line="28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b w:val="1"/>
          <w:bCs w:val="1"/>
          <w:i w:val="1"/>
          <w:iCs w:val="1"/>
          <w:color w:val="auto"/>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p>
    <w:p>
      <w:pPr>
        <w:spacing w:after="0" w:line="63"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Any such litigation, investigations or other proceedings may divert our management team’s and board’s attention and resources away from identifying and selecting a target business or businesses for our initial business combination and may negatively affect our reputation, which may impede our ability to complete an initial business combination.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117"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8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bankruptcy or insolvency or an involuntary bankruptcy or insolvency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or insolvency or an involuntary bankruptcy or insolvency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300"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shareholders, we file a bankruptcy or insolvency or an involuntary bankruptcy or insolvency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2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bankruptcy or insolvency or an involuntary bankruptcy or insolvency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96" w:lineRule="exact"/>
        <w:rPr>
          <w:sz w:val="20"/>
          <w:szCs w:val="20"/>
          <w:color w:val="auto"/>
        </w:rPr>
      </w:pPr>
    </w:p>
    <w:p>
      <w:pPr>
        <w:ind w:left="120" w:right="640"/>
        <w:spacing w:after="0" w:line="375"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the issuance of securities, each of which may make it difficult for us to complete our initial business combination.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addition, we may have imposed upon us burdensome requirements, including: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86"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 that we are currently not subject to.</w:t>
      </w:r>
    </w:p>
    <w:p>
      <w:pPr>
        <w:spacing w:after="0" w:line="24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7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do not believe that our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An investment in our securities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IPO or (B) with respect to any other provision relating to the rights of holders of our Class A ordinary shares; or (iii) absent our completing an initial business combination within 24 months from the closing of our IPO,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7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we do not consummate an initial business combination by March 25, 2023, our public shareholders may be forced to wait until after March 25, 2023 before redemption from the Trust Account.</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If we are unable to consummate our initial business combination by March 25, 2023 (as such date may be extended pursuant to our amended and restated memorandum and articles of association), we will distribute the aggregate amount then on deposit in the Trust Account, including interest earned on the funds held in the Trust Account and not previously released to us to pay our income taxes, if any (less up to $100,000 of the net interest earned thereon to pay dissolution expenses), pro rata to our public shareholders by way of redemption and cease all operations except for the purposes of winding up of our affairs. Any redemption of public shareholders from the Trust Account shall be affected automatically by function of the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Cayman Islands law. In that case, investors may be forced to wait beyond March 25, 2023 (unless such date is extended in accordance with our amended and restated memorandum and articles of association), before the redemption proceeds of the Trust Account become available to them, and they receive the return of their pro rata portion of the proceeds from the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only then in cases where investors have sought to redeem their public shares. Only upon our redemption or any liquidation will public shareholders be entitled to distributions if we do not complete our initial business combination and do not amend our amended and restated memorandum and articles of association.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00" w:lineRule="exact"/>
        <w:rPr>
          <w:sz w:val="20"/>
          <w:szCs w:val="20"/>
          <w:color w:val="auto"/>
        </w:rPr>
      </w:pPr>
    </w:p>
    <w:p>
      <w:pPr>
        <w:spacing w:after="0" w:line="30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to imprisonment for five years in the Cayman Islands.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hold an annual general meeting until after the consummation of our initial business combination.</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one year after our first fiscal year end, following our listing on Nasdaq, which is December 31, 2022. As an exempted company, there is no requirement under the Companies Law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Holders of ArcLight Class A ordinary shares will not be entitled to vote on any appointment of directors we hold prior to our initial business combination.</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Prior to our initial business combination, only holders of our founder shares will have the right to vote on the appointment of directors. Holders of our public shares will not be entitled to vote on the appointment of directors during such time. In addition, prior to our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295"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b w:val="1"/>
          <w:bCs w:val="1"/>
          <w:i w:val="1"/>
          <w:iCs w:val="1"/>
          <w:color w:val="auto"/>
        </w:rPr>
        <w:t>We are not registering the ArcLight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4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20 business days after the closing of our initial business combination, we will use our commercially reasonable efforts to file with the SEC a registration statement covering the issuance of such shares,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in accordance with the above requirements, we will be required to permit holders to exercise their warrants on a cashless basis, in which case, the number of Class A ordinary shares that you will receive upon cashless exercise will be based on a formula subject to a maximum amount of shares equal to 0.361 Class A ordinary shares per warrant (subject to adjustment).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reasonable efforts to register or qualify the shares under applicable blue sky laws to the extent an exemption is not available. Exercising the warrants on a cashless basis could have the effect of reducing the potential “upside” of the holder’s investment in our company because the warrant holder will hold a smaller number of Class A ordinary shares upon a cashless exercise of the warrants they hold.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public warrants included as part of units sold in our IPO. In such an instance, our sponsor and its permitted transferees (which may include our directors and executive officers) would be able to exercise their warrants and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underlying Class A ordinary shares for sale under all applicable state securities laws. As a result, we may redeem the warrants as set forth above even if the holders are otherwise unable to exercise their warrants.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warrants may become exercisable and redeemable for a security other than the ArcLight Class A ordinary shares, and you will not have any information regarding such other security at this time.</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certain situations, including if we are not the surviving entity in our initial business combination, the warrants may become exercisable for a security other than the ArcLight Class A ordinary shares. As a result, if the surviving company redeems your warrants for securities pursuant to the warrant agreement, you may receive a security in a company of which you do not have information at this time. Pursuant to the warrant agreement, the surviving company will be required to use commercially reasonable efforts to register the issuance of the security underlying the warrants within twenty business days of the closing of an initial business combination.</w:t>
      </w:r>
    </w:p>
    <w:p>
      <w:pPr>
        <w:spacing w:after="0" w:line="29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grant of registration rights to our sponsor may make it more difficult to complete our initial business combination, and the future exercise of such rights may adversely affect the market price of our ArcLight Class A ordinary shares.</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Pursuant to agreement registration and shareholder rights agreement, our sponsor and its permitted transferees can demand that we register the resale of the ArcLight Class A ordinary shares into which founder shares are convertible, the private placement warrants and the ArcLight Class A ordinary shares issuable upon exercise of the private placement warrants, and warrants that may be issued upon conversion of working capital loans and the ArcLight Class A ordinary shares issuable upon conversion of such warrants. We will bear the cost of registering these securities. The registration and availability of such a significant number of securities for trading in the public market may have an adverse effect on the market price of our ArcLight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securities that is expected when the securities owned by our sponsor or its permitted transferees are registered for resale.</w:t>
      </w:r>
    </w:p>
    <w:p>
      <w:pPr>
        <w:spacing w:after="0" w:line="289"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may pursue business combination opportunities in any sector, except that we are not, under our amended and restated memorandum and articles of association, permitted to effectuate our initial business combination solely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securities will ultimately prove to be more favorable to investors than a direct investment, if such opportunity were available, in a business combination target. Accordingly, any holders who choose to retain their securities following the business combination could suffer a reduction in the value of their securities. Such holders are unlikely to have a remedy for such reduction in value.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86"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seek acquisition opportunities in industries or sectors which may or may not be outside of our management’s area of expertise.</w:t>
      </w:r>
    </w:p>
    <w:p>
      <w:pPr>
        <w:spacing w:after="0" w:line="14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will consider a business combination outside of our management’s area of expertise if a business combination target is presented to us and we determine that such candidate offers an attractive acquisition opportunity for our company. Although our management will endeavor to evaluate the risks inherent in any particular business combination target, we cannot assure you that we will adequately ascertain or assess all of the significant risk factors. We also cannot assure you that an investment in our securities will not ultimately prove to be less favorable to investors in our securities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Report regarding the areas of our management’s expertise would not be relevant to an understanding of the business that we elect to acquire. As a result, our management may not be able to adequately ascertain or assess all of the significant risk factors. Accordingly, any holders who choose to retain their securities following the business combination could suffer a reduction in the value of their securities. Such holders are unlikely to have a remedy for such reduction in value.</w:t>
      </w:r>
    </w:p>
    <w:p>
      <w:pPr>
        <w:spacing w:after="0" w:line="293"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requirements, or we decide to obtain shareholder approval for business or other reasons, it may be more difficult for us to attain shareholder approval of our initial business combination if the target business does not meet our general criteria and guidelines.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90" w:lineRule="exact"/>
        <w:rPr>
          <w:sz w:val="20"/>
          <w:szCs w:val="20"/>
          <w:color w:val="auto"/>
        </w:rPr>
      </w:pPr>
    </w:p>
    <w:p>
      <w:pPr>
        <w:ind w:left="120" w:right="540"/>
        <w:spacing w:after="0" w:line="375"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Unless we complete our initial business combination with an affiliated entity, we are not required to obtain an opinion from an independent investment banking firm or another independent entity that commonly renders valuation opinions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b w:val="1"/>
          <w:bCs w:val="1"/>
          <w:i w:val="1"/>
          <w:iCs w:val="1"/>
          <w:color w:val="auto"/>
        </w:rPr>
        <w:t>We may issue additional ArcLight Class A ordinary shares or preferred shares to complete our initial business combination or under an employee incentive plan after completion of our initial business combination. We may also issue ArcLight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spacing w:after="0" w:line="80"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Our amended and restated memorandum and articles of association will authorize the issuance of up to 500,000,000 ArcLight Class A ordinary shares, par value $0.0001 per share, 50,000,000 ArcLight Class B ordinary shares, par value $0.0001 per share, and 5,000,000 preference shares, par value $0.0001 per share. There are 468,883,695 and 42,220,924 authorized but unissued ArcLight Class A ordinary shares and ArcLight Class B ordinary shares, respectively, available for issuance which amount does not take into account shares reserved for issuance upon exercise of outstanding warrants or shares issuable upon conversion of the ArcLight Class B ordinary shares, if any. The ArcLight Class B ordinary shares are automatically convertible into ArcLight Class A ordinary shares (which such ArcLight Class A ordinary shares delivered upon conversion will not have any redemption rights or be entitled to liquidating distributions from the Trust Account if we fail to consummate an initial business combination) at the time of our initial business combination or earlier at the option of the holders thereof as described herein and in our amended and restated memorandum and articles of association. There are no preference shares issued and outstanding.</w:t>
      </w:r>
    </w:p>
    <w:p>
      <w:pPr>
        <w:spacing w:after="0" w:line="16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may issue a substantial number of additional ArcLight Class A ordinary shares or preference shares to complete our initial business combination or under an employee incentive plan after completion of our initial business combination. We may also issue ArcLight Class A ordinary shares or upon conversion of the ArcLight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86" w:lineRule="exact"/>
        <w:rPr>
          <w:sz w:val="20"/>
          <w:szCs w:val="20"/>
          <w:color w:val="auto"/>
        </w:rPr>
      </w:pPr>
    </w:p>
    <w:p>
      <w:pPr>
        <w:ind w:left="1080" w:right="4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investors, which dilution would increase if the anti-dilution provisions in the ArcLight Class B ordinary shares resulted in the issuance of ArcLight Class A ordinary shares on a greater than one-to-one basis upon conversion of the ArcLight Class B ordinary shares;</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subordinate the rights of holders of ArcLight Class A ordinary shares if preference shares are issued with rights senior to those afforded our ArcLight Class A ordinary shares;</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ArcLight Class A ordinary shares are issued, which may affect, among other things, our ability to use our net operating loss carry forwards, if any, and could result in the resignation or removal of our present officers and directors;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ArcLight Class A ordinary shares and/or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33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Unlike some other similarly structured blank check companies, our sponsor will receive additional ArcLight Class A ordinary shares if we issue shares to consummate an initial business combination.</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founder shares will automatically convert into ArcLight Class A ordinary shares (which such ArcLight Class A ordinary shares delivered upon conversion will not have any redemption rights or be entitled to liquidating distributions from the Trust Account if we fail to consummate an initial business combination) at the time of our initial business combination or earlier at the option of the holders thereof at a ratio such that the number of ArcLight Class A ordinary shares issuable upon conversion of all founder shares will equal, in the aggregate, on an as-converted basis, 20% of the sum of (i) the total number of ordinary shares issued and outstanding upon completion of our IPO, plus (ii) the total number of ArcLight Class A ordinary shares issued or deemed issued or issuable upon conversion or exercise of any equity-linked securities or rights issued or deemed issued, by ArcLight in connection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with or in relation to the consummation of the initial business combination, excluding any ArcLight Class A ordinary shares or equity-linked securities exercisable for or convertible into ArcLight Class A ordinary shares issued, deemed issued, or to be issued, to any seller in the initial business combination and any private placement warrants issued to our sponsor, any of its affiliates or any members of our management team upon conversion of working capital loans. In no event will the ArcLight Class B ordinary shares convert into ArcLight Class A ordinary shares at a rate of less than one-to-one. This is different than some other similarly structured blank check companies in which the initial shareholders will only be issued an aggregate of 20% of the total number of shares to be outstanding prior to the initial business combination.</w:t>
      </w:r>
    </w:p>
    <w:p>
      <w:pPr>
        <w:spacing w:after="0" w:line="28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acquisitions that are not completed, which could materially adversely affect subsequent attempts to locate and acquire or merge with another business.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7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be a passive foreign investment company, or “PFIC,” which could result in adverse U.S. federal income tax consequences to U.S. investors.</w:t>
      </w:r>
    </w:p>
    <w:p>
      <w:pPr>
        <w:spacing w:after="0" w:line="15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If we are a PFIC for any taxable year (or portion thereof) that is included in the holding period of a beneficial owner of our units, ArcLight Class A ordinary shares or warrants, who or that is (i) an individual who is a citizen or resident of the United States as determined for U.S. federal income tax purposes, (ii) a corporation (or other entity taxable as a corporation for U.S. federal income tax purposes) organized in or under the laws of the United States, any state thereof or the District of Columbia, (iii) an estate whose income is subject to U.S. federal income tax regardless of its source, or (iv) a trust, if (a) a court within the United States is able to exercise primary supervision over the administration of the trust and one or more U.S. persons (as defined in the Code) have authority to control all substantial decisions of the trust or (b) it has a valid election in effect under Treasury Regulations to be treated as a U.S. person (a “U.S. Holder”), such U.S. holder may be subject to certain adverse U.S. federal income tax consequences and may be subject to additional reporting requirements. Our PFIC status for our current and subsequent taxable years may depend on whether we qualify for the PFIC start-up exception.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such reincorporation may result in taxes imposed on shareholders.</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We do not intend to make any cash distributions to shareholders or warrant holders to pay such taxes. Shareholders or warrant holders may be subject to withholding taxes or other taxes with respect to their ownership of us after the reincorporation.</w:t>
      </w:r>
    </w:p>
    <w:p>
      <w:pPr>
        <w:spacing w:after="0" w:line="269" w:lineRule="exact"/>
        <w:rPr>
          <w:sz w:val="20"/>
          <w:szCs w:val="20"/>
          <w:color w:val="auto"/>
        </w:rPr>
      </w:pPr>
    </w:p>
    <w:p>
      <w:pPr>
        <w:jc w:val="both"/>
        <w:ind w:left="120" w:right="380"/>
        <w:spacing w:after="0" w:line="375" w:lineRule="auto"/>
        <w:rPr>
          <w:sz w:val="20"/>
          <w:szCs w:val="20"/>
          <w:color w:val="auto"/>
        </w:rPr>
      </w:pPr>
      <w:r>
        <w:rPr>
          <w:rFonts w:ascii="Arial" w:cs="Arial" w:eastAsia="Arial" w:hAnsi="Arial"/>
          <w:sz w:val="15"/>
          <w:szCs w:val="15"/>
          <w:b w:val="1"/>
          <w:bCs w:val="1"/>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87"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upon our executive officers and directors, and their loss could adversely affect our ability to operate.</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unexpected loss of the services of one or more of our directors or executive officers could have a detrimental effect on us.</w:t>
      </w:r>
    </w:p>
    <w:p>
      <w:pPr>
        <w:spacing w:after="0" w:line="33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director or advisory positions following our initial business combination, it is likely that some or all of the management of the target business will remain in place. While we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63"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 registration and shareholders rights agreement, our sponsor, upon and following consummation of an initial business combination, will be entitled to nominate three individuals for appointment to our board of directors, as long as the sponsor holds any securities covered by the registration and shareholder rights agreement, which is described under the section of this Annual Report on Form 10-K entitled “Contractual Obligations — Registration and Shareholder Rights.”</w:t>
      </w:r>
    </w:p>
    <w:p>
      <w:pPr>
        <w:spacing w:after="0" w:line="28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holders who choose to retain their securities following the business combination could suffer a reduction in the value of their securities. Such holders are unlikely to have a remedy for such reduction in value.</w:t>
      </w:r>
    </w:p>
    <w:p>
      <w:pPr>
        <w:spacing w:after="0" w:line="272"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257" w:lineRule="exact"/>
        <w:rPr>
          <w:sz w:val="20"/>
          <w:szCs w:val="20"/>
          <w:color w:val="auto"/>
        </w:rPr>
      </w:pPr>
    </w:p>
    <w:p>
      <w:pPr>
        <w:jc w:val="both"/>
        <w:ind w:left="120" w:right="60"/>
        <w:spacing w:after="0" w:line="375" w:lineRule="auto"/>
        <w:rPr>
          <w:sz w:val="20"/>
          <w:szCs w:val="20"/>
          <w:color w:val="auto"/>
        </w:rPr>
      </w:pPr>
      <w:r>
        <w:rPr>
          <w:rFonts w:ascii="Arial" w:cs="Arial" w:eastAsia="Arial" w:hAnsi="Arial"/>
          <w:sz w:val="15"/>
          <w:szCs w:val="15"/>
          <w:b w:val="1"/>
          <w:bCs w:val="1"/>
          <w:i w:val="1"/>
          <w:i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b w:val="1"/>
          <w:bCs w:val="1"/>
          <w:i w:val="1"/>
          <w:iCs w:val="1"/>
          <w:color w:val="auto"/>
        </w:rPr>
        <w:t>Our officers and directors presently have, and many of them in the future are expected to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76"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Until we consummate our initial business combination, we intend to engage in the business of identifying and combining with one or more businesses or entities. Each of our officers and directors presently has, and many of them in the future are expected to have, additional fiduciary or contractual obligations to other entities pursuant to which such officer or director is or will be required to present a business combination opportunity to such entity, subject to his or her fiduciary duties under Cayman Islands law. Accordingly, they may have conflicts of interest in determining to which entity a particular business opportunity should be presented. Our directors and officers affiliated with ArcLight may in particular have conflicts with funds affiliated with ArcLight, including ArcLight’s most recent flagship fund, ArcLight Energy Partners Fund VII, L.P., which closed in January 2020 with approximately $3.4 billion of commitments, and/or other funds or investment vehicles formed by ArcLight in the future. While these other funds and investment vehicles are not expected to pursue investment objectives identical to ours, in certain circumstances investment objectives may overlap and these conflicts may not be resolved in our favor; a potential target business may be presented to another entity prior to its presentation to us, subject to their fiduciary duties under Cayman Islands law.</w:t>
      </w:r>
    </w:p>
    <w:p>
      <w:pPr>
        <w:spacing w:after="0" w:line="185"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In addition, our sponsor, officers and directors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28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security holders and their respective affiliates may have competitive pecuniary interests that conflict with our interests.</w:t>
      </w:r>
    </w:p>
    <w:p>
      <w:pPr>
        <w:spacing w:after="0" w:line="62"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We may engage in a business combination with one or more target businesses that have relationships with entities that may be affiliated with our sponsor, executive officers, directors or initial shareholders, which may raise potential conflicts of interest.</w:t>
      </w:r>
    </w:p>
    <w:p>
      <w:pPr>
        <w:spacing w:after="0" w:line="3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light of the involvement of our sponsor, executive officers and directors with other entities, we may decide to acquire one or more businesses affiliated with our sponsor, executive officers, directors or initial shareholders. Such entities may compete with us for business combination opportunities. Although we will not be specifically focusing on, or targeting, any transaction with any affiliated entities, we would pursue such a transaction if we determined that such affiliated entity met our criteria and guidelines for a business combination as set forth in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or another independent entity that commonly renders valuation opinions regarding the fairness to our company from a financial point of view of a business combination with one or more domestic or international businesses affiliated with our sponsor, executive officers, directors or initial shareholders, potential conflicts of interest still may exist and, as a result, the terms of the business combination may not be as advantageous to our public shareholders as they would be absent any conflicts of interest.</w:t>
      </w:r>
    </w:p>
    <w:p>
      <w:pPr>
        <w:spacing w:after="0" w:line="29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7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On January 20, 2021, our sponsor paid $25,000, or approximately $0.003 per share, to cover certain expenses on our behalf in consideration of 7,187,500 Class B ordinary shares, par value $0.0001. On March 22, 2021, we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our issued and outstanding shares after the IPO.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will be worthless if we do not complete an initial business combination. In addition, our sponsor purchased an aggregate of 9,223,261 private placement warrants for a purchase price of $1.00 per whole warrant in a private placement that occurred simultaneously with the closing of our IPO. As such, our sponsor’s interest in this transaction was valued at $9,223,261. If we do not consummate an initial business within 24 months (or 30 months, as applicable) from the closing of the IPO, the private placement warrants will expire worthless.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(or 30 months, as applicable) anniversary of the closing of the IPO nears, which is the deadline for our consummation of an initial business combination.</w:t>
      </w:r>
    </w:p>
    <w:p>
      <w:pPr>
        <w:spacing w:after="0" w:line="28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3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Although we have no commitments as of the date of this Report to issue any notes or other debt securities, or to otherwise incur outstanding debt following our IPO,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93" w:lineRule="exact"/>
        <w:rPr>
          <w:sz w:val="20"/>
          <w:szCs w:val="20"/>
          <w:color w:val="auto"/>
        </w:rPr>
      </w:pPr>
    </w:p>
    <w:p>
      <w:pPr>
        <w:ind w:left="1080" w:right="5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3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our IPO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76"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net proceeds from our IPO and the sale of the private placement warrants provided us with up to $300,284,764 that we may use to complete our initial business combination (after taking into account the $10,890,707 of deferred underwriting commissions being held in the Trust Account and the estimated non-reimbursed expenses of our IPO).</w:t>
      </w:r>
    </w:p>
    <w:p>
      <w:pPr>
        <w:spacing w:after="0" w:line="184"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may effectuate our initial business combination with a single-target business or multiple-target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4"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5540" w:right="1440" w:hanging="4884"/>
        <w:spacing w:after="0" w:line="449" w:lineRule="auto"/>
        <w:tabs>
          <w:tab w:leader="none" w:pos="10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 48</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278"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29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1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We may structure our initial business combination so that the post-business combination company in which our public shareholders own shares will own less than 100% of the equity interests or assets of a target business, but we will only complete such business combination if the post-business combination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post-business combination company owns 50% or more of the voting securities of the target, our shareholders prior to our initial business combination may collectively own a minority interest in the post-business combination company, depending on valuations ascribed to the target and us in the business combination. For example, we could pursue a transaction in which we issue a substantial number of new ArcLight Class A ordinary shares in exchange for all of the outstanding shares, capital stock or other equity interests of a target. In this case, we would acquire a 100% interest in the target. However, as a result of the issuance of a substantial number of new ArcLight Class A ordinary shares, our shareholders immediately prior to such transaction could own less than a majority of our outstanding ArcLight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seek business combination opportunities with a high degree of complexity that require significant operational improvements, which could delay or prevent us from achieving our desired results.</w:t>
      </w:r>
    </w:p>
    <w:p>
      <w:pPr>
        <w:spacing w:after="0" w:line="6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memorandum and articles of association does not provide a specified maximum redemption threshold, except that in no event will we redeem our public shares in an amount that would cause our net tangible assets to be less than $5,000,001 (so that we do not then become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their affiliates. In the event the aggregate cash consideration we would be required to pay for all ArcLight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ArcLight Class A ordinary shares submitted for redemption will be returned to the holders thereof, and we instead may search for an alternate business combination.</w:t>
      </w:r>
    </w:p>
    <w:p>
      <w:pPr>
        <w:spacing w:after="0" w:line="293"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7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and/or other securities. Amending our amended and restated memorandum and articles of association require a special resolution of our shareholders as a matter of Cayman Islands law, meaning the approval of holders of at least two-thirds of our ordinary shares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amended and restated memorandum and articles of association will require us to provide our public shareholders with the opportunity to redeem their public shares for cash if we propose an amendment to our amended and restated memorandum and articles of association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hanging="4"/>
        <w:spacing w:after="0" w:line="273" w:lineRule="auto"/>
        <w:tabs>
          <w:tab w:leader="none" w:pos="4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that would modify the substance or timing of our obligation to provide holders of our ArcLight Class A ordinary shares the right to have their shares redeemed in connection with our initial business combination or to redeem 100% of our public shares if we do not complete our initial business combination within 24 months (unless such date is extended in accordance with the amended and restated memorandum and articles of association) from the closing of our IPO or (B) with respect to any other provision relating to the rights of holders of our ArcLight Class A ordinary shares. To the extent any of such amendments would be deemed to fundamentally change the nature of any of the securities offered through our IPO, we would register, or seek an exemption from registration for, the affected securities.</w:t>
      </w:r>
    </w:p>
    <w:p>
      <w:pPr>
        <w:spacing w:after="0" w:line="286"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b w:val="1"/>
          <w:bCs w:val="1"/>
          <w:i w:val="1"/>
          <w:iCs w:val="1"/>
          <w:color w:val="auto"/>
        </w:rPr>
        <w:t>The provisions of our amended and restated memorandum and articles of association that relate to the rights of holders of our ArcLight Class A ordinary shares (and corresponding provisions of the agreement governing the release of funds from our Trust Account) may be amended with the approval of a special resolution which requires the approval of the holders of at least two-thirds of our ordinary shares who attend and vote at a general meeting of the company, which is a lower amendment threshold than that of some other blank check companies. It may be easier for us, therefore, to amend our amended and restated memorandum and articles of association to facilitate the completion of the Business Combination that some of our shareholders may not support.</w:t>
      </w:r>
    </w:p>
    <w:p>
      <w:pPr>
        <w:spacing w:after="0" w:line="70"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Some other blank check companies have a provision in their charter which prohibits the amendment of certain of its provisions, including those which relate to the rights of a company’s shareholders, without approval by a certain percentage of the company’s shareholders. In those companies, amendment of these provisions typically requires approval by between 90% and 100% of the company’s public shareholders. Our amended and restated memorandum and articles of association will provide that any of its provisions related to the rights of holders of our Class A ordinary shares (including the requirement to deposit proceeds of our IPO and the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(in person or by proxy) and vote at a general meeting of the company, and corresponding provisions of the trust agreement governing the release of funds from our Trust Account may be amended if approved by holders of at least 65% of our ordinary shares; provided that the provisions of our amended and restated memorandum and articles of association governing the appointment or removal of directors prior to our initial business combination may only be amended by a special resolution passed by not less than two-thirds of the holders of our ArcLight ordinary shares who attend (in person or by proxy) and vote at our general meeting which shall include the affirmative vote of a simple majority of our ArcLight Class B ordinary shares. ArcLight’s sponsor and its permitted transferees, if any, who collectively beneficially own, on an as-converted basis, 20% of our issued and outstanding ArcLight Class A ordinary shares upon the closing of the IPO, will participate in any vote to amend the amended and restated memorandum and articles of association and/or trust agreement and will have the discretion to vote in any manner they choose. As a result, we may be able to amend the provisions of the amended and restated memorandum and articles of association which govern our pre-Business Combination behavior more easily than some other special purpose acquisition companies, and this may increase our ability to complete the Business Combination with which you may not agree. Our shareholders may pursue remedies against us for any breach of the amended and restated memorandum and articles of association.</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sponsor, executive officers and directors agreed, pursuant to agreements with us, that they will not propose any amendment to the amended and restated memorandum and articles of association (A) that would modify the substance or timing of our obligation to provide holders of our ArcLight Class A ordinary shares the right to have their shares redeemed in connection with an initial business combination or to redeem 100% of our ArcLight Class A ordinary shares if we do not complete our initial business combination within 24 months (unless such date is extended in accordance with the amended and restated memorandum and articles of association) from the closing of the IPO or (B) with respect to any other provision relation to the rights of holders of ArcLight Class A ordinary shares, unless we provide our public shareholders with the opportunity to redeem their ArcLight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and directors for any breach of these agreements. As a result, in the event of a breach, our shareholders would need to pursue a shareholder derivative action, subject to applicable law.</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If the net proceeds of our IPO not being held in the Trust Account are insufficient to allow us to operate through March 25, 2023, and we are unable to obtain additional capital, we may be unable to complete our initial business combination, in which case our public shareholders may only receive $10.00 per share, and our warrants will expire worthless.</w:t>
      </w:r>
    </w:p>
    <w:p>
      <w:pPr>
        <w:spacing w:after="0" w:line="76" w:lineRule="exact"/>
        <w:rPr>
          <w:sz w:val="20"/>
          <w:szCs w:val="20"/>
          <w:color w:val="auto"/>
        </w:rPr>
      </w:pPr>
    </w:p>
    <w:p>
      <w:pPr>
        <w:ind w:left="120" w:right="160" w:firstLine="440"/>
        <w:spacing w:after="0" w:line="288" w:lineRule="auto"/>
        <w:rPr>
          <w:sz w:val="20"/>
          <w:szCs w:val="20"/>
          <w:color w:val="auto"/>
        </w:rPr>
      </w:pPr>
      <w:r>
        <w:rPr>
          <w:rFonts w:ascii="Arial" w:cs="Arial" w:eastAsia="Arial" w:hAnsi="Arial"/>
          <w:sz w:val="16"/>
          <w:szCs w:val="16"/>
          <w:color w:val="auto"/>
        </w:rPr>
        <w:t>As of December 31, 2021, we had cash of approximately $812,000 million held outside the Trust Account, which is available for use by us to cover the costs associated with identifying a target business and negotiating a business combination and other general corporate uses. In addition, as of December 31, 2021, we had total current liabilities of approximately $113,000. The funds available to us outside of the Trust Account may not be sufficient to allow us to operate until March 25, 2023, assuming that our initial business combination is not completed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68"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If we are required to seek additional capital, we would need to borrow funds from our sponsor, members of our management team or other third parties to operate or may be forced to liquidate. Any such advances would be repaid only from funds held outside the Trust Account or from funds released to us upon completion of our initial business combination. If we are unable to obtain additional financing, we may be unable to complete our initial business combination. If we are unable to complete our initial business combination because we do not have sufficient funds available to us, we will be forced to cease operations and liquidate the Trust Account. Consequently, our public shareholders may only receive approximately $10.00 per share on our redemption of the public shares and the ArcLight public warrants will expire worthless.</w:t>
      </w:r>
    </w:p>
    <w:p>
      <w:pPr>
        <w:spacing w:after="0" w:line="28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sponsor controls a substantial interest in us and thus may exert a substantial influence on actions requiring a shareholder vote, potentially in a manner that you do not support.</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Upon closing of our IPO, our sponsor owns, on an as-converted basis, 20% of our issued and outstanding ordinary shares. Accordingly, it may exert a substantial influence on actions requiring a shareholder vote, potentially in a manner that you do not support, including amendments to our amended and restated memorandum and articles of association. If our sponsor purchases any of our securities in the aftermarket or in privately negotiated transactions, this would increase its control. Neither our sponsor nor, to our knowledge, any of our officers or directors, have any current intention to purchase additional securities, other than as disclosed in this Report. Factors that would be considered in making such additional purchases would include consideration of the current trading price of our Class A ordinary shares. In addition, our board of directors, whose members were appointed by our sponsor, is divided into three classes, each of which will generally serve for a term of three years, with only one class of directors being appointed in each year. We may not hold an annual general meeting to appoint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appointment and our sponsor, because of its ownership position, will control the outcome, as only holders of our Class B ordinary shares will have the right to vote on the appointment of directors and to remove directors prior to our initial business combination. Accordingly, our sponsor will continue to exert control at least until the completion of our initial business combination. In addition, we have agreed not to enter into a definitive agreement regarding an initial business combination without the prior consent of our sponsor.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86"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of public warrants with the approval by the holders of at least 50% of the then-outstanding public warrants. As a result, the exercise price of your warrants could be increased, the exercise period could be shortened and the number of our ArcLight Class A ordinary shares purchasable upon exercise of a warrant could be decreased, all without your approval.</w:t>
      </w:r>
    </w:p>
    <w:p>
      <w:pPr>
        <w:spacing w:after="0" w:line="7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correcting any mistake, including to conform the provisions of the warrant agreement to the description of the terms of the warrants and the warrant agreement set forth in ArcLight’s IPO prospectus, or defective provision (ii) amending the provisions relating to cash dividends on ArcLight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ArcLight public warrants is required to make any change that adversely affects the interests of the registered holders of ArcLight public warrants. Accordingly, we may amend the terms of the ArcLight public warrants in a manner adverse to the holder if the holders of at least 50% of the then-outstanding ArcLight public warrants approve of such amendment and, solely with respect to any amendment to the terms of the ArcLight private placement warrants or any provision of the warrant agreement with respect to the ArcLight private placement warrants, 50% of the number of the then-outstanding ArcLight private placement warrants. Although our ability to amend the terms of the ArcLight public warrants with the consent of at least 50% of the then outstanding ArcLight public warrants is unlimited, examples of such amendments could be amendments to, among other things, increase the exercise price of the warrants, convert the warrants into cash, shorten the exercise period or decrease the number of ArcLight Class A ordinary shares purchasable upon exercise of a warrant.</w:t>
      </w:r>
    </w:p>
    <w:p>
      <w:pPr>
        <w:spacing w:after="0" w:line="275"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5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120" w:right="460" w:hanging="4"/>
        <w:spacing w:after="0" w:line="260" w:lineRule="auto"/>
        <w:tabs>
          <w:tab w:leader="none" w:pos="3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having service of process made upon such warrant holder in any such enforcement action by service upon such warrant holder’s counsel in the foreign action as agent for such warrant holder.</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86"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15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 xml:space="preserve">We have the ability to redeem the outstanding public warrants at any time after they become exercisable and prior to their expiration, at a price of $0.01 per warrant,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ArcLight Class A ordinary shares equals or exceeds $18.00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thereof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w:t>
      </w:r>
    </w:p>
    <w:p>
      <w:pPr>
        <w:spacing w:after="0" w:line="18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price of ArcLight Class A ordinary shares equals or exceeds $10.00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 trading-day period ending on the third trading day prior to proper notice of such redemption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certain other conditions are met, including that holders will be able to exercise their warrants prior to redemption for a number of ArcLight Class A ordinary shares determined based on the redemption date and the fair market value of our Class A ordinary shares. The value received upon exercise of the warrants</w:t>
      </w:r>
    </w:p>
    <w:p>
      <w:pPr>
        <w:spacing w:after="0" w:line="2" w:lineRule="exact"/>
        <w:rPr>
          <w:sz w:val="20"/>
          <w:szCs w:val="20"/>
          <w:color w:val="auto"/>
        </w:rPr>
      </w:pPr>
    </w:p>
    <w:p>
      <w:pPr>
        <w:ind w:left="120" w:right="300" w:hanging="4"/>
        <w:spacing w:after="0" w:line="302" w:lineRule="auto"/>
        <w:tabs>
          <w:tab w:leader="none" w:pos="3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ArcLight Class A ordinary shares per warrant (subject to adjustment) irrespective of the remaining life of the warrants.</w:t>
      </w:r>
    </w:p>
    <w:p>
      <w:pPr>
        <w:spacing w:after="0" w:line="15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None of the private placement warrants will be redeemable by us as (except as set forth under “Description of Securities — Warrants — Public Shareholders’ Warrants — Redemption of warrants when the price per ArcLight Class A ordinary share equals or exceeds $10.00”) so long as they are held by our sponsor or its permitted transferees.</w:t>
      </w:r>
    </w:p>
    <w:p>
      <w:pPr>
        <w:spacing w:after="0" w:line="29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warrants may have an adverse effect on the market price of our ArcLight Class A ordinary shares and make it more difficult to effectuate our initial business combination.</w:t>
      </w:r>
    </w:p>
    <w:p>
      <w:pPr>
        <w:spacing w:after="0" w:line="62"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We issued ArcLight public warrants to purchase 6,223,261 of our ArcLight Class A ordinary shares as part of the units offered in the IPO and, simultaneously with the closing of the IPO, we issued in a private placement an aggregate of 9,223,261 ArcLight private placement warrants, each exercisable to purchase one Class A ordinary share at $11.50 per share. In addition, if the sponsor, its affiliates or a member of our management team makes any working capital loans, it may convert up to $1,500,00 of such loans into up to. Subsequently, we issued and sold an additional 3,616,305 units pursuant to the underwriter’s partial exercise of the over-allotment option at a price of $10.00 per unit.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9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Because each unit contains one-fifth of one redeemable warrant and only a whole warrant may be exercised, the units may be worth less than units of other blank check companies.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Each unit contains one-fifth of one redeemable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ArcLight Class A ordinary shares to be issued to the warrant holder. This is different from other offerings similar to ours whose units include one ordinary share and one whole warrant to purchase one whole share. We have established the components of the units in this way in order to reduce the dilutive effect of the warrants upon completion of a business combination since the warrants will be exercisable in the aggregate for one-fifth of the number of shares compared to units that each contain a whole warrant to purchase one whole share, thus making us, we believe, a more attractive merger partner for target businesses. Nevertheless, this unit structure may cause our units to be worth less than if a unit included a warrant to purchase one whole share.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Unlike some blank check companies, if (i) we issue additional Class A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prices described below under “Description of Securities — Warrants — Public Shareholders’ Warrants — Redemption of warrants when the price per Class A ordinary share equals or exceeds $18.00” will be adjusted (to the nearest cent) to be equal to 180% of the higher of the Market Value and the Newly Issued Price, and the $10.00 per share redemption trigger price described below under “Description of Securities — Warrants — Public Shareholders’ Warrants — Redemption of warrants when the price per ArcLight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market for our securities may not develop, which would adversely affect the liquidity and price of our securities.</w:t>
      </w:r>
    </w:p>
    <w:p>
      <w:pPr>
        <w:spacing w:after="0" w:line="117"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273"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proceeds held in the Trust Account are invested in direct U.S. Treasury obligations with a maturity of 185 days or less, or in money market funds meeting certain conditions under Rule 2a-7 under the Investment Company Act, which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86"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Committee of the Federal Reserve has not ruled out the possibility that it may in the future adopt similar policies in the U.S. In the event that ArcLight is unable to complete the Business Combination, another initial business combination or make certain amendments to the amended and restated memorandum and articles of association, ArcLight’s public shareholders are entitled to receive their pro-rata share of the proceeds held in the Trust Account, plus any interest income, net of taxes paid or payable (less, in the case ArcLight is unable to complete the Business Combination, $100,000 of interest). Very low or negative interest rates could reduce the value of the assets held in trust such that the per-share redemption amount received by public shareholders may be less than $10.00 per ArcLight Class A ordinary share.</w:t>
      </w:r>
    </w:p>
    <w:p>
      <w:pPr>
        <w:spacing w:after="0" w:line="2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62"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statements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w:t>
      </w:r>
    </w:p>
    <w:p>
      <w:pPr>
        <w:spacing w:after="0" w:line="4" w:lineRule="exact"/>
        <w:rPr>
          <w:sz w:val="20"/>
          <w:szCs w:val="20"/>
          <w:color w:val="auto"/>
        </w:rPr>
      </w:pPr>
    </w:p>
    <w:p>
      <w:pPr>
        <w:jc w:val="both"/>
        <w:ind w:left="120" w:right="380"/>
        <w:spacing w:after="0" w:line="255" w:lineRule="auto"/>
        <w:rPr>
          <w:sz w:val="20"/>
          <w:szCs w:val="20"/>
          <w:color w:val="auto"/>
        </w:rPr>
      </w:pPr>
      <w:r>
        <w:rPr>
          <w:rFonts w:ascii="Arial" w:cs="Arial" w:eastAsia="Arial" w:hAnsi="Arial"/>
          <w:sz w:val="18"/>
          <w:szCs w:val="18"/>
          <w:color w:val="auto"/>
        </w:rPr>
        <w:t>(United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29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4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86"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3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300"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6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84"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Our corporate affairs and the rights of shareholders are governed by our amended and restated memorandum and articles of association, the Companies Law (as the same may be supplemented or amended from time to time) and the common law of the Cayman Islands. We are also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6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w:t>
      </w:r>
    </w:p>
    <w:p>
      <w:pPr>
        <w:ind w:left="120"/>
        <w:spacing w:after="0" w:line="255" w:lineRule="auto"/>
        <w:rPr>
          <w:sz w:val="20"/>
          <w:szCs w:val="20"/>
          <w:color w:val="auto"/>
        </w:rPr>
      </w:pPr>
      <w:r>
        <w:rPr>
          <w:rFonts w:ascii="Arial" w:cs="Arial" w:eastAsia="Arial" w:hAnsi="Arial"/>
          <w:sz w:val="18"/>
          <w:szCs w:val="18"/>
          <w:color w:val="auto"/>
        </w:rPr>
        <w:t>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2"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32"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Provisions in our amended and restated memorandum and articles of association may inhibit a takeover of us, which could limit the price investors might be willing to pay in the future for ArcLight Class A ordinary shares and could entrench management.</w:t>
      </w:r>
    </w:p>
    <w:p>
      <w:pPr>
        <w:spacing w:after="0" w:line="3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and the ability of the board of directors to designate the terms of and issue new series of preference shares, and the fact that prior to the completion of our initial business combination, only holders of ArcLight Class B ordinary shares, which have been issued to our sponsor, are entitled to vote on the appointment of directors, which may make more difficult the removal of management and may discourage transactions that otherwise could involve payment of a premium over prevailing market prices for our securities.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129"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303"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Since only holders of our founder shares will have the right to vote on the appointment of directors, upon the listing of our shares on Nasdaq, Nasdaq may consider us to be a “controlled company” within the meaning of Nasdaq rules and, as a result, we may qualify for exemptions from certain corporate governance requirements.</w:t>
      </w:r>
    </w:p>
    <w:p>
      <w:pPr>
        <w:spacing w:after="0" w:line="76"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After completion of our IPO, only holders of our founder shares will have the right to vote on the appointment of directors. As a result, Nasdaq may consider us to be a “controlled company” within the meaning of Nasdaq corporate governance standards. Under Nasdaq corporate governance standards, a company of which more than 50% of the voting power is held by an individual, group or another company is a “controlled company” and may elect not to comply with certain corporate governance requirements, including the requirements that:</w:t>
      </w:r>
    </w:p>
    <w:p>
      <w:pPr>
        <w:spacing w:after="0" w:line="77" w:lineRule="exact"/>
        <w:rPr>
          <w:sz w:val="20"/>
          <w:szCs w:val="20"/>
          <w:color w:val="auto"/>
        </w:rPr>
      </w:pPr>
    </w:p>
    <w:p>
      <w:pPr>
        <w:ind w:left="5540" w:right="2400" w:hanging="4884"/>
        <w:spacing w:after="0" w:line="449" w:lineRule="auto"/>
        <w:tabs>
          <w:tab w:leader="none" w:pos="10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a board that includes a majority of “independent directors,” as defined under the rules of Nasdaq; 58</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 compensation committee of our board that is comprised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of our board that is comprised entirely of independent directors with a written charter addressing the committee’s purpose and responsibilities.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 corporate governance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121"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b w:val="1"/>
          <w:bCs w:val="1"/>
          <w:i w:val="1"/>
          <w:i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4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320" w:top="486" w:right="5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terrorist attacks, natural disasters and wars;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combination, our operations might suffer, either of which may adversely impact our business, financial condition and results of operations.</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296"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After our initial business combination, substantially all of our assets may be located in a foreign country and substantially all of our revenue may be derived from our operations in any such country. Accordingly, our results of operations and prospects will be subject, to a significant extent, to the economic, political and social conditions and government policies, developments and conditions in the country in which we operate.</w:t>
      </w:r>
    </w:p>
    <w:p>
      <w:pPr>
        <w:spacing w:after="0" w:line="2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Exchange rate fluctuations and currency policies may cause a target business’ ability to succeed in the international markets to be diminished.</w:t>
      </w:r>
    </w:p>
    <w:p>
      <w:pPr>
        <w:spacing w:after="0" w:line="14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86"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26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62"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26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6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0" w:lineRule="exact"/>
        <w:rPr>
          <w:sz w:val="20"/>
          <w:szCs w:val="20"/>
          <w:color w:val="auto"/>
        </w:rPr>
      </w:pPr>
    </w:p>
    <w:p>
      <w:pPr>
        <w:ind w:left="120" w:right="160" w:firstLine="440"/>
        <w:spacing w:after="0" w:line="226" w:lineRule="auto"/>
        <w:rPr>
          <w:sz w:val="20"/>
          <w:szCs w:val="20"/>
          <w:color w:val="auto"/>
        </w:rPr>
      </w:pPr>
      <w:r>
        <w:rPr>
          <w:rFonts w:ascii="Arial" w:cs="Arial" w:eastAsia="Arial" w:hAnsi="Arial"/>
          <w:sz w:val="18"/>
          <w:szCs w:val="18"/>
          <w:color w:val="auto"/>
        </w:rPr>
        <w:t>Our executive offices are located at 200 Clarendon Street, 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Boston, MA 02116, and our telephone number is (617) 531-6300. The cost for our use of this space is included in the $10,000 per month fee we pay to an affiliate of our sponsor for office space, administrative and support services. We consider our current office space adequate for our current operations.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On February 14, 2022, the Company received a demand letter from a purported shareholder of the Company claiming certain alleged material omissions in the registration statement on Form S-4, initially filed with the SEC on February 8, 2022, surrounding its planned transaction with OPAL Fuels. Additional demand letters may follow in the future. The Company specifically denies all allegations in the demand letter that any additional disclosure is required and believes this purported shareholder’s claim is without merit.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139"/>
          </w:cols>
          <w:pgMar w:left="320" w:top="486"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67"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units, Class A ordinary shares and warrants are each traded on NASDAQ under the symbol “ACTDU”, “ACTD” and “ACTDW”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units commenced public trading on March 23, 2021. Our Class A ordinary shares and warrants began separate trading on May 13, 2021.</w:t>
      </w:r>
    </w:p>
    <w:p>
      <w:pPr>
        <w:spacing w:after="0" w:line="367"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December 31, 2021, there was one holder of record for our units, one holder of record for our Class A ordinary shares, five holders of our Class B ordinary shares and two holders of record of our warrants.</w:t>
      </w:r>
    </w:p>
    <w:p>
      <w:pPr>
        <w:spacing w:after="0" w:line="315"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In addition, our board of directors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322" w:lineRule="exact"/>
        <w:rPr>
          <w:sz w:val="20"/>
          <w:szCs w:val="20"/>
          <w:color w:val="auto"/>
        </w:rPr>
      </w:pPr>
    </w:p>
    <w:p>
      <w:pPr>
        <w:ind w:left="560" w:right="5200" w:hanging="444"/>
        <w:spacing w:after="0" w:line="407" w:lineRule="auto"/>
        <w:tabs>
          <w:tab w:leader="none" w:pos="55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Authorized for Issuance Under Equity Compensation Plans </w:t>
      </w:r>
      <w:r>
        <w:rPr>
          <w:rFonts w:ascii="Arial" w:cs="Arial" w:eastAsia="Arial" w:hAnsi="Arial"/>
          <w:sz w:val="18"/>
          <w:szCs w:val="18"/>
          <w:color w:val="auto"/>
        </w:rPr>
        <w:t>None.</w:t>
      </w:r>
    </w:p>
    <w:p>
      <w:pPr>
        <w:spacing w:after="0" w:line="202" w:lineRule="exact"/>
        <w:rPr>
          <w:rFonts w:ascii="Arial" w:cs="Arial" w:eastAsia="Arial" w:hAnsi="Arial"/>
          <w:sz w:val="18"/>
          <w:szCs w:val="18"/>
          <w:b w:val="1"/>
          <w:bCs w:val="1"/>
          <w:color w:val="auto"/>
        </w:rPr>
      </w:pPr>
    </w:p>
    <w:p>
      <w:pPr>
        <w:ind w:left="560" w:right="9020" w:hanging="444"/>
        <w:spacing w:after="0" w:line="488" w:lineRule="auto"/>
        <w:tabs>
          <w:tab w:leader="none" w:pos="552"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Graph </w:t>
      </w:r>
      <w:r>
        <w:rPr>
          <w:rFonts w:ascii="Arial" w:cs="Arial" w:eastAsia="Arial" w:hAnsi="Arial"/>
          <w:sz w:val="16"/>
          <w:szCs w:val="16"/>
          <w:color w:val="auto"/>
        </w:rPr>
        <w:t>Not applicable.</w:t>
      </w:r>
    </w:p>
    <w:p>
      <w:pPr>
        <w:spacing w:after="0" w:line="156" w:lineRule="exact"/>
        <w:rPr>
          <w:rFonts w:ascii="Arial" w:cs="Arial" w:eastAsia="Arial" w:hAnsi="Arial"/>
          <w:sz w:val="16"/>
          <w:szCs w:val="16"/>
          <w:b w:val="1"/>
          <w:bCs w:val="1"/>
          <w:color w:val="auto"/>
        </w:rPr>
      </w:pPr>
    </w:p>
    <w:p>
      <w:pPr>
        <w:ind w:left="540" w:hanging="424"/>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Recent Sales of Unregistered Securities; Use of Proceeds from Registered Offerings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On January 20, 2021, the sponsor paid $25,000, or approximately $0.003 per share, to cover certain expenses on our behalf in consideration of 7,187,500 Class B ordinary shares. Such securities were issued in connection with our organization pursuant to the exemption from registration contained in Section 4(a)(2) of the Securities Act. On February 2, 2021, our sponsor transferred 35,000 Founder Shares to each of Arno Harris, Ja-Chin Audrey Lee, Brian Goncher and Steven Berkenfeld, our independent director nominees. On March 22, 2021, the company effected a share capitalization resulting in an aggregate of 7,906,250 Founder Shares issued and outstanding. On March 25, 2021, our sponsor irrevocably surrendered to us for cancellation and for nil consideration 127,174 Class B ordinary shares resulting in 7,779,076 Class B ordinary shares outstanding. The total number of Class B ordinary shares outstanding after our IPO and the expiration of the underwriters’ option to purchase additional units equaled 20% of the total number of Class A ordinary shares and Class B ordinary shares outstanding at such time. The Class B ordinary shares will automatically convert into Class A ordinary shares concurrently with or immediately following the consummation of our initial business combination, or earlier at the option of the holder thereof, on a one-for-one basis, subject to adjustment, as described in the prospectus.</w:t>
      </w:r>
    </w:p>
    <w:p>
      <w:pPr>
        <w:spacing w:after="0" w:line="16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our IPO.</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86"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Our sponsor purchased an aggregate of 9,223,261 private placement warrants, each exercisable to purchase one ordinary share at $1.00 per share, subject to adjustment, at a price of $11.50 per warrant, in a private placement that closed simultaneously with the closing of our IPO. This issuance was made pursuant to the exemption from registration contained in Section 4(a)(2) of the Securities Act.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70" w:lineRule="exact"/>
        <w:rPr>
          <w:sz w:val="20"/>
          <w:szCs w:val="20"/>
          <w:color w:val="auto"/>
        </w:rPr>
      </w:pPr>
    </w:p>
    <w:p>
      <w:pPr>
        <w:ind w:left="560" w:right="5200" w:hanging="444"/>
        <w:spacing w:after="0" w:line="407" w:lineRule="auto"/>
        <w:tabs>
          <w:tab w:leader="none" w:pos="55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References to the “company,” “our,” “us” or “we” refer to ArcLight Clean Transition Corp. II.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This Annual Report on Form 10-K includes forward-looking statements within the meaning of Section 27A of the Securities Act and Section 21E of the Securities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(the “Business Combination”), that we have not yet to finalize. Our sponsor is ArcLight CTC Holdings II, L.P., a Delaware limited partnership.</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registration statement for our initial public offering (the “Initial Public Offering”) was declared effective on March 22, 2021. On March 25, 2021, we consummated our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and incurring offering costs of approximately $17.6 million, of which approximately $10.9 million was for deferred underwriting commissions.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9,223,261 warrants (each, a “Private Placement Warrant” and collectively, the “Private Placement Warrants”), at a price of $1.00 per Private Placement Warrant with the sponsor, generating gross proceeds of approximately $9.2 million.</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are unable to complete a Business Combination within 24 months from the closing of the Initial Public Offering, or March 25, 2023 (unless such date is extended in accordance with the Company’s amended and restated memorandum and articles of association)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Business Combination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December 2, 2021, the Company, Opal HoldCo LLC, a Delaware limited liability company (“</w:t>
      </w:r>
      <w:r>
        <w:rPr>
          <w:rFonts w:ascii="Arial" w:cs="Arial" w:eastAsia="Arial" w:hAnsi="Arial"/>
          <w:sz w:val="18"/>
          <w:szCs w:val="18"/>
          <w:i w:val="1"/>
          <w:iCs w:val="1"/>
          <w:color w:val="auto"/>
        </w:rPr>
        <w:t>Opal HoldCo</w:t>
      </w:r>
      <w:r>
        <w:rPr>
          <w:rFonts w:ascii="Arial" w:cs="Arial" w:eastAsia="Arial" w:hAnsi="Arial"/>
          <w:sz w:val="18"/>
          <w:szCs w:val="18"/>
          <w:color w:val="auto"/>
        </w:rPr>
        <w:t>”), and Opal Fuels LLC, a Delaware limited liability company (“</w:t>
      </w:r>
      <w:r>
        <w:rPr>
          <w:rFonts w:ascii="Arial" w:cs="Arial" w:eastAsia="Arial" w:hAnsi="Arial"/>
          <w:sz w:val="18"/>
          <w:szCs w:val="18"/>
          <w:i w:val="1"/>
          <w:iCs w:val="1"/>
          <w:color w:val="auto"/>
        </w:rPr>
        <w:t>Opal Fuels</w:t>
      </w:r>
      <w:r>
        <w:rPr>
          <w:rFonts w:ascii="Arial" w:cs="Arial" w:eastAsia="Arial" w:hAnsi="Arial"/>
          <w:sz w:val="18"/>
          <w:szCs w:val="18"/>
          <w:color w:val="auto"/>
        </w:rPr>
        <w:t>”), entered into a Business Combination Agreement (as it may be amended, supplemented or otherwise modified from time to time, the “</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Business Combination Agreement and the transactions contemplated thereby (collectively,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were unanimously approved by the boards of directors of each of the Company and Opal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w:t>
      </w:r>
      <w:r>
        <w:rPr>
          <w:rFonts w:ascii="Arial" w:cs="Arial" w:eastAsia="Arial" w:hAnsi="Arial"/>
          <w:sz w:val="16"/>
          <w:szCs w:val="16"/>
          <w:i w:val="1"/>
          <w:iCs w:val="1"/>
          <w:color w:val="auto"/>
        </w:rPr>
        <w:t>Domestication</w:t>
      </w:r>
      <w:r>
        <w:rPr>
          <w:rFonts w:ascii="Arial" w:cs="Arial" w:eastAsia="Arial" w:hAnsi="Arial"/>
          <w:sz w:val="16"/>
          <w:szCs w:val="16"/>
          <w:color w:val="auto"/>
        </w:rPr>
        <w:t>”) and, in connection with the Domestication, (A) the Company’s name will be changed to “Opal Fuels Inc.” (“</w:t>
      </w:r>
      <w:r>
        <w:rPr>
          <w:rFonts w:ascii="Arial" w:cs="Arial" w:eastAsia="Arial" w:hAnsi="Arial"/>
          <w:sz w:val="16"/>
          <w:szCs w:val="16"/>
          <w:i w:val="1"/>
          <w:iCs w:val="1"/>
          <w:color w:val="auto"/>
        </w:rPr>
        <w:t>New Opal</w:t>
      </w:r>
      <w:r>
        <w:rPr>
          <w:rFonts w:ascii="Arial" w:cs="Arial" w:eastAsia="Arial" w:hAnsi="Arial"/>
          <w:sz w:val="16"/>
          <w:szCs w:val="16"/>
          <w:color w:val="auto"/>
        </w:rPr>
        <w:t>”), (B) each outstanding Class A ordinary share of the Company will become one share of Class A common stock, par value $0.0001 per share, of New Opal (the “</w:t>
      </w:r>
      <w:r>
        <w:rPr>
          <w:rFonts w:ascii="Arial" w:cs="Arial" w:eastAsia="Arial" w:hAnsi="Arial"/>
          <w:sz w:val="16"/>
          <w:szCs w:val="16"/>
          <w:i w:val="1"/>
          <w:iCs w:val="1"/>
          <w:color w:val="auto"/>
        </w:rPr>
        <w:t>New Opal Class A Common Stock</w:t>
      </w:r>
      <w:r>
        <w:rPr>
          <w:rFonts w:ascii="Arial" w:cs="Arial" w:eastAsia="Arial" w:hAnsi="Arial"/>
          <w:sz w:val="16"/>
          <w:szCs w:val="16"/>
          <w:color w:val="auto"/>
        </w:rPr>
        <w:t>”),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to be re-classified into a number of common units (collectively, the “</w:t>
      </w:r>
      <w:r>
        <w:rPr>
          <w:rFonts w:ascii="Arial" w:cs="Arial" w:eastAsia="Arial" w:hAnsi="Arial"/>
          <w:sz w:val="16"/>
          <w:szCs w:val="16"/>
          <w:i w:val="1"/>
          <w:iCs w:val="1"/>
          <w:color w:val="auto"/>
        </w:rPr>
        <w:t>Opal Units</w:t>
      </w:r>
      <w:r>
        <w:rPr>
          <w:rFonts w:ascii="Arial" w:cs="Arial" w:eastAsia="Arial" w:hAnsi="Arial"/>
          <w:sz w:val="16"/>
          <w:szCs w:val="16"/>
          <w:color w:val="auto"/>
        </w:rPr>
        <w:t>”)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held by ARCC Beacon LLC, a Delaware limited liability company (“</w:t>
      </w:r>
      <w:r>
        <w:rPr>
          <w:rFonts w:ascii="Arial" w:cs="Arial" w:eastAsia="Arial" w:hAnsi="Arial"/>
          <w:sz w:val="16"/>
          <w:szCs w:val="16"/>
          <w:i w:val="1"/>
          <w:iCs w:val="1"/>
          <w:color w:val="auto"/>
        </w:rPr>
        <w:t>Ares</w:t>
      </w:r>
      <w:r>
        <w:rPr>
          <w:rFonts w:ascii="Arial" w:cs="Arial" w:eastAsia="Arial" w:hAnsi="Arial"/>
          <w:sz w:val="16"/>
          <w:szCs w:val="16"/>
          <w:color w:val="auto"/>
        </w:rPr>
        <w:t xml:space="preserve">”), (C) the Company will contribute the (x) the amount of cash in the </w:t>
      </w:r>
      <w:r>
        <w:rPr>
          <w:rFonts w:ascii="Arial" w:cs="Arial" w:eastAsia="Arial" w:hAnsi="Arial"/>
          <w:sz w:val="16"/>
          <w:szCs w:val="16"/>
          <w:i w:val="1"/>
          <w:iCs w:val="1"/>
          <w:color w:val="auto"/>
        </w:rPr>
        <w:t>Trust Account</w:t>
      </w:r>
      <w:r>
        <w:rPr>
          <w:rFonts w:ascii="Arial" w:cs="Arial" w:eastAsia="Arial" w:hAnsi="Arial"/>
          <w:sz w:val="16"/>
          <w:szCs w:val="16"/>
          <w:color w:val="auto"/>
        </w:rPr>
        <w:t xml:space="preserve"> established by the Company with the proceeds from its initial public offering as of immediately prior to the Closing (and before, for the avoidance of doubt, giving effect to</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exercise of redemption rights by any of the Company’s shareholders (the “</w:t>
      </w:r>
      <w:r>
        <w:rPr>
          <w:rFonts w:ascii="Arial" w:cs="Arial" w:eastAsia="Arial" w:hAnsi="Arial"/>
          <w:sz w:val="18"/>
          <w:szCs w:val="18"/>
          <w:i w:val="1"/>
          <w:iCs w:val="1"/>
          <w:color w:val="auto"/>
        </w:rPr>
        <w:t>Public Share Redemptions</w:t>
      </w:r>
      <w:r>
        <w:rPr>
          <w:rFonts w:ascii="Arial" w:cs="Arial" w:eastAsia="Arial" w:hAnsi="Arial"/>
          <w:sz w:val="18"/>
          <w:szCs w:val="18"/>
          <w:color w:val="auto"/>
        </w:rPr>
        <w:t>”)),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w:t>
      </w:r>
      <w:r>
        <w:rPr>
          <w:rFonts w:ascii="Arial" w:cs="Arial" w:eastAsia="Arial" w:hAnsi="Arial"/>
          <w:sz w:val="18"/>
          <w:szCs w:val="18"/>
          <w:i w:val="1"/>
          <w:iCs w:val="1"/>
          <w:color w:val="auto"/>
        </w:rPr>
        <w:t>Hillman</w:t>
      </w:r>
      <w:r>
        <w:rPr>
          <w:rFonts w:ascii="Arial" w:cs="Arial" w:eastAsia="Arial" w:hAnsi="Arial"/>
          <w:sz w:val="18"/>
          <w:szCs w:val="18"/>
          <w:color w:val="auto"/>
        </w:rPr>
        <w:t>”) a number of shares of Class D common stock, par value $0.0001 per share, of New Opal (the “</w:t>
      </w:r>
      <w:r>
        <w:rPr>
          <w:rFonts w:ascii="Arial" w:cs="Arial" w:eastAsia="Arial" w:hAnsi="Arial"/>
          <w:sz w:val="18"/>
          <w:szCs w:val="18"/>
          <w:i w:val="1"/>
          <w:iCs w:val="1"/>
          <w:color w:val="auto"/>
        </w:rPr>
        <w:t>New Opal Class D Common Stock</w:t>
      </w:r>
      <w:r>
        <w:rPr>
          <w:rFonts w:ascii="Arial" w:cs="Arial" w:eastAsia="Arial" w:hAnsi="Arial"/>
          <w:sz w:val="18"/>
          <w:szCs w:val="18"/>
          <w:color w:val="auto"/>
        </w:rPr>
        <w:t>”), and distribute to Ares (together with Opal HoldCo and Hillman, collectively, the “</w:t>
      </w:r>
      <w:r>
        <w:rPr>
          <w:rFonts w:ascii="Arial" w:cs="Arial" w:eastAsia="Arial" w:hAnsi="Arial"/>
          <w:sz w:val="18"/>
          <w:szCs w:val="18"/>
          <w:i w:val="1"/>
          <w:iCs w:val="1"/>
          <w:color w:val="auto"/>
        </w:rPr>
        <w:t>Opal Equityholders</w:t>
      </w:r>
      <w:r>
        <w:rPr>
          <w:rFonts w:ascii="Arial" w:cs="Arial" w:eastAsia="Arial" w:hAnsi="Arial"/>
          <w:sz w:val="18"/>
          <w:szCs w:val="18"/>
          <w:color w:val="auto"/>
        </w:rPr>
        <w:t>”) shares of Class B common stock, par value $0.0001 per share, of New Opal (the “</w:t>
      </w:r>
      <w:r>
        <w:rPr>
          <w:rFonts w:ascii="Arial" w:cs="Arial" w:eastAsia="Arial" w:hAnsi="Arial"/>
          <w:sz w:val="18"/>
          <w:szCs w:val="18"/>
          <w:i w:val="1"/>
          <w:iCs w:val="1"/>
          <w:color w:val="auto"/>
        </w:rPr>
        <w:t>New Opal Class B Common Stock</w:t>
      </w:r>
      <w:r>
        <w:rPr>
          <w:rFonts w:ascii="Arial" w:cs="Arial" w:eastAsia="Arial" w:hAnsi="Arial"/>
          <w:sz w:val="18"/>
          <w:szCs w:val="18"/>
          <w:color w:val="auto"/>
        </w:rPr>
        <w:t>”) (neither of which will have any economic value but will entitle the holder thereof to five votes per share or one vote per share, respectively), equal to the number of Opal Units held by each of the Opal Equityholders.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if New Opal’s annual EBITDA for the calendar year 2023 exceeds $238,000,000 (the “</w:t>
      </w:r>
      <w:r>
        <w:rPr>
          <w:rFonts w:ascii="Arial" w:cs="Arial" w:eastAsia="Arial" w:hAnsi="Arial"/>
          <w:sz w:val="16"/>
          <w:szCs w:val="16"/>
          <w:i w:val="1"/>
          <w:iCs w:val="1"/>
          <w:color w:val="auto"/>
        </w:rPr>
        <w:t>First Earnout Triggering Event</w:t>
      </w:r>
      <w:r>
        <w:rPr>
          <w:rFonts w:ascii="Arial" w:cs="Arial" w:eastAsia="Arial" w:hAnsi="Arial"/>
          <w:sz w:val="16"/>
          <w:szCs w:val="16"/>
          <w:color w:val="auto"/>
        </w:rPr>
        <w:t>”), New Opal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 issue to Opal HoldCo, Ares and Hillman (collectively, the “</w:t>
      </w:r>
      <w:r>
        <w:rPr>
          <w:rFonts w:ascii="Arial" w:cs="Arial" w:eastAsia="Arial" w:hAnsi="Arial"/>
          <w:sz w:val="16"/>
          <w:szCs w:val="16"/>
          <w:i w:val="1"/>
          <w:iCs w:val="1"/>
          <w:color w:val="auto"/>
        </w:rPr>
        <w:t>Earnout Participants</w:t>
      </w:r>
      <w:r>
        <w:rPr>
          <w:rFonts w:ascii="Arial" w:cs="Arial" w:eastAsia="Arial" w:hAnsi="Arial"/>
          <w:sz w:val="16"/>
          <w:szCs w:val="16"/>
          <w:color w:val="auto"/>
        </w:rPr>
        <w:t>”) an aggregate of 5,000,000 shares of New Opal Class B Common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and New Opal Class D Common Stock and corresponding Opal Units (collectively, the “</w:t>
      </w:r>
      <w:r>
        <w:rPr>
          <w:rFonts w:ascii="Arial" w:cs="Arial" w:eastAsia="Arial" w:hAnsi="Arial"/>
          <w:sz w:val="17"/>
          <w:szCs w:val="17"/>
          <w:i w:val="1"/>
          <w:iCs w:val="1"/>
          <w:color w:val="auto"/>
        </w:rPr>
        <w:t>First Earnout Tranche</w:t>
      </w:r>
      <w:r>
        <w:rPr>
          <w:rFonts w:ascii="Arial" w:cs="Arial" w:eastAsia="Arial" w:hAnsi="Arial"/>
          <w:sz w:val="17"/>
          <w:szCs w:val="17"/>
          <w:color w:val="auto"/>
        </w:rPr>
        <w:t>”) in accordance with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allocations set forth in the Business Combination Agreement. Additionally, if New Opal’s annual EBITDA for the calendar year 2024 exceeds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$446,000,000 (the “</w:t>
      </w:r>
      <w:r>
        <w:rPr>
          <w:rFonts w:ascii="Arial" w:cs="Arial" w:eastAsia="Arial" w:hAnsi="Arial"/>
          <w:sz w:val="16"/>
          <w:szCs w:val="16"/>
          <w:i w:val="1"/>
          <w:iCs w:val="1"/>
          <w:color w:val="auto"/>
        </w:rPr>
        <w:t>Second Earnout Triggering Event</w:t>
      </w:r>
      <w:r>
        <w:rPr>
          <w:rFonts w:ascii="Arial" w:cs="Arial" w:eastAsia="Arial" w:hAnsi="Arial"/>
          <w:sz w:val="16"/>
          <w:szCs w:val="16"/>
          <w:color w:val="auto"/>
        </w:rPr>
        <w:t>”), New Opal will issue to the Earnout Participants an aggregate of 5,000,000 additional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New Opal Class B Common Stock and New Opal Class D Common Stock and corresponding Opal Units (collectively, the “</w:t>
      </w:r>
      <w:r>
        <w:rPr>
          <w:rFonts w:ascii="Arial" w:cs="Arial" w:eastAsia="Arial" w:hAnsi="Arial"/>
          <w:sz w:val="16"/>
          <w:szCs w:val="16"/>
          <w:i w:val="1"/>
          <w:iCs w:val="1"/>
          <w:color w:val="auto"/>
        </w:rPr>
        <w:t>Second Earnout Tranche</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accordance with the allocations set forth in the Business Combination Agreement. In the event that the First Earnout Triggering Event does not occur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but the Second Earnout Triggering Event does occur, New Opal will be obligated to issue both the First Earnout Tranche and the Second Earnout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Tranche upon the occurrence of the Second Earnout Triggering Event.</w:t>
      </w:r>
    </w:p>
    <w:p>
      <w:pPr>
        <w:spacing w:after="0" w:line="21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Business Combination is expected to close late in the first half of 2022, following the receipt of the required approval by the Company’s shareholders and the fulfillment of other customary closing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Financing (Private Placement)</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Concurrently with the execution of the Business Combination Agreement, the Company entered into subscription agreements (the “</w:t>
      </w:r>
      <w:r>
        <w:rPr>
          <w:rFonts w:ascii="Arial" w:cs="Arial" w:eastAsia="Arial" w:hAnsi="Arial"/>
          <w:sz w:val="18"/>
          <w:szCs w:val="18"/>
          <w:i w:val="1"/>
          <w:iCs w:val="1"/>
          <w:color w:val="auto"/>
        </w:rPr>
        <w:t>Subscription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with certain investors, including, among others, an affiliate of the Company, as well as additional third-party investors.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w:t>
      </w:r>
      <w:r>
        <w:rPr>
          <w:rFonts w:ascii="Arial" w:cs="Arial" w:eastAsia="Arial" w:hAnsi="Arial"/>
          <w:sz w:val="18"/>
          <w:szCs w:val="18"/>
          <w:i w:val="1"/>
          <w:iCs w:val="1"/>
          <w:color w:val="auto"/>
        </w:rPr>
        <w:t>PIPE Investment</w:t>
      </w:r>
      <w:r>
        <w:rPr>
          <w:rFonts w:ascii="Arial" w:cs="Arial" w:eastAsia="Arial" w:hAnsi="Arial"/>
          <w:sz w:val="18"/>
          <w:szCs w:val="18"/>
          <w:color w:val="auto"/>
        </w:rPr>
        <w:t>”).</w:t>
      </w:r>
    </w:p>
    <w:p>
      <w:pPr>
        <w:spacing w:after="0" w:line="18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Business Combination Agreement contemplates that, at the Closing, Opal Fuels, Ares, Hillman and the Class B Shareholders (collectively the “</w:t>
      </w:r>
      <w:r>
        <w:rPr>
          <w:rFonts w:ascii="Arial" w:cs="Arial" w:eastAsia="Arial" w:hAnsi="Arial"/>
          <w:sz w:val="16"/>
          <w:szCs w:val="16"/>
          <w:i w:val="1"/>
          <w:iCs w:val="1"/>
          <w:color w:val="auto"/>
        </w:rPr>
        <w:t>New Opal Holders</w:t>
      </w:r>
      <w:r>
        <w:rPr>
          <w:rFonts w:ascii="Arial" w:cs="Arial" w:eastAsia="Arial" w:hAnsi="Arial"/>
          <w:sz w:val="16"/>
          <w:szCs w:val="16"/>
          <w:color w:val="auto"/>
        </w:rPr>
        <w:t>”) will enter into an Investor Rights Agreement (the “</w:t>
      </w:r>
      <w:r>
        <w:rPr>
          <w:rFonts w:ascii="Arial" w:cs="Arial" w:eastAsia="Arial" w:hAnsi="Arial"/>
          <w:sz w:val="16"/>
          <w:szCs w:val="16"/>
          <w:i w:val="1"/>
          <w:iCs w:val="1"/>
          <w:color w:val="auto"/>
        </w:rPr>
        <w:t>Investor Rights Agreement</w:t>
      </w:r>
      <w:r>
        <w:rPr>
          <w:rFonts w:ascii="Arial" w:cs="Arial" w:eastAsia="Arial" w:hAnsi="Arial"/>
          <w:sz w:val="16"/>
          <w:szCs w:val="16"/>
          <w:color w:val="auto"/>
        </w:rPr>
        <w: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86"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entire activity since inception through December 31, 2021 relates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and non-operating income in the form of interest and investment income on investments held in Trust Account from the proceeds derived from the Initial Public Offering. We expect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warrant liabilities at each reporting period.</w:t>
      </w:r>
    </w:p>
    <w:p>
      <w:pPr>
        <w:spacing w:after="0" w:line="192"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For the period from January 13, 2021 (inception) through December 31, 2021, we had a net loss of approximately $16.2 million from changes in the value of derivative warrant liabilities of approximately $10.8 million, approximately $4.9 million in general and administrative costs and financing costs attributable to the warrant liabilities of approximately $463,000, partially offset by a gain of approximately $12,000 on investments held in Trust Account.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2021, we had approximately $812,000 in our operating bank account and working capital of approximately $1.4 million.</w:t>
      </w:r>
    </w:p>
    <w:p>
      <w:pPr>
        <w:spacing w:after="0" w:line="23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liquidity needs up to December 31, 2021 had been satisfied through a payment of $25,000 from the sponsor to cover certain expenses on behalf of the Company in exchange for the issuance of the Founder Shares (as defined below), a loan under a promissory note from our sponsor of approximately $172,000 (the “Note”), and the net proceeds from the consummation of the Private Placement not held in the Trust Account. The Note was repaid in full on March 26, 2021. In addition, in order to finance transaction costs in connection with a Business Combination, our officers, directors and Initial Shareholders may, but are not obligated to, provide the Company with Working Capital Loans. To date, there are no amounts outstanding under any Working Capital Loans.</w:t>
      </w:r>
    </w:p>
    <w:p>
      <w:pPr>
        <w:spacing w:after="0" w:line="19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the sponsor or an affiliate of the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6"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do not have any long-term debt obligations, capital lease obligations, operating lease obligations, purchase obligations or long-term liabilities, other than an administrative services agreement to pay our sponsor $10,000 per month for office space, secretarial and administrative services provided to us (see “</w:t>
      </w:r>
      <w:r>
        <w:rPr>
          <w:rFonts w:ascii="Arial" w:cs="Arial" w:eastAsia="Arial" w:hAnsi="Arial"/>
          <w:sz w:val="18"/>
          <w:szCs w:val="18"/>
          <w:i w:val="1"/>
          <w:iCs w:val="1"/>
          <w:color w:val="auto"/>
        </w:rPr>
        <w:t>Administrative Services Agreement” below)</w:t>
      </w:r>
      <w:r>
        <w:rPr>
          <w:rFonts w:ascii="Arial" w:cs="Arial" w:eastAsia="Arial" w:hAnsi="Arial"/>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86"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and Shareholder Rights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are entitled to registration rights pursuant to a registration and shareholder rights agreement. The holders of these securities are entitled to make up to three demands, excluding short form demands, that we will register such securities. In addition, the holders have certain “piggy-back” registration rights with respect to registration statements filed subsequent to the completion of the initial Business Combination. We will bear the expenses incurred in connection with the filing of any such registration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granted the underwriters a 45-day option from the date of the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4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Services Agreement</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On March 25, 2021, we entered into an agreement that provided that, commencing on the date that our securities were first listed on Nasdaq through the earlier of consummation of the initial Business Combination and the liquidation, we agreed to pay the sponsor $10,000 per month for office space, secretarial and administrative services provided to us. We incurred $100,000 in expenses in connection with such services for the period from January 13, 2021 (inception) ended December 31, 2021 as reflected in the accompanying statements of operations.</w:t>
      </w:r>
    </w:p>
    <w:p>
      <w:pPr>
        <w:spacing w:after="0" w:line="17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the sponsor, officers and directors, or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the sponsor, executive officers or directors, or their affiliates. Any such payments prior to an initial Business Combination will be made using funds held outside the Trust Account.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Legal Fees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entered into an engagement letter to obtain legal advisory services, pursuant to which our legal counsel agreed to defer their fees until the closing of the initial Business Combination. As of December 31, 2021, the Company recorded an aggregate of approximately $4.0 million in connection with such arrangement as deferred legal fees in the accompanying balance sheet.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identified the following as its critical accounting policies: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86"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account for our Class A ordinary shares subject to possible redemption in accordance with the guidance in the Financial Accounting Standards Board’s (“FASB”) Accounting Standards Codification (“ASC”) Topic 480 “Distinguishing Liabilities from Equity” (“ASC 480”). Class A ordinary shares subject to mandatory redemption (if any) is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as of December 31, 2021, 31,116,305 Class A ordinary shares subject to possible redemption are presented at redemption value as temporary equity, outside of the shareholders’ equity section of our balance sheet.</w:t>
      </w:r>
    </w:p>
    <w:p>
      <w:pPr>
        <w:spacing w:after="0" w:line="16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Immediately upon the closing of the Initial Public Offering, we recognized the accretion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We do not use derivative instruments to hedge exposures to cash flow, market, or foreign currency risks. We evaluate all of our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w:t>
      </w:r>
    </w:p>
    <w:p>
      <w:pPr>
        <w:spacing w:after="0" w:line="157"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The warrants issued in our Initial Public Offering and the underwriters’ exercise of their overallotment option and Private Placement Warrants are recognized as derivative liabilities in accordance with ASC 815. Accordingly, we recognize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Held in Trust Account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our investments held in the Trust Account are comprised of U.S. government securities, the investments are classified as trading securities. When our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86"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shares</w:t>
      </w:r>
    </w:p>
    <w:p>
      <w:pPr>
        <w:spacing w:after="0" w:line="11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We have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We have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period January 13, 2021 (inception) through December 31, 2021. Accretion associated with the Class A ordinary shares subject to possible redemption is excluded from earnings per share as the redemption value approximates fair value.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the Company on January 1, 2024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standards, if currently adopted, would have a material effect on the accompanying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Reference is made to Pages F-1 through F-22, comprising a portion of this Report.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period ended December 31, 2021, as such, the term is defined in Rules 13a-15(e) and 15d-15(e) under the Exchange Act. Based on this evaluation, our principal executive officer and principal financial officer have concluded that during the period covered by this Report, our disclosure controls and procedures were not effective as of December 31, 2021,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Company’s management has concluded that our control around the interpretation and accounting for certain complex features of the Class A ordinary shares and warrants issued by the Company was not effectively designed or maintained. This material weakness resulted in the restatement of the Company’s balance sheet as of March 25, 2021 and its interim financial statements for the quarters ended March 31, 2021 and June 30, 2021. Additionally, this material weakness could result in a misstatement of the warrant liability, Class A ordinary shares and related accounts and disclosures that would result in a material misstatement of the financial statements that would not be prevented or detected on a timely basis.</w:t>
      </w:r>
    </w:p>
    <w:p>
      <w:pPr>
        <w:spacing w:after="0" w:line="16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117"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86"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year ended December 31, 2021 covered by this Annual Report on Form 10-K that has materially affected, or is reasonably likely to materially affect, our internal control over financial reporting except for the below:</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principal executive officer and principal financial officer performed additional accounting and financial analyses and other post-closing procedures, including consulting with subject matter experts related to the accounting for complex features of the Class A ordinary shares and warrants. The Company’s management has expended, and will continue to expend, a substantial amount of effort and resources for the remediation and improvement of our internal control over financial reporting. While we have processes to properly identify and evaluate the appropriate accounting technical pronouncements and other literature for all significant or unusual transactions, we have expanded and will continue to improve these processes to ensure that the nuances of such transactions are effectively evaluated in the context of the increasingly complex accounting standards.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86"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date of this Report, our directors and officers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3200" w:type="dxa"/>
            <w:vAlign w:val="bottom"/>
          </w:tcPr>
          <w:p>
            <w:pPr>
              <w:ind w:left="136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R. Revers</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Jake F. Erhard</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Marco F. Gatti</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Christine M. Miller</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Arno Harris</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Ja-Chin Audrey Lee</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Brian Goncher</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Steven Berkenfeld</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b w:val="1"/>
          <w:bCs w:val="1"/>
          <w:color w:val="auto"/>
        </w:rPr>
        <w:t xml:space="preserve">Daniel R. Revers, 59, </w:t>
      </w:r>
      <w:r>
        <w:rPr>
          <w:rFonts w:ascii="Arial" w:cs="Arial" w:eastAsia="Arial" w:hAnsi="Arial"/>
          <w:sz w:val="16"/>
          <w:szCs w:val="16"/>
          <w:color w:val="auto"/>
        </w:rPr>
        <w:t>has served as our Chairman since March of 2021. Mr. Revers is the founder of ArcLight Capital and has 30 years of energy</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and private equity experience. Mr. Revers is responsible for overall investment, asset management, strategic planning, and operations of ArcLight Capital and its funds. Previously, Mr. Revers served as the Chairman of the board of directors of ACTC I (Nasdaq: ACTC) from September 2020 to June 2021 when the ACTC I Business Combination was completed and was previously a director at American Midstream Partners, L.P. and JP Energy Partners, L.P. Prior to forming ArcLight Capital in 2001, Mr. Revers was a Managing Director in the Corporate Finance Group at John Hancock Financial Services, a private insurance and financial services firm, where he was responsible for the origination, execution, and management of a</w:t>
      </w:r>
    </w:p>
    <w:p>
      <w:pPr>
        <w:spacing w:after="0" w:line="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$6 billion portfolio consisting of debt, equity, and mezzanine investments in the energy 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89"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b w:val="1"/>
          <w:bCs w:val="1"/>
          <w:color w:val="auto"/>
        </w:rPr>
        <w:t xml:space="preserve">Jake F. Erhard, 47, </w:t>
      </w:r>
      <w:r>
        <w:rPr>
          <w:rFonts w:ascii="Arial" w:cs="Arial" w:eastAsia="Arial" w:hAnsi="Arial"/>
          <w:sz w:val="16"/>
          <w:szCs w:val="16"/>
          <w:color w:val="auto"/>
        </w:rPr>
        <w:t>has served as our President and Chief Executive Officer since January of 2021, and Director since March of 2021. Mr. Erhard</w:t>
      </w:r>
      <w:r>
        <w:rPr>
          <w:rFonts w:ascii="Arial" w:cs="Arial" w:eastAsia="Arial" w:hAnsi="Arial"/>
          <w:sz w:val="16"/>
          <w:szCs w:val="16"/>
          <w:b w:val="1"/>
          <w:bCs w:val="1"/>
          <w:color w:val="auto"/>
        </w:rPr>
        <w:t xml:space="preserve"> </w:t>
      </w:r>
      <w:r>
        <w:rPr>
          <w:rFonts w:ascii="Arial" w:cs="Arial" w:eastAsia="Arial" w:hAnsi="Arial"/>
          <w:sz w:val="16"/>
          <w:szCs w:val="16"/>
          <w:color w:val="auto"/>
        </w:rPr>
        <w:t>is also a Partner and Head of ESG at ArcLight Capital, where he has worked in various leadership positions since September 2001. Mr. Erhard has 20 years of energy finance and private equity experience. Mr. Erhard previously served as a director of Proterra Inc (Nasdaq: PTRA) from June 2021 until December 2021 and served as President, Chief Executive Officer and Director of ACTC I (Nasdaq: ACTC) from September 2020 to June 2021 when the ACTC I Business Combination was completed and was previously a director at American Midstream Partners, L.P., Buckeye Partners, LP, and JP Energy Partners, L.P. Prior to joining ArcLight, Mr. Erhard was an Analyst at the investment banking firm Schroder Wertheim, where he focused on mergers and acquisitions. Mr. Erhard earned a Bachelor of Arts in Economics from Princeton University and a Juris Doctor from Harvard Law School.</w:t>
      </w:r>
    </w:p>
    <w:p>
      <w:pPr>
        <w:spacing w:after="0" w:line="161"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b w:val="1"/>
          <w:bCs w:val="1"/>
          <w:color w:val="auto"/>
        </w:rPr>
        <w:t xml:space="preserve">Marco F. Gatti, 38, </w:t>
      </w:r>
      <w:r>
        <w:rPr>
          <w:rFonts w:ascii="Arial" w:cs="Arial" w:eastAsia="Arial" w:hAnsi="Arial"/>
          <w:sz w:val="16"/>
          <w:szCs w:val="16"/>
          <w:color w:val="auto"/>
        </w:rPr>
        <w:t>has served as our Chief Financial Officer since January of 2021. Mr. Gatti joined ArcLight Capital in 2018 and has 11 years</w:t>
      </w:r>
      <w:r>
        <w:rPr>
          <w:rFonts w:ascii="Arial" w:cs="Arial" w:eastAsia="Arial" w:hAnsi="Arial"/>
          <w:sz w:val="16"/>
          <w:szCs w:val="16"/>
          <w:b w:val="1"/>
          <w:bCs w:val="1"/>
          <w:color w:val="auto"/>
        </w:rPr>
        <w:t xml:space="preserve"> </w:t>
      </w:r>
      <w:r>
        <w:rPr>
          <w:rFonts w:ascii="Arial" w:cs="Arial" w:eastAsia="Arial" w:hAnsi="Arial"/>
          <w:sz w:val="16"/>
          <w:szCs w:val="16"/>
          <w:color w:val="auto"/>
        </w:rPr>
        <w:t>of energy and private equity experience. Previously, Mr. Gatti served as the Chief Financial Officer of ACTC I (Nasdaq: ACTC) from September 2020 to June 2021 when the ACTC I Business Combination was completed.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86"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b w:val="1"/>
          <w:bCs w:val="1"/>
          <w:color w:val="auto"/>
        </w:rPr>
        <w:t xml:space="preserve">Christine M. Miller, 51, </w:t>
      </w:r>
      <w:r>
        <w:rPr>
          <w:rFonts w:ascii="Arial" w:cs="Arial" w:eastAsia="Arial" w:hAnsi="Arial"/>
          <w:sz w:val="17"/>
          <w:szCs w:val="17"/>
          <w:color w:val="auto"/>
        </w:rPr>
        <w:t>has served as our General Counsel since January of 2021. Ms. Miller joined ArcLight Capital in 2004 and has 23 years</w:t>
      </w:r>
      <w:r>
        <w:rPr>
          <w:rFonts w:ascii="Arial" w:cs="Arial" w:eastAsia="Arial" w:hAnsi="Arial"/>
          <w:sz w:val="17"/>
          <w:szCs w:val="17"/>
          <w:b w:val="1"/>
          <w:bCs w:val="1"/>
          <w:color w:val="auto"/>
        </w:rPr>
        <w:t xml:space="preserve"> </w:t>
      </w:r>
      <w:r>
        <w:rPr>
          <w:rFonts w:ascii="Arial" w:cs="Arial" w:eastAsia="Arial" w:hAnsi="Arial"/>
          <w:sz w:val="17"/>
          <w:szCs w:val="17"/>
          <w:color w:val="auto"/>
        </w:rPr>
        <w:t>of legal experience in the areas of investment transactions and fund operations, with 21 years specific to energy finance and private equity. Previously, Ms. Miller served as General Counsel of ACTC I (Nasdaq: ACTC) from September 2020 to June 2021 when the ACTC I Business Combination was completed. Prior to joining ArcLight Capital,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73"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b w:val="1"/>
          <w:bCs w:val="1"/>
          <w:color w:val="auto"/>
        </w:rPr>
        <w:t>Arno Harris, 52</w:t>
      </w:r>
      <w:r>
        <w:rPr>
          <w:rFonts w:ascii="Arial" w:cs="Arial" w:eastAsia="Arial" w:hAnsi="Arial"/>
          <w:sz w:val="18"/>
          <w:szCs w:val="18"/>
          <w:color w:val="auto"/>
        </w:rPr>
        <w:t>, has served on our board of directors since March of 2021. Mr. Harris has spent the last 25 years starting and growing successful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in high technology, clean energy and electric mobility. Previously, Mr. Harris served on the board of directors of ACTC I (Nasdaq: ACTC) from September 2020 to June 2021 when the ACTC I Business Combination was completed.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 Mr. Harris was the founder, CEO and chair of Recurrent Energy, one of North America’s largest solar project developers. Prior to Recurrent Energy, Mr. Harris was the founder and CEO of Prevalent Power, one of California’s fastest growing commercial solar project developers. Mr. Harris earned a Bachelor of Arts from the University of California Berkeley.</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Dr. Ja-Chin Audrey Lee, 43, </w:t>
      </w:r>
      <w:r>
        <w:rPr>
          <w:rFonts w:ascii="Arial" w:cs="Arial" w:eastAsia="Arial" w:hAnsi="Arial"/>
          <w:sz w:val="16"/>
          <w:szCs w:val="16"/>
          <w:color w:val="auto"/>
        </w:rPr>
        <w:t>has served on our board of directors since March of 2021. Dr. Lee has almost 20 years of experience in clean energy</w:t>
      </w:r>
      <w:r>
        <w:rPr>
          <w:rFonts w:ascii="Arial" w:cs="Arial" w:eastAsia="Arial" w:hAnsi="Arial"/>
          <w:sz w:val="16"/>
          <w:szCs w:val="16"/>
          <w:b w:val="1"/>
          <w:bCs w:val="1"/>
          <w:color w:val="auto"/>
        </w:rPr>
        <w:t xml:space="preserve"> </w:t>
      </w:r>
      <w:r>
        <w:rPr>
          <w:rFonts w:ascii="Arial" w:cs="Arial" w:eastAsia="Arial" w:hAnsi="Arial"/>
          <w:sz w:val="16"/>
          <w:szCs w:val="16"/>
          <w:color w:val="auto"/>
        </w:rPr>
        <w:t>and currently serves as Senior Director, Energy Strategy at Microsoft (NASDAQ: MSFT). Previously, Dr. Lee served on the board of directors of ACTC I (Nasdaq: ACTC) from September 2020 to June 2021 when the ACTC I Business Combination was completed and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previously served on the board of Pinnacle Engines from 2020 to 2021, commercializing advanced engines for reduced petroleum usage and greenhouse gas emissions. Dr. Lee also serves on the board of Redaptive, an Efficiency-as-a-Service tool for commercial and industrial customers and is an advisory board member of CelerateX. She volunteered as Co-Chair and Co-Founder of Clean Energy for Biden. Dr. Lee earned her Ph.D. and M.S. in Electrical Engineering from Princeton University and her B.S. in Applied Physics from the California Institute of Technology.</w:t>
      </w:r>
    </w:p>
    <w:p>
      <w:pPr>
        <w:spacing w:after="0" w:line="163"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color w:val="auto"/>
        </w:rPr>
        <w:t>Brian Goncher, 65</w:t>
      </w:r>
      <w:r>
        <w:rPr>
          <w:rFonts w:ascii="Arial" w:cs="Arial" w:eastAsia="Arial" w:hAnsi="Arial"/>
          <w:sz w:val="17"/>
          <w:szCs w:val="17"/>
          <w:color w:val="auto"/>
        </w:rPr>
        <w:t>, has served on our board of directors since March of 2021. Mr. Goncher has more than 42 years of experience in finance,</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and consulting. Previously, Mr. Goncher served on the board of directors of ACTC I (Nasdaq: ACTC) from September 2020 to June 2021 when the ACTC I Business Combination was completed.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 Mr. Goncher was the founder/CFO of several technology-enabled startups and a Corporate Banking Officer at Bank of America. Mr. Goncher earned a BS in Economics and MBA in Finance from the University of Chicago.</w:t>
      </w:r>
    </w:p>
    <w:p>
      <w:pPr>
        <w:spacing w:after="0" w:line="17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b w:val="1"/>
          <w:bCs w:val="1"/>
          <w:color w:val="auto"/>
        </w:rPr>
        <w:t>Steven Berkenfeld, 62</w:t>
      </w:r>
      <w:r>
        <w:rPr>
          <w:rFonts w:ascii="Arial" w:cs="Arial" w:eastAsia="Arial" w:hAnsi="Arial"/>
          <w:sz w:val="18"/>
          <w:szCs w:val="18"/>
          <w:color w:val="auto"/>
        </w:rPr>
        <w:t>, has served on our board of directors since March of 2021. After 33 years, Mr. Berkenfeld retired from a career in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banking in 2019 to focus entirely on impact and sustainability. Steven is founder and principal of Ecotopia Consulting LLC. and is primarily engaged in advising earlier stage, mission driven companies. Previously, Mr. Berkenfeld served on the board of directors of ACTC I (Nasdaq: ACTC) from September 2020 to June 2021 when the ACTC I Business Combination was completed and Managing Director in Investment Banking at Barclays where he served as senior sponsor of the Environmental and Social Impact Banking Initiative and was co-head of the firm’s Cleantech Initiative. Before joining Barclays in 2008, Steven spent over 21 years at Lehman Brothers in numerous roles including 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86"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board of directors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meeting until one year after our first fiscal year end following our listing on Nasdaq. The term of office of the first class of directors, consisting of Steven Berkenfeld and Jake F. Erhard, will expire at our first annual general meeting. The term of office of the second class of directors, consisting of Brian Goncher and Daniel R. Revers, will expire at our second annual general meeting. The term of office of the third class of directors, consisting of Ja-Chin Audrey Lee and Arno Harris, will expire at our third annual general meeting.</w:t>
      </w:r>
    </w:p>
    <w:p>
      <w:pPr>
        <w:spacing w:after="0" w:line="16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Pursuant to an agreement entered into at the closing of our IPO, our sponsor, upon and following consummation of an initial business combination, will be entitled to nominate three individuals for appointment to our board of directors, as long as the sponsor holds any securities covered by the registration and shareholder rights agreement.</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president, chief financial officer, vice presidents, secretary, treasurer and such other offices as may be determined by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with the Company which in the opinion of our board of directors, could interfere with the director’s exercise of independent judgment in carrying out the responsibilities of a director. We have “independent directors” as defined in Nasdaq’s listing standards and applicable SEC rules. Our board of directors has determined that Arno Harris, Brian Goncher, Ja-Chin Audrey Lee and Steven Berkenfeld are “independent directors” as defined in the Nasdaq listing standards and applicable SEC rules. Our independent directors have regularly scheduled meetings at which only independent directors are present.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board of directors has three standing committees: an audit committee, a nominating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and the nominating committee of a listed company be comprised solely of independent directors. Each committee operates under a charter that has been approved by our board of directors and has the composition and responsibilities described below. The charter of each committee is available on our website.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86"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board of directors established an audit committee. Brian Goncher, Steven Berkenfeld and Arno Harris serve as members of our audit committee. Our board of directors has determined that each of Brian Goncher, Steven Berkenfeld and Arno Harris are independent under Nasdaq listing standards and applicable SEC rules. Brian Goncher serves as the chair of the audit committee. Under Nasdaq listing standards and applicable SEC rules, all the directors on the audit committee must be independent. Each member of the audit committee is financially literate and our board of directors has determined that Brian Goncher, Steven Berkenfeld and Arno Harris each qualify as an “audit committee financial expert” as defined in applicable SEC rules.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is responsible for:</w:t>
      </w:r>
    </w:p>
    <w:p>
      <w:pPr>
        <w:spacing w:after="0" w:line="131" w:lineRule="exact"/>
        <w:rPr>
          <w:sz w:val="20"/>
          <w:szCs w:val="20"/>
          <w:color w:val="auto"/>
        </w:rPr>
      </w:pPr>
    </w:p>
    <w:p>
      <w:pPr>
        <w:ind w:left="10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89"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1" w:lineRule="exact"/>
        <w:rPr>
          <w:rFonts w:ascii="Arial" w:cs="Arial" w:eastAsia="Arial" w:hAnsi="Arial"/>
          <w:sz w:val="17"/>
          <w:szCs w:val="17"/>
          <w:color w:val="auto"/>
        </w:rPr>
      </w:pPr>
    </w:p>
    <w:p>
      <w:pPr>
        <w:ind w:left="1080" w:right="440" w:hanging="424"/>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monitoring compliance on a quarterly basis with the terms of our IPO and, if any noncompliance is identified, immediately taking all action necessary to rectify such noncompliance or otherwise causing compliance with the terms of our IPO; and</w:t>
      </w:r>
    </w:p>
    <w:p>
      <w:pPr>
        <w:spacing w:after="0" w:line="51" w:lineRule="exact"/>
        <w:rPr>
          <w:rFonts w:ascii="Arial" w:cs="Arial" w:eastAsia="Arial" w:hAnsi="Arial"/>
          <w:sz w:val="17"/>
          <w:szCs w:val="17"/>
          <w:color w:val="auto"/>
        </w:rPr>
      </w:pPr>
    </w:p>
    <w:p>
      <w:pPr>
        <w:jc w:val="both"/>
        <w:ind w:left="1080" w:right="2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board of directors has established a nominating committee. The members of our nominating committee are Steven Berkenfeld, Ja-Chin Audrey Lee and Arno Harris, and Steven Berkenfeld serves as chair of the nominating committee. Under Nasdaq listing standards, we are required to have a nominating committee composed entirely of independent directors. Our board of directors has determined that each of Steven Berkenfeld, Ja-Chin Audrey Lee and Arno Harris are independent.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86"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guidelines for selecting nominees, which are specified in a charter adopted by us, generally provide that persons to be nominated:</w:t>
      </w:r>
    </w:p>
    <w:p>
      <w:pPr>
        <w:spacing w:after="0" w:line="142"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our board of directors and bring a range of skills, diverse perspectives and backgrounds to its deliberations; and</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nominating committee considers a number of qualifications relating to management and leadership experience, background and integrity and professionalism in evaluating a person’s candidacy for membership on our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has established a compensation committee. The members of our compensation committee are Ja-Chin Audrey Lee, Arno Harris and Brian Goncher, and Ja-Chin Audrey Lee serves as chair of the compensation committee.</w:t>
      </w:r>
    </w:p>
    <w:p>
      <w:pPr>
        <w:spacing w:after="0" w:line="170"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Under Nasdaq listing standards, we are required to have a compensation committee composed entirely of independent directors. Our board of directors has determined that each of Ja-Chin Audrey Lee, Arno Harris and Brian Goncher are independent. We adopted a compensation committee charter, which details the principal functions of the compensation committee, including:</w:t>
      </w:r>
    </w:p>
    <w:p>
      <w:pPr>
        <w:spacing w:after="0" w:line="89" w:lineRule="exact"/>
        <w:rPr>
          <w:sz w:val="20"/>
          <w:szCs w:val="20"/>
          <w:color w:val="auto"/>
        </w:rPr>
      </w:pPr>
    </w:p>
    <w:p>
      <w:pPr>
        <w:ind w:left="108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President’s, Chief Financial Officer’s and Chief Operating Officer’s, evaluating our President’s, Chief Financial Officer’s and Chief Operating Officer’s performance in light of such goals and objectives and determining and approving the remuneration (if any) of our President, Chief Financial Officer and Chief Operating Officer based on such evaluation;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8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31" w:lineRule="exact"/>
        <w:rPr>
          <w:sz w:val="20"/>
          <w:szCs w:val="20"/>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30"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duty not to put themselves in a position in which there is a conflict between their duty to the company and their personal interests;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49"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is full disclosure by the directors. This can be done by way of permission granted in the amended and restated memorandum and articles of association or alternatively by shareholder approval at general meetings.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86"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Certain of our officers and directors presently have, and any of them in the future are expected to have additional, fiduciary and contractual duties to other entities. As a result, if any of our officers or directors becomes aware of a business combination opportunity which is suitable for an entity to which he or she has then-current fiduciary or contractual obligations, then, subject to their fiduciary duties under Cayman Islands law, he or she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6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potential conflicts would materially affect our ability to complete our initial business combination.</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contractual obligations or other material management relationships: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3360" w:type="dxa"/>
            <w:vAlign w:val="bottom"/>
            <w:gridSpan w:val="2"/>
          </w:tcPr>
          <w:p>
            <w:pPr>
              <w:ind w:left="1440"/>
              <w:spacing w:after="0"/>
              <w:rPr>
                <w:sz w:val="20"/>
                <w:szCs w:val="20"/>
                <w:color w:val="auto"/>
              </w:rPr>
            </w:pPr>
            <w:r>
              <w:rPr>
                <w:rFonts w:ascii="Arial" w:cs="Arial" w:eastAsia="Arial" w:hAnsi="Arial"/>
                <w:sz w:val="14"/>
                <w:szCs w:val="14"/>
                <w:b w:val="1"/>
                <w:bCs w:val="1"/>
                <w:color w:val="auto"/>
              </w:rPr>
              <w:t>Entity</w:t>
            </w:r>
          </w:p>
        </w:tc>
        <w:tc>
          <w:tcPr>
            <w:tcW w:w="2660" w:type="dxa"/>
            <w:vAlign w:val="bottom"/>
          </w:tcPr>
          <w:p>
            <w:pPr>
              <w:ind w:left="820"/>
              <w:spacing w:after="0"/>
              <w:rPr>
                <w:sz w:val="20"/>
                <w:szCs w:val="20"/>
                <w:color w:val="auto"/>
              </w:rPr>
            </w:pPr>
            <w:r>
              <w:rPr>
                <w:rFonts w:ascii="Arial" w:cs="Arial" w:eastAsia="Arial" w:hAnsi="Arial"/>
                <w:sz w:val="14"/>
                <w:szCs w:val="14"/>
                <w:b w:val="1"/>
                <w:bCs w:val="1"/>
                <w:color w:val="auto"/>
              </w:rPr>
              <w:t>Entity’s Business</w:t>
            </w:r>
          </w:p>
        </w:tc>
        <w:tc>
          <w:tcPr>
            <w:tcW w:w="120" w:type="dxa"/>
            <w:vAlign w:val="bottom"/>
          </w:tcPr>
          <w:p>
            <w:pPr>
              <w:spacing w:after="0"/>
              <w:rPr>
                <w:sz w:val="16"/>
                <w:szCs w:val="16"/>
                <w:color w:val="auto"/>
              </w:rPr>
            </w:pPr>
          </w:p>
        </w:tc>
        <w:tc>
          <w:tcPr>
            <w:tcW w:w="2580" w:type="dxa"/>
            <w:vAlign w:val="bottom"/>
          </w:tcPr>
          <w:p>
            <w:pPr>
              <w:ind w:left="960"/>
              <w:spacing w:after="0"/>
              <w:rPr>
                <w:sz w:val="20"/>
                <w:szCs w:val="20"/>
                <w:color w:val="auto"/>
              </w:rPr>
            </w:pPr>
            <w:r>
              <w:rPr>
                <w:rFonts w:ascii="Arial" w:cs="Arial" w:eastAsia="Arial" w:hAnsi="Arial"/>
                <w:sz w:val="14"/>
                <w:szCs w:val="14"/>
                <w:b w:val="1"/>
                <w:bCs w:val="1"/>
                <w:color w:val="auto"/>
              </w:rPr>
              <w:t>Affiliation</w:t>
            </w:r>
          </w:p>
        </w:tc>
      </w:tr>
      <w:tr>
        <w:trPr>
          <w:trHeight w:val="195"/>
        </w:trPr>
        <w:tc>
          <w:tcPr>
            <w:tcW w:w="2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R. Revers</w:t>
            </w:r>
          </w:p>
        </w:tc>
        <w:tc>
          <w:tcPr>
            <w:tcW w:w="6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ArcLight Capital Partners, LLC(1)</w:t>
            </w:r>
          </w:p>
        </w:tc>
        <w:tc>
          <w:tcPr>
            <w:tcW w:w="100" w:type="dxa"/>
            <w:vAlign w:val="bottom"/>
          </w:tcPr>
          <w:p>
            <w:pPr>
              <w:spacing w:after="0"/>
              <w:rPr>
                <w:sz w:val="16"/>
                <w:szCs w:val="16"/>
                <w:color w:val="auto"/>
              </w:rPr>
            </w:pPr>
          </w:p>
        </w:tc>
        <w:tc>
          <w:tcPr>
            <w:tcW w:w="2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6"/>
                <w:szCs w:val="16"/>
                <w:color w:val="auto"/>
              </w:rPr>
            </w:pPr>
          </w:p>
        </w:tc>
        <w:tc>
          <w:tcPr>
            <w:tcW w:w="2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Founder and Managing Partner</w:t>
            </w:r>
          </w:p>
        </w:tc>
      </w:tr>
      <w:tr>
        <w:trPr>
          <w:trHeight w:val="230"/>
        </w:trPr>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w w:val="93"/>
              </w:rPr>
              <w:t>Dartmouth College, Tuck School of Business</w:t>
            </w:r>
          </w:p>
        </w:tc>
        <w:tc>
          <w:tcPr>
            <w:tcW w:w="2660" w:type="dxa"/>
            <w:vAlign w:val="bottom"/>
          </w:tcPr>
          <w:p>
            <w:pPr>
              <w:spacing w:after="0"/>
              <w:rPr>
                <w:sz w:val="20"/>
                <w:szCs w:val="20"/>
                <w:color w:val="auto"/>
              </w:rPr>
            </w:pPr>
            <w:r>
              <w:rPr>
                <w:rFonts w:ascii="Arial" w:cs="Arial" w:eastAsia="Arial" w:hAnsi="Arial"/>
                <w:sz w:val="18"/>
                <w:szCs w:val="18"/>
                <w:color w:val="auto"/>
              </w:rPr>
              <w:t>Education</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324"/>
        </w:trPr>
        <w:tc>
          <w:tcPr>
            <w:tcW w:w="2300" w:type="dxa"/>
            <w:vAlign w:val="bottom"/>
            <w:gridSpan w:val="2"/>
          </w:tcPr>
          <w:p>
            <w:pPr>
              <w:spacing w:after="0"/>
              <w:rPr>
                <w:sz w:val="20"/>
                <w:szCs w:val="20"/>
                <w:color w:val="auto"/>
              </w:rPr>
            </w:pPr>
            <w:r>
              <w:rPr>
                <w:rFonts w:ascii="Arial" w:cs="Arial" w:eastAsia="Arial" w:hAnsi="Arial"/>
                <w:sz w:val="18"/>
                <w:szCs w:val="18"/>
                <w:color w:val="auto"/>
              </w:rPr>
              <w:t>Jake F. Erhard</w:t>
            </w:r>
          </w:p>
        </w:tc>
        <w:tc>
          <w:tcPr>
            <w:tcW w:w="3360" w:type="dxa"/>
            <w:vAlign w:val="bottom"/>
            <w:gridSpan w:val="2"/>
          </w:tcPr>
          <w:p>
            <w:pPr>
              <w:spacing w:after="0"/>
              <w:rPr>
                <w:sz w:val="20"/>
                <w:szCs w:val="20"/>
                <w:color w:val="auto"/>
              </w:rPr>
            </w:pPr>
            <w:r>
              <w:rPr>
                <w:rFonts w:ascii="Arial" w:cs="Arial" w:eastAsia="Arial" w:hAnsi="Arial"/>
                <w:sz w:val="18"/>
                <w:szCs w:val="18"/>
                <w:color w:val="auto"/>
              </w:rPr>
              <w:t>ArcLight Capital Partners, LLC</w:t>
            </w:r>
          </w:p>
        </w:tc>
        <w:tc>
          <w:tcPr>
            <w:tcW w:w="2660" w:type="dxa"/>
            <w:vAlign w:val="bottom"/>
          </w:tcPr>
          <w:p>
            <w:pPr>
              <w:spacing w:after="0"/>
              <w:rPr>
                <w:sz w:val="20"/>
                <w:szCs w:val="20"/>
                <w:color w:val="auto"/>
              </w:rPr>
            </w:pPr>
            <w:r>
              <w:rPr>
                <w:rFonts w:ascii="Arial" w:cs="Arial" w:eastAsia="Arial" w:hAnsi="Arial"/>
                <w:sz w:val="18"/>
                <w:szCs w:val="18"/>
                <w:color w:val="auto"/>
              </w:rPr>
              <w:t>Private Equity</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Partner</w:t>
            </w:r>
          </w:p>
        </w:tc>
      </w:tr>
      <w:tr>
        <w:trPr>
          <w:trHeight w:val="324"/>
        </w:trPr>
        <w:tc>
          <w:tcPr>
            <w:tcW w:w="2300" w:type="dxa"/>
            <w:vAlign w:val="bottom"/>
            <w:gridSpan w:val="2"/>
          </w:tcPr>
          <w:p>
            <w:pPr>
              <w:spacing w:after="0"/>
              <w:rPr>
                <w:sz w:val="20"/>
                <w:szCs w:val="20"/>
                <w:color w:val="auto"/>
              </w:rPr>
            </w:pPr>
            <w:r>
              <w:rPr>
                <w:rFonts w:ascii="Arial" w:cs="Arial" w:eastAsia="Arial" w:hAnsi="Arial"/>
                <w:sz w:val="18"/>
                <w:szCs w:val="18"/>
                <w:color w:val="auto"/>
              </w:rPr>
              <w:t>Marco F. Gatti</w:t>
            </w:r>
          </w:p>
        </w:tc>
        <w:tc>
          <w:tcPr>
            <w:tcW w:w="3360" w:type="dxa"/>
            <w:vAlign w:val="bottom"/>
            <w:gridSpan w:val="2"/>
          </w:tcPr>
          <w:p>
            <w:pPr>
              <w:spacing w:after="0"/>
              <w:rPr>
                <w:sz w:val="20"/>
                <w:szCs w:val="20"/>
                <w:color w:val="auto"/>
              </w:rPr>
            </w:pPr>
            <w:r>
              <w:rPr>
                <w:rFonts w:ascii="Arial" w:cs="Arial" w:eastAsia="Arial" w:hAnsi="Arial"/>
                <w:sz w:val="18"/>
                <w:szCs w:val="18"/>
                <w:color w:val="auto"/>
              </w:rPr>
              <w:t>ArcLight Capital Partners, LLC</w:t>
            </w:r>
          </w:p>
        </w:tc>
        <w:tc>
          <w:tcPr>
            <w:tcW w:w="2660" w:type="dxa"/>
            <w:vAlign w:val="bottom"/>
          </w:tcPr>
          <w:p>
            <w:pPr>
              <w:spacing w:after="0"/>
              <w:rPr>
                <w:sz w:val="20"/>
                <w:szCs w:val="20"/>
                <w:color w:val="auto"/>
              </w:rPr>
            </w:pPr>
            <w:r>
              <w:rPr>
                <w:rFonts w:ascii="Arial" w:cs="Arial" w:eastAsia="Arial" w:hAnsi="Arial"/>
                <w:sz w:val="18"/>
                <w:szCs w:val="18"/>
                <w:color w:val="auto"/>
              </w:rPr>
              <w:t>Private Equity</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Managing Director</w:t>
            </w:r>
          </w:p>
        </w:tc>
      </w:tr>
      <w:tr>
        <w:trPr>
          <w:trHeight w:val="324"/>
        </w:trPr>
        <w:tc>
          <w:tcPr>
            <w:tcW w:w="2300" w:type="dxa"/>
            <w:vAlign w:val="bottom"/>
            <w:gridSpan w:val="2"/>
          </w:tcPr>
          <w:p>
            <w:pPr>
              <w:spacing w:after="0"/>
              <w:rPr>
                <w:sz w:val="20"/>
                <w:szCs w:val="20"/>
                <w:color w:val="auto"/>
              </w:rPr>
            </w:pPr>
            <w:r>
              <w:rPr>
                <w:rFonts w:ascii="Arial" w:cs="Arial" w:eastAsia="Arial" w:hAnsi="Arial"/>
                <w:sz w:val="18"/>
                <w:szCs w:val="18"/>
                <w:color w:val="auto"/>
              </w:rPr>
              <w:t>Christine M. Miller</w:t>
            </w:r>
          </w:p>
        </w:tc>
        <w:tc>
          <w:tcPr>
            <w:tcW w:w="3360" w:type="dxa"/>
            <w:vAlign w:val="bottom"/>
            <w:gridSpan w:val="2"/>
          </w:tcPr>
          <w:p>
            <w:pPr>
              <w:spacing w:after="0"/>
              <w:rPr>
                <w:sz w:val="20"/>
                <w:szCs w:val="20"/>
                <w:color w:val="auto"/>
              </w:rPr>
            </w:pPr>
            <w:r>
              <w:rPr>
                <w:rFonts w:ascii="Arial" w:cs="Arial" w:eastAsia="Arial" w:hAnsi="Arial"/>
                <w:sz w:val="18"/>
                <w:szCs w:val="18"/>
                <w:color w:val="auto"/>
              </w:rPr>
              <w:t>ArcLight Capital Partners, LLC</w:t>
            </w:r>
          </w:p>
        </w:tc>
        <w:tc>
          <w:tcPr>
            <w:tcW w:w="2660" w:type="dxa"/>
            <w:vAlign w:val="bottom"/>
          </w:tcPr>
          <w:p>
            <w:pPr>
              <w:spacing w:after="0"/>
              <w:rPr>
                <w:sz w:val="20"/>
                <w:szCs w:val="20"/>
                <w:color w:val="auto"/>
              </w:rPr>
            </w:pPr>
            <w:r>
              <w:rPr>
                <w:rFonts w:ascii="Arial" w:cs="Arial" w:eastAsia="Arial" w:hAnsi="Arial"/>
                <w:sz w:val="18"/>
                <w:szCs w:val="18"/>
                <w:color w:val="auto"/>
              </w:rPr>
              <w:t>Private Equity</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Associate General Counsel</w:t>
            </w:r>
          </w:p>
        </w:tc>
      </w:tr>
      <w:tr>
        <w:trPr>
          <w:trHeight w:val="310"/>
        </w:trPr>
        <w:tc>
          <w:tcPr>
            <w:tcW w:w="2300" w:type="dxa"/>
            <w:vAlign w:val="bottom"/>
            <w:gridSpan w:val="2"/>
          </w:tcPr>
          <w:p>
            <w:pPr>
              <w:spacing w:after="0"/>
              <w:rPr>
                <w:sz w:val="20"/>
                <w:szCs w:val="20"/>
                <w:color w:val="auto"/>
              </w:rPr>
            </w:pPr>
            <w:r>
              <w:rPr>
                <w:rFonts w:ascii="Arial" w:cs="Arial" w:eastAsia="Arial" w:hAnsi="Arial"/>
                <w:sz w:val="18"/>
                <w:szCs w:val="18"/>
                <w:color w:val="auto"/>
              </w:rPr>
              <w:t>Arno Harris</w:t>
            </w:r>
          </w:p>
        </w:tc>
        <w:tc>
          <w:tcPr>
            <w:tcW w:w="3360" w:type="dxa"/>
            <w:vAlign w:val="bottom"/>
            <w:gridSpan w:val="2"/>
          </w:tcPr>
          <w:p>
            <w:pPr>
              <w:spacing w:after="0"/>
              <w:rPr>
                <w:sz w:val="20"/>
                <w:szCs w:val="20"/>
                <w:color w:val="auto"/>
              </w:rPr>
            </w:pPr>
            <w:r>
              <w:rPr>
                <w:rFonts w:ascii="Arial" w:cs="Arial" w:eastAsia="Arial" w:hAnsi="Arial"/>
                <w:sz w:val="18"/>
                <w:szCs w:val="18"/>
                <w:color w:val="auto"/>
              </w:rPr>
              <w:t>Azure Power Global Limited</w:t>
            </w:r>
          </w:p>
        </w:tc>
        <w:tc>
          <w:tcPr>
            <w:tcW w:w="2660" w:type="dxa"/>
            <w:vAlign w:val="bottom"/>
          </w:tcPr>
          <w:p>
            <w:pPr>
              <w:spacing w:after="0"/>
              <w:rPr>
                <w:sz w:val="20"/>
                <w:szCs w:val="20"/>
                <w:color w:val="auto"/>
              </w:rPr>
            </w:pPr>
            <w:r>
              <w:rPr>
                <w:rFonts w:ascii="Arial" w:cs="Arial" w:eastAsia="Arial" w:hAnsi="Arial"/>
                <w:sz w:val="18"/>
                <w:szCs w:val="18"/>
                <w:color w:val="auto"/>
              </w:rPr>
              <w:t>Renewable Energy</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Pacific Gas &amp; Electric Company</w:t>
            </w:r>
          </w:p>
        </w:tc>
        <w:tc>
          <w:tcPr>
            <w:tcW w:w="2660" w:type="dxa"/>
            <w:vAlign w:val="bottom"/>
          </w:tcPr>
          <w:p>
            <w:pPr>
              <w:spacing w:after="0"/>
              <w:rPr>
                <w:sz w:val="20"/>
                <w:szCs w:val="20"/>
                <w:color w:val="auto"/>
              </w:rPr>
            </w:pPr>
            <w:r>
              <w:rPr>
                <w:rFonts w:ascii="Arial" w:cs="Arial" w:eastAsia="Arial" w:hAnsi="Arial"/>
                <w:sz w:val="18"/>
                <w:szCs w:val="18"/>
                <w:color w:val="auto"/>
              </w:rPr>
              <w:t>Electric &amp; Gas Utility</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310"/>
        </w:trPr>
        <w:tc>
          <w:tcPr>
            <w:tcW w:w="2300" w:type="dxa"/>
            <w:vAlign w:val="bottom"/>
            <w:gridSpan w:val="2"/>
          </w:tcPr>
          <w:p>
            <w:pPr>
              <w:spacing w:after="0"/>
              <w:rPr>
                <w:sz w:val="20"/>
                <w:szCs w:val="20"/>
                <w:color w:val="auto"/>
              </w:rPr>
            </w:pPr>
            <w:r>
              <w:rPr>
                <w:rFonts w:ascii="Arial" w:cs="Arial" w:eastAsia="Arial" w:hAnsi="Arial"/>
                <w:sz w:val="18"/>
                <w:szCs w:val="18"/>
                <w:color w:val="auto"/>
              </w:rPr>
              <w:t>Ja-Chin Audrey Lee</w:t>
            </w:r>
          </w:p>
        </w:tc>
        <w:tc>
          <w:tcPr>
            <w:tcW w:w="3360" w:type="dxa"/>
            <w:vAlign w:val="bottom"/>
            <w:gridSpan w:val="2"/>
          </w:tcPr>
          <w:p>
            <w:pPr>
              <w:spacing w:after="0"/>
              <w:rPr>
                <w:sz w:val="20"/>
                <w:szCs w:val="20"/>
                <w:color w:val="auto"/>
              </w:rPr>
            </w:pPr>
            <w:r>
              <w:rPr>
                <w:rFonts w:ascii="Arial" w:cs="Arial" w:eastAsia="Arial" w:hAnsi="Arial"/>
                <w:sz w:val="18"/>
                <w:szCs w:val="18"/>
                <w:color w:val="auto"/>
              </w:rPr>
              <w:t>Gridworks</w:t>
            </w:r>
          </w:p>
        </w:tc>
        <w:tc>
          <w:tcPr>
            <w:tcW w:w="2660" w:type="dxa"/>
            <w:vAlign w:val="bottom"/>
          </w:tcPr>
          <w:p>
            <w:pPr>
              <w:spacing w:after="0"/>
              <w:rPr>
                <w:sz w:val="20"/>
                <w:szCs w:val="20"/>
                <w:color w:val="auto"/>
              </w:rPr>
            </w:pPr>
            <w:r>
              <w:rPr>
                <w:rFonts w:ascii="Arial" w:cs="Arial" w:eastAsia="Arial" w:hAnsi="Arial"/>
                <w:sz w:val="18"/>
                <w:szCs w:val="18"/>
                <w:color w:val="auto"/>
              </w:rPr>
              <w:t>Non-profit</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Pinnacle Engines, Inc.</w:t>
            </w:r>
          </w:p>
        </w:tc>
        <w:tc>
          <w:tcPr>
            <w:tcW w:w="2660" w:type="dxa"/>
            <w:vAlign w:val="bottom"/>
          </w:tcPr>
          <w:p>
            <w:pPr>
              <w:spacing w:after="0"/>
              <w:rPr>
                <w:sz w:val="20"/>
                <w:szCs w:val="20"/>
                <w:color w:val="auto"/>
              </w:rPr>
            </w:pPr>
            <w:r>
              <w:rPr>
                <w:rFonts w:ascii="Arial" w:cs="Arial" w:eastAsia="Arial" w:hAnsi="Arial"/>
                <w:sz w:val="18"/>
                <w:szCs w:val="18"/>
                <w:color w:val="auto"/>
              </w:rPr>
              <w:t>Technology Development</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Kevala, Inc.</w:t>
            </w:r>
          </w:p>
        </w:tc>
        <w:tc>
          <w:tcPr>
            <w:tcW w:w="2660" w:type="dxa"/>
            <w:vAlign w:val="bottom"/>
          </w:tcPr>
          <w:p>
            <w:pPr>
              <w:spacing w:after="0"/>
              <w:rPr>
                <w:sz w:val="20"/>
                <w:szCs w:val="20"/>
                <w:color w:val="auto"/>
              </w:rPr>
            </w:pPr>
            <w:r>
              <w:rPr>
                <w:rFonts w:ascii="Arial" w:cs="Arial" w:eastAsia="Arial" w:hAnsi="Arial"/>
                <w:sz w:val="18"/>
                <w:szCs w:val="18"/>
                <w:color w:val="auto"/>
              </w:rPr>
              <w:t>Software and Services</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Chief Commercial Officer</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Microsoft</w:t>
            </w:r>
          </w:p>
        </w:tc>
        <w:tc>
          <w:tcPr>
            <w:tcW w:w="2660" w:type="dxa"/>
            <w:vAlign w:val="bottom"/>
          </w:tcPr>
          <w:p>
            <w:pPr>
              <w:spacing w:after="0"/>
              <w:rPr>
                <w:sz w:val="20"/>
                <w:szCs w:val="20"/>
                <w:color w:val="auto"/>
              </w:rPr>
            </w:pPr>
            <w:r>
              <w:rPr>
                <w:rFonts w:ascii="Arial" w:cs="Arial" w:eastAsia="Arial" w:hAnsi="Arial"/>
                <w:sz w:val="18"/>
                <w:szCs w:val="18"/>
                <w:color w:val="auto"/>
              </w:rPr>
              <w:t>Technology</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w w:val="98"/>
              </w:rPr>
              <w:t>Senior Director, Energy Strategy</w:t>
            </w:r>
          </w:p>
        </w:tc>
      </w:tr>
      <w:tr>
        <w:trPr>
          <w:trHeight w:val="230"/>
        </w:trPr>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Redaptive Inc.</w:t>
            </w:r>
          </w:p>
        </w:tc>
        <w:tc>
          <w:tcPr>
            <w:tcW w:w="2660" w:type="dxa"/>
            <w:vAlign w:val="bottom"/>
          </w:tcPr>
          <w:p>
            <w:pPr>
              <w:spacing w:after="0"/>
              <w:rPr>
                <w:sz w:val="20"/>
                <w:szCs w:val="20"/>
                <w:color w:val="auto"/>
              </w:rPr>
            </w:pPr>
            <w:r>
              <w:rPr>
                <w:rFonts w:ascii="Arial" w:cs="Arial" w:eastAsia="Arial" w:hAnsi="Arial"/>
                <w:sz w:val="18"/>
                <w:szCs w:val="18"/>
                <w:color w:val="auto"/>
              </w:rPr>
              <w:t>Renewable Energy</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310"/>
        </w:trPr>
        <w:tc>
          <w:tcPr>
            <w:tcW w:w="2300" w:type="dxa"/>
            <w:vAlign w:val="bottom"/>
            <w:gridSpan w:val="2"/>
          </w:tcPr>
          <w:p>
            <w:pPr>
              <w:spacing w:after="0"/>
              <w:rPr>
                <w:sz w:val="20"/>
                <w:szCs w:val="20"/>
                <w:color w:val="auto"/>
              </w:rPr>
            </w:pPr>
            <w:r>
              <w:rPr>
                <w:rFonts w:ascii="Arial" w:cs="Arial" w:eastAsia="Arial" w:hAnsi="Arial"/>
                <w:sz w:val="18"/>
                <w:szCs w:val="18"/>
                <w:color w:val="auto"/>
              </w:rPr>
              <w:t>Steven Berkenfeld</w:t>
            </w:r>
          </w:p>
        </w:tc>
        <w:tc>
          <w:tcPr>
            <w:tcW w:w="3360" w:type="dxa"/>
            <w:vAlign w:val="bottom"/>
            <w:gridSpan w:val="2"/>
          </w:tcPr>
          <w:p>
            <w:pPr>
              <w:spacing w:after="0"/>
              <w:rPr>
                <w:sz w:val="20"/>
                <w:szCs w:val="20"/>
                <w:color w:val="auto"/>
              </w:rPr>
            </w:pPr>
            <w:r>
              <w:rPr>
                <w:rFonts w:ascii="Arial" w:cs="Arial" w:eastAsia="Arial" w:hAnsi="Arial"/>
                <w:sz w:val="18"/>
                <w:szCs w:val="18"/>
                <w:color w:val="auto"/>
              </w:rPr>
              <w:t>Svante</w:t>
            </w:r>
          </w:p>
        </w:tc>
        <w:tc>
          <w:tcPr>
            <w:tcW w:w="2660" w:type="dxa"/>
            <w:vAlign w:val="bottom"/>
          </w:tcPr>
          <w:p>
            <w:pPr>
              <w:spacing w:after="0"/>
              <w:rPr>
                <w:sz w:val="20"/>
                <w:szCs w:val="20"/>
                <w:color w:val="auto"/>
              </w:rPr>
            </w:pPr>
            <w:r>
              <w:rPr>
                <w:rFonts w:ascii="Arial" w:cs="Arial" w:eastAsia="Arial" w:hAnsi="Arial"/>
                <w:sz w:val="18"/>
                <w:szCs w:val="18"/>
                <w:color w:val="auto"/>
              </w:rPr>
              <w:t>Renewable Energy</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Preserve</w:t>
            </w:r>
          </w:p>
        </w:tc>
        <w:tc>
          <w:tcPr>
            <w:tcW w:w="2660" w:type="dxa"/>
            <w:vAlign w:val="bottom"/>
          </w:tcPr>
          <w:p>
            <w:pPr>
              <w:spacing w:after="0"/>
              <w:rPr>
                <w:sz w:val="20"/>
                <w:szCs w:val="20"/>
                <w:color w:val="auto"/>
              </w:rPr>
            </w:pPr>
            <w:r>
              <w:rPr>
                <w:rFonts w:ascii="Arial" w:cs="Arial" w:eastAsia="Arial" w:hAnsi="Arial"/>
                <w:sz w:val="18"/>
                <w:szCs w:val="18"/>
                <w:color w:val="auto"/>
              </w:rPr>
              <w:t>Sustainable Consumer Products</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alphaDIRECT Group LLC</w:t>
            </w:r>
          </w:p>
        </w:tc>
        <w:tc>
          <w:tcPr>
            <w:tcW w:w="2660" w:type="dxa"/>
            <w:vAlign w:val="bottom"/>
          </w:tcPr>
          <w:p>
            <w:pPr>
              <w:spacing w:after="0"/>
              <w:rPr>
                <w:sz w:val="20"/>
                <w:szCs w:val="20"/>
                <w:color w:val="auto"/>
              </w:rPr>
            </w:pPr>
            <w:r>
              <w:rPr>
                <w:rFonts w:ascii="Arial" w:cs="Arial" w:eastAsia="Arial" w:hAnsi="Arial"/>
                <w:sz w:val="18"/>
                <w:szCs w:val="18"/>
                <w:color w:val="auto"/>
              </w:rPr>
              <w:t>Equity Research</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Green City Force</w:t>
            </w:r>
          </w:p>
        </w:tc>
        <w:tc>
          <w:tcPr>
            <w:tcW w:w="2660" w:type="dxa"/>
            <w:vAlign w:val="bottom"/>
          </w:tcPr>
          <w:p>
            <w:pPr>
              <w:spacing w:after="0"/>
              <w:rPr>
                <w:sz w:val="20"/>
                <w:szCs w:val="20"/>
                <w:color w:val="auto"/>
              </w:rPr>
            </w:pPr>
            <w:r>
              <w:rPr>
                <w:rFonts w:ascii="Arial" w:cs="Arial" w:eastAsia="Arial" w:hAnsi="Arial"/>
                <w:sz w:val="18"/>
                <w:szCs w:val="18"/>
                <w:color w:val="auto"/>
              </w:rPr>
              <w:t>Non-profit</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Board Chair</w:t>
            </w:r>
          </w:p>
        </w:tc>
      </w:tr>
      <w:tr>
        <w:trPr>
          <w:trHeight w:val="230"/>
        </w:trPr>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The Clean Fight New York</w:t>
            </w:r>
          </w:p>
        </w:tc>
        <w:tc>
          <w:tcPr>
            <w:tcW w:w="2660" w:type="dxa"/>
            <w:vAlign w:val="bottom"/>
          </w:tcPr>
          <w:p>
            <w:pPr>
              <w:spacing w:after="0"/>
              <w:rPr>
                <w:sz w:val="20"/>
                <w:szCs w:val="20"/>
                <w:color w:val="auto"/>
              </w:rPr>
            </w:pPr>
            <w:r>
              <w:rPr>
                <w:rFonts w:ascii="Arial" w:cs="Arial" w:eastAsia="Arial" w:hAnsi="Arial"/>
                <w:sz w:val="18"/>
                <w:szCs w:val="18"/>
                <w:color w:val="auto"/>
              </w:rPr>
              <w:t>Non-profit</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certain of its funds, other affiliates and portfolio companies.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86"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Shareholders should also be aware of the following other potential conflicts of interest:</w:t>
      </w:r>
    </w:p>
    <w:p>
      <w:pPr>
        <w:spacing w:after="0" w:line="131" w:lineRule="exact"/>
        <w:rPr>
          <w:sz w:val="20"/>
          <w:szCs w:val="20"/>
          <w:color w:val="auto"/>
        </w:rPr>
      </w:pPr>
    </w:p>
    <w:p>
      <w:pPr>
        <w:ind w:left="1080" w:right="80" w:hanging="424"/>
        <w:spacing w:after="0" w:line="25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93"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sponsor subscribed for founder shares prior to the date of the prospectus and purchased private placement warrants in a transaction that closed simultaneously with the closing of our IPO.</w:t>
      </w:r>
    </w:p>
    <w:p>
      <w:pPr>
        <w:spacing w:after="0" w:line="75" w:lineRule="exact"/>
        <w:rPr>
          <w:rFonts w:ascii="Arial" w:cs="Arial" w:eastAsia="Arial" w:hAnsi="Arial"/>
          <w:sz w:val="18"/>
          <w:szCs w:val="18"/>
          <w:color w:val="auto"/>
        </w:rPr>
      </w:pPr>
    </w:p>
    <w:p>
      <w:pPr>
        <w:ind w:left="1080" w:hanging="424"/>
        <w:spacing w:after="0" w:line="285"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our IPO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prescribed time frame. If we do not complete our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Except as described herein, the private placement warrants will not be transferable until 30 days following the completion of our initial business 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74" w:lineRule="exact"/>
        <w:rPr>
          <w:rFonts w:ascii="Arial" w:cs="Arial" w:eastAsia="Arial" w:hAnsi="Arial"/>
          <w:sz w:val="16"/>
          <w:szCs w:val="16"/>
          <w:color w:val="auto"/>
        </w:rPr>
      </w:pPr>
    </w:p>
    <w:p>
      <w:pPr>
        <w:jc w:val="both"/>
        <w:ind w:left="1080" w:right="320" w:hanging="424"/>
        <w:spacing w:after="0" w:line="279"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In addition, our sponsor, officers and directors may sponsor, form or participate in other blank check companies similar to ours during the period in which we are seeking an initial business combination.</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Any such companies may present additional conflicts of interest in pursuing an acquisition target, particularly in the event there is overlap among investment mandates.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86"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Furthermore, in no event will our sponsor or any of our existing officers or directors, or their respective affiliates, be paid by us any finder’s fee, consulting fee or other compensation prior to, or for any services they render in order to effectuate, the completion of our initial business combination. Further, commencing on the date our securities were first listed on NASDAQ, we have reimbursed an affiliate of our sponsor for office space, secretarial and administrative services provided to us in the amount of $10,000 per month.</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cannot assure you that any of the above-mentioned conflicts will be resolved in our favor.</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entered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9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8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86"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Commencing on the date that our securities were first listed on NASDAQ through the earlier of consummation of our initial business combination and our liquidation, we will reimburse an affiliate of our sponsor for office space, secretarial and administrative services provided to us in the amount of $10,000 per month. In addition, our sponsor, executive officers and directors, or their respective affiliates will be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by us to our sponsor, executive officers or directors,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their respective affiliates, prior to completion of our initial business combination.</w:t>
      </w:r>
    </w:p>
    <w:p>
      <w:pPr>
        <w:spacing w:after="0" w:line="17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7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99"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available to us at March 9, 2022, based on information obtained from the persons named below, with respect to the beneficial ownership of our shares of common stock, by:</w:t>
      </w:r>
    </w:p>
    <w:p>
      <w:pPr>
        <w:spacing w:after="0" w:line="52"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 of our issued and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ordinary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86"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Annual Report on Form 10-K.</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Class B ordinary shares</w:t>
            </w:r>
          </w:p>
        </w:tc>
        <w:tc>
          <w:tcPr>
            <w:tcW w:w="500" w:type="dxa"/>
            <w:vAlign w:val="bottom"/>
          </w:tcPr>
          <w:p>
            <w:pPr>
              <w:spacing w:after="0"/>
              <w:rPr>
                <w:sz w:val="14"/>
                <w:szCs w:val="14"/>
                <w:color w:val="auto"/>
              </w:rPr>
            </w:pPr>
          </w:p>
        </w:tc>
        <w:tc>
          <w:tcPr>
            <w:tcW w:w="19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Class A ordinary shares</w:t>
            </w:r>
          </w:p>
        </w:tc>
        <w:tc>
          <w:tcPr>
            <w:tcW w:w="50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3"/>
              </w:rPr>
              <w:t>Approximate</w:t>
            </w:r>
          </w:p>
        </w:tc>
        <w:tc>
          <w:tcPr>
            <w:tcW w:w="11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Number of</w:t>
            </w:r>
          </w:p>
        </w:tc>
        <w:tc>
          <w:tcPr>
            <w:tcW w:w="13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Approximate</w:t>
            </w: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Shares</w:t>
            </w:r>
          </w:p>
        </w:tc>
        <w:tc>
          <w:tcPr>
            <w:tcW w:w="1320" w:type="dxa"/>
            <w:vAlign w:val="bottom"/>
            <w:gridSpan w:val="2"/>
            <w:vMerge w:val="continue"/>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Owners(1)</w:t>
            </w:r>
          </w:p>
        </w:tc>
        <w:tc>
          <w:tcPr>
            <w:tcW w:w="3200" w:type="dxa"/>
            <w:vAlign w:val="bottom"/>
            <w:vMerge w:val="restart"/>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5"/>
              </w:rPr>
              <w:t>Percentage</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 Voting</w:t>
            </w:r>
          </w:p>
        </w:tc>
        <w:tc>
          <w:tcPr>
            <w:tcW w:w="0" w:type="dxa"/>
            <w:vAlign w:val="bottom"/>
          </w:tcPr>
          <w:p>
            <w:pPr>
              <w:spacing w:after="0"/>
              <w:rPr>
                <w:sz w:val="1"/>
                <w:szCs w:val="1"/>
                <w:color w:val="auto"/>
              </w:rPr>
            </w:pPr>
          </w:p>
        </w:tc>
      </w:tr>
      <w:tr>
        <w:trPr>
          <w:trHeight w:val="163"/>
        </w:trPr>
        <w:tc>
          <w:tcPr>
            <w:tcW w:w="1840" w:type="dxa"/>
            <w:vAlign w:val="bottom"/>
            <w:tcBorders>
              <w:bottom w:val="single" w:sz="8" w:color="auto"/>
            </w:tcBorders>
            <w:vMerge w:val="continue"/>
          </w:tcPr>
          <w:p>
            <w:pPr>
              <w:spacing w:after="0"/>
              <w:rPr>
                <w:sz w:val="13"/>
                <w:szCs w:val="13"/>
                <w:color w:val="auto"/>
              </w:rPr>
            </w:pPr>
          </w:p>
        </w:tc>
        <w:tc>
          <w:tcPr>
            <w:tcW w:w="3200" w:type="dxa"/>
            <w:vAlign w:val="bottom"/>
            <w:vMerge w:val="continue"/>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Owned</w:t>
            </w:r>
          </w:p>
        </w:tc>
        <w:tc>
          <w:tcPr>
            <w:tcW w:w="132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97"/>
              </w:rPr>
              <w:t>of Class(2)</w:t>
            </w:r>
          </w:p>
        </w:tc>
        <w:tc>
          <w:tcPr>
            <w:tcW w:w="11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Owned</w:t>
            </w:r>
          </w:p>
        </w:tc>
        <w:tc>
          <w:tcPr>
            <w:tcW w:w="13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8"/>
              </w:rPr>
              <w:t>of Class</w:t>
            </w: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20"/>
        </w:trPr>
        <w:tc>
          <w:tcPr>
            <w:tcW w:w="5040" w:type="dxa"/>
            <w:vAlign w:val="bottom"/>
            <w:gridSpan w:val="2"/>
            <w:vMerge w:val="restart"/>
            <w:shd w:val="clear" w:color="auto" w:fill="CCEEFF"/>
          </w:tcPr>
          <w:p>
            <w:pPr>
              <w:spacing w:after="0" w:line="223" w:lineRule="exact"/>
              <w:rPr>
                <w:sz w:val="20"/>
                <w:szCs w:val="20"/>
                <w:color w:val="auto"/>
              </w:rPr>
            </w:pPr>
            <w:r>
              <w:rPr>
                <w:rFonts w:ascii="Arial" w:cs="Arial" w:eastAsia="Arial" w:hAnsi="Arial"/>
                <w:sz w:val="18"/>
                <w:szCs w:val="18"/>
                <w:color w:val="auto"/>
              </w:rPr>
              <w:t xml:space="preserve">ArcLight CTC Holdings, L.P. (our sponsor) </w:t>
            </w:r>
            <w:r>
              <w:rPr>
                <w:rFonts w:ascii="Arial" w:cs="Arial" w:eastAsia="Arial" w:hAnsi="Arial"/>
                <w:sz w:val="25"/>
                <w:szCs w:val="25"/>
                <w:color w:val="auto"/>
                <w:vertAlign w:val="superscript"/>
              </w:rPr>
              <w:t>(3)</w:t>
            </w:r>
          </w:p>
        </w:tc>
        <w:tc>
          <w:tcPr>
            <w:tcW w:w="7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7,639,076</w:t>
            </w:r>
          </w:p>
        </w:tc>
        <w:tc>
          <w:tcPr>
            <w:tcW w:w="380" w:type="dxa"/>
            <w:vAlign w:val="bottom"/>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98.2%</w:t>
            </w:r>
          </w:p>
        </w:tc>
        <w:tc>
          <w:tcPr>
            <w:tcW w:w="7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0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Adage Capital Partners, L.P. and affiliates </w:t>
            </w:r>
            <w:r>
              <w:rPr>
                <w:rFonts w:ascii="Arial" w:cs="Arial" w:eastAsia="Arial" w:hAnsi="Arial"/>
                <w:sz w:val="25"/>
                <w:szCs w:val="25"/>
                <w:color w:val="auto"/>
                <w:vertAlign w:val="superscript"/>
              </w:rPr>
              <w:t>(4)</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1,313,400</w:t>
            </w: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4.2%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Entities affiliated with Citadel Advisors, LLC </w:t>
            </w:r>
            <w:r>
              <w:rPr>
                <w:rFonts w:ascii="Arial" w:cs="Arial" w:eastAsia="Arial" w:hAnsi="Arial"/>
                <w:sz w:val="25"/>
                <w:szCs w:val="25"/>
                <w:color w:val="auto"/>
                <w:vertAlign w:val="superscript"/>
              </w:rPr>
              <w:t>(5)</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1,459,026</w:t>
            </w: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Integrated Core Strategies (US) LLC </w:t>
            </w:r>
            <w:r>
              <w:rPr>
                <w:rFonts w:ascii="Arial" w:cs="Arial" w:eastAsia="Arial" w:hAnsi="Arial"/>
                <w:sz w:val="25"/>
                <w:szCs w:val="25"/>
                <w:color w:val="auto"/>
                <w:vertAlign w:val="superscript"/>
              </w:rPr>
              <w:t>(6)</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1,374,706</w:t>
            </w: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4.4%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Daniel R. Revers</w:t>
            </w:r>
            <w:r>
              <w:rPr>
                <w:rFonts w:ascii="Arial" w:cs="Arial" w:eastAsia="Arial" w:hAnsi="Arial"/>
                <w:sz w:val="25"/>
                <w:szCs w:val="25"/>
                <w:color w:val="auto"/>
                <w:vertAlign w:val="superscript"/>
              </w:rPr>
              <w:t>(3)</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Arno Harris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35,000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Ja-Chin Audrey Lee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35,000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Brian Goncher</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35,000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Berkenfeld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35,000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All officers and directors as a group (five individuals)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140,000</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 than one percent.</w:t>
      </w:r>
    </w:p>
    <w:p>
      <w:pPr>
        <w:ind w:left="540" w:hanging="424"/>
        <w:spacing w:after="0" w:line="201"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our shareholders is 200 Clarendon Street, 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Boston, MA 02116.</w:t>
      </w:r>
    </w:p>
    <w:p>
      <w:pPr>
        <w:ind w:left="540" w:right="380" w:hanging="424"/>
        <w:spacing w:after="0" w:line="249"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at the time of our initial business combination or earlier at the option of the holders thereof as described in the section entitled “Description of Securities.”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shares reported above are held in the name of our sponsor. Our sponsor is controlled by Daniel R. Revers.</w:t>
      </w:r>
    </w:p>
    <w:p>
      <w:pPr>
        <w:spacing w:after="0" w:line="9" w:lineRule="exact"/>
        <w:rPr>
          <w:rFonts w:ascii="Arial" w:cs="Arial" w:eastAsia="Arial" w:hAnsi="Arial"/>
          <w:sz w:val="18"/>
          <w:szCs w:val="18"/>
          <w:color w:val="auto"/>
        </w:rPr>
      </w:pPr>
    </w:p>
    <w:p>
      <w:pPr>
        <w:jc w:val="both"/>
        <w:ind w:left="540" w:right="80" w:hanging="424"/>
        <w:spacing w:after="0" w:line="281"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of 1,313,400 ArcLight Class A ordinary shares beneficially held by Adage Capital Partners, L.P. (“ACP”), Adage Capital Partners GP, L.L.C. (“ACPGP”), Adage Capital Advisors, L.L.C. (“ACA”), Robert Atchinson (“Mr. Atchinson”) and Phillip Gross (“Mr. Gross”), based solely on the Schedule 13G filed jointly by ACP, ACPGP, ACA, Mr. Atchinson and Mr. Gross with the SEC on February 10, 2022. The business address of each of ACP, ACPGP, ACA, Mr. Atchinson and Mr. Gross is 200 Clarendon Street, 52nd Floor, Boston, Massachusetts 02116.</w:t>
      </w:r>
    </w:p>
    <w:p>
      <w:pPr>
        <w:spacing w:after="0" w:line="2"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solely on the Schedule 13G filed on February 14, 2022, Kenneth Griffin has voting and dispositive power over 1,466,118 shares of ArcLight Class A ordinary shares, of which each of Citadel Advisors LLC, Citadel Advisors Holdings LP and Citadel GP LLC shares voting and dispositive power over 1,466,118 of ArcLight Class A ordinary shares and Citadel Securities LLC, CALC IV LP and Citadel Securities GP LLC shares voting and dispositive power over 7,092 ArcLight Class A ordinary shares. The address of the entities and individuals mentioned in this footnote is 131 S. Dearborn Street, 32nd Floor, Chicago, Illinois 60603.</w:t>
      </w:r>
    </w:p>
    <w:p>
      <w:pPr>
        <w:spacing w:after="0" w:line="1" w:lineRule="exact"/>
        <w:rPr>
          <w:rFonts w:ascii="Arial" w:cs="Arial" w:eastAsia="Arial" w:hAnsi="Arial"/>
          <w:sz w:val="18"/>
          <w:szCs w:val="18"/>
          <w:color w:val="auto"/>
        </w:rPr>
      </w:pPr>
    </w:p>
    <w:p>
      <w:pPr>
        <w:ind w:left="540" w:right="380" w:hanging="424"/>
        <w:spacing w:after="0" w:line="273"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Beneficial ownership of 1,374,706 shares of ArcLight Class A ordinary shares is based on ownership as set forth in the Schedule 13G filed by Integrated Core Strategies (US) LLC, Riverview Group LLC, ICS Opportunities II LLC, ICS Opportunities, Ltd., Millennium International Management LP, Millennium Management LLC, Millennium Group Management LLC and Israel A. Englander on December 10, 2021. The address for the foregoing reporting persons is 399 Park Avenue, New York, New York 10022.</w:t>
      </w:r>
    </w:p>
    <w:p>
      <w:pPr>
        <w:spacing w:after="0" w:line="17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Immediately after our IPO, our initial shareholders beneficially owned 20% of the then-issued and outstanding ordinary shares (assuming they do not purchase any units in our IPO) and will have the right to appoint all of our directors prior to our initial business combination. Holders of our public shares will not have the right to</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86"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appoint any directors to our board of directors prior to our initial business combination. Because of this ownership block, our sponsor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14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sponsor has agreed (a) to vote any founder shares and public shares held by it in favor of any proposed business combination and (b) not to redeem any founder shares or public shares held by it in connection with a shareholder vote to approve a proposed initial business combination.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sponsor is deemed to be our “promoter” as such term is defined under the federal securities laws.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The founder shares, private placement warrants and any Class A ordinary shares issued upon conversion or exercise thereof are each subject to transfer restrictions pursuant to lock-up provisions in the agreement entered into by our sponsor and management team. Our sponsor and each member of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Class A ordinary shares for cash, securities or other property subsequent to the completion of our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however, that in the case of clauses (a) through (f) these permitted transferees must enter into a written agreement agreeing to be bound by these transfer restrictions and the other restrictions contained in the letter agreement.</w:t>
      </w: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Control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86"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100"/>
        <w:spacing w:after="0" w:line="377" w:lineRule="auto"/>
        <w:rPr>
          <w:sz w:val="20"/>
          <w:szCs w:val="20"/>
          <w:color w:val="auto"/>
        </w:rPr>
      </w:pPr>
      <w:r>
        <w:rPr>
          <w:rFonts w:ascii="Arial" w:cs="Arial" w:eastAsia="Arial" w:hAnsi="Arial"/>
          <w:sz w:val="18"/>
          <w:szCs w:val="18"/>
          <w:b w:val="1"/>
          <w:bCs w:val="1"/>
          <w:color w:val="auto"/>
        </w:rPr>
        <w:t xml:space="preserve">ITEM 13. CERTAIN RELATIONSHIPS AND RELATED TRANSACTIONS, AND DIRECTOR INDEPENDENCE </w:t>
      </w:r>
      <w:r>
        <w:rPr>
          <w:rFonts w:ascii="Arial" w:cs="Arial" w:eastAsia="Arial" w:hAnsi="Arial"/>
          <w:sz w:val="18"/>
          <w:szCs w:val="18"/>
          <w:b w:val="1"/>
          <w:bCs w:val="1"/>
          <w:i w:val="1"/>
          <w:iCs w:val="1"/>
          <w:color w:val="auto"/>
        </w:rPr>
        <w:t>Founder Shares</w:t>
      </w:r>
    </w:p>
    <w:p>
      <w:pPr>
        <w:spacing w:after="0" w:line="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On January 20, 2021, our sponsor paid $25,000, or approximately $0.003 per share, to cover certain expenses on our behalf in consideration of 7,187,500 Class B ordinary shares, par value $0.0001 per share. The number of founder shares issued was determined based on the expectation that such founder shares would represent 20% of the issued and outstanding shares upon completion of the IPO. On February 2, 2021, our sponsor transferred 35,000 founder shares to each of Arno Harris, Ja-Chin Audrey Lee, Brian Goncher and Steven Berkenfeld, our independent director nominees. Up to 937,500 founder shares were subject to forfeiture by our sponsor depending on the extent to which the underwriters’ exercised their over-allotment option in connection with the IPO. On December 10, 2021, the option to exercise the remaining over-allotment balance expired and 127,174 Class B ordinary shares were forfeited, resulting in an aggregate of 7,779,076 Class B ordinary shares issued and outstanding. The founder shares (including the ArcLight Class A ordinary shares issuable upon exercise thereof) may not, subject to certain limited exceptions, be transferred, assigned or sold by the holder.</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sponsor purchased an aggregate of 9,223,261 private placement warrants for a purchase price of $1.00 per whole warrant in a private placement that occurred simultaneously with the closing of our IPO. As such, our sponsor’s interest in this transaction was valued at $9,223,261. Each private placement warrant entitles the holder to purchase one Class A ordinary share at $11.50 per share, subject to adjustment. The private placement warrants (including the Class A ordinary shares issuable upon exercise thereof) may not, subject to certain limited exceptions, be transferred, assigned or sold by the holder until 30 days after the completion of our initial business combination.</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more fully discussed in the section of this Annual Report on Form 10-K entitled “Directors, Executive Officers and Corporate Governance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87" w:lineRule="exact"/>
        <w:rPr>
          <w:sz w:val="20"/>
          <w:szCs w:val="20"/>
          <w:color w:val="auto"/>
        </w:rPr>
      </w:pPr>
    </w:p>
    <w:p>
      <w:pPr>
        <w:ind w:left="120" w:right="100" w:firstLine="440"/>
        <w:spacing w:after="0" w:line="226" w:lineRule="auto"/>
        <w:rPr>
          <w:sz w:val="20"/>
          <w:szCs w:val="20"/>
          <w:color w:val="auto"/>
        </w:rPr>
      </w:pPr>
      <w:r>
        <w:rPr>
          <w:rFonts w:ascii="Arial" w:cs="Arial" w:eastAsia="Arial" w:hAnsi="Arial"/>
          <w:sz w:val="18"/>
          <w:szCs w:val="18"/>
          <w:color w:val="auto"/>
        </w:rPr>
        <w:t>We currently maintain our executive offices at 200 Clarendon Street, 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Boston, MA 02116. The cost for our use of this space is included in the $10,000 per month fee we will pay to an affiliate of our sponsor for office space, administrative and support services. Upon completion of our initial business combination or our liquidation, we will cease paying these monthly fees.</w:t>
      </w:r>
    </w:p>
    <w:p>
      <w:pPr>
        <w:spacing w:after="0" w:line="20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No compensation of any kind, including finder’s and consulting fees, will be paid to our sponsor, officers and directors, or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78"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may repay such loaned amounts out of the proceeds of the Trust Account released to us.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its affiliates or our management team as we do not believe third parties will be willing to loan such funds and provide a waiver against any and all rights to seek access to funds in our Trust Account.</w:t>
      </w:r>
    </w:p>
    <w:p>
      <w:pPr>
        <w:spacing w:after="0" w:line="16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86"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84"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We entered into a registration and shareholder rights agreement pursuant to which our sponsor will be entitled to certain registration rights with respect to the private placement warrants, the warrants issuable upon conversion of working capital loans (if any), and the Class A ordinary shares issuable upon exercise of the foregoing and upon conversion of the founder shares, and, upon consummation of our initial business combination, to nominate three individuals for appointment to our board of directors, as long as the sponsor holds any securities covered by the registration and shareholder rights agreement, which is described under the section of this Annual Report on Form 10-K entitled “Description of Securities — Registration and Shareholder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audit committee of our board of directors adopted a charter, providing for the review, approval and/or ratification of “related party transactions,” which are those transactions required to be disclosed pursuant to Item 404 of Regulation S-K as promulgated by the SEC, by the audit committee. At its meetings, the audit committee is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fees paid to Marcum LLP, for services rendered.</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Audit fees consist of fees billed for professional services rendered for the audit of our year-end financial statements, reviews of our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services that are normally provided by our independent registered public accounting firm in connection with statutory and regulatory filings. The aggregate fees by Marcum LLP for audit fees, inclusive of required filings with the SEC for the period January 13, 2021 (inception) through December 31, 2021, and of services rendered in connection with our initial public offering, totaled $84,718.</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fees consist of fees for assurance and related services that are reasonably related to performance of the audit or review</w:t>
      </w:r>
      <w:r>
        <w:rPr>
          <w:rFonts w:ascii="Arial" w:cs="Arial" w:eastAsia="Arial" w:hAnsi="Arial"/>
          <w:sz w:val="18"/>
          <w:szCs w:val="18"/>
          <w:i w:val="1"/>
          <w:iCs w:val="1"/>
          <w:color w:val="auto"/>
        </w:rPr>
        <w:t xml:space="preserve"> </w:t>
      </w:r>
      <w:r>
        <w:rPr>
          <w:rFonts w:ascii="Arial" w:cs="Arial" w:eastAsia="Arial" w:hAnsi="Arial"/>
          <w:sz w:val="18"/>
          <w:szCs w:val="18"/>
          <w:color w:val="auto"/>
        </w:rPr>
        <w:t>of our year-end financial statements and are not reported under “Audit Fees.” These services include attesting services that are not required by statute or regulation and consultation concerning financial accounting and reporting standards. We did not pay Marcum LLP any audit-related fees during the period January 13, 2021 (inception) through December 31, 2021.</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Tax fees consist of fees billed for professional services relating to tax compliance, tax planning and tax advice. We did not pay Marcum LLP</w:t>
      </w:r>
      <w:r>
        <w:rPr>
          <w:rFonts w:ascii="Arial" w:cs="Arial" w:eastAsia="Arial" w:hAnsi="Arial"/>
          <w:sz w:val="18"/>
          <w:szCs w:val="18"/>
          <w:i w:val="1"/>
          <w:iCs w:val="1"/>
          <w:color w:val="auto"/>
        </w:rPr>
        <w:t xml:space="preserve"> </w:t>
      </w:r>
      <w:r>
        <w:rPr>
          <w:rFonts w:ascii="Arial" w:cs="Arial" w:eastAsia="Arial" w:hAnsi="Arial"/>
          <w:sz w:val="18"/>
          <w:szCs w:val="18"/>
          <w:color w:val="auto"/>
        </w:rPr>
        <w:t>any tax fees during the period January 13, 2021 (inception) through December 31, 2021.</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consist of fees billed for all other services. We did not pay Marcum LLP any other fees during the period January 13, 2021</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through December 31,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86"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135"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1" w:lineRule="exact"/>
        <w:rPr>
          <w:sz w:val="20"/>
          <w:szCs w:val="20"/>
          <w:color w:val="auto"/>
        </w:rPr>
      </w:pPr>
    </w:p>
    <w:p>
      <w:pPr>
        <w:ind w:left="1540" w:hanging="439"/>
        <w:spacing w:after="0"/>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hereby file as part of this Report the exhibits listed in the attached Exhibit Index. Exhibits that are incorporated herein by reference can be obtained from the SEC’s website at www.sec.gov.</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0" w:type="dxa"/>
            <w:vAlign w:val="bottom"/>
            <w:gridSpan w:val="11"/>
            <w:vMerge w:val="restart"/>
          </w:tcPr>
          <w:p>
            <w:pPr>
              <w:ind w:left="1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No.</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jc w:val="right"/>
              <w:ind w:right="292"/>
              <w:spacing w:after="0" w:line="169" w:lineRule="exact"/>
              <w:rPr>
                <w:sz w:val="20"/>
                <w:szCs w:val="20"/>
                <w:color w:val="auto"/>
              </w:rPr>
            </w:pPr>
            <w:r>
              <w:rPr>
                <w:rFonts w:ascii="Arial" w:cs="Arial" w:eastAsia="Arial" w:hAnsi="Arial"/>
                <w:sz w:val="18"/>
                <w:szCs w:val="18"/>
                <w:color w:val="auto"/>
              </w:rPr>
              <w:t>2.1</w:t>
            </w:r>
          </w:p>
        </w:tc>
        <w:tc>
          <w:tcPr>
            <w:tcW w:w="320" w:type="dxa"/>
            <w:vAlign w:val="bottom"/>
          </w:tcPr>
          <w:p>
            <w:pPr>
              <w:spacing w:after="0"/>
              <w:rPr>
                <w:sz w:val="14"/>
                <w:szCs w:val="14"/>
                <w:color w:val="auto"/>
              </w:rPr>
            </w:pPr>
          </w:p>
        </w:tc>
        <w:tc>
          <w:tcPr>
            <w:tcW w:w="9920" w:type="dxa"/>
            <w:vAlign w:val="bottom"/>
            <w:tcBorders>
              <w:top w:val="single" w:sz="8" w:color="auto"/>
            </w:tcBorders>
            <w:gridSpan w:val="19"/>
          </w:tcPr>
          <w:p>
            <w:pPr>
              <w:spacing w:after="0" w:line="169" w:lineRule="exact"/>
              <w:rPr>
                <w:rFonts w:ascii="Arial" w:cs="Arial" w:eastAsia="Arial" w:hAnsi="Arial"/>
                <w:sz w:val="18"/>
                <w:szCs w:val="18"/>
                <w:color w:val="0000EE"/>
              </w:rPr>
            </w:pPr>
            <w:hyperlink r:id="rId109">
              <w:r>
                <w:rPr>
                  <w:rFonts w:ascii="Arial" w:cs="Arial" w:eastAsia="Arial" w:hAnsi="Arial"/>
                  <w:sz w:val="18"/>
                  <w:szCs w:val="18"/>
                  <w:color w:val="0000EE"/>
                </w:rPr>
                <w:t>Business Combination Agreement, dated as of December 2, 2021, by and among ArcLight, Opal HoldCo and Opal Fuels.(1)</w:t>
              </w:r>
            </w:hyperlink>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50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Amended and Restated Memorandum and Articles of Association.(2)</w:t>
              </w:r>
            </w:hyperlink>
          </w:p>
        </w:tc>
        <w:tc>
          <w:tcPr>
            <w:tcW w:w="3960" w:type="dxa"/>
            <w:vAlign w:val="bottom"/>
            <w:tcBorders>
              <w:top w:val="single" w:sz="8" w:color="0000EE"/>
            </w:tcBorders>
            <w:gridSpan w:val="7"/>
          </w:tcPr>
          <w:p>
            <w:pPr>
              <w:spacing w:after="0"/>
              <w:rPr>
                <w:sz w:val="24"/>
                <w:szCs w:val="24"/>
                <w:color w:val="auto"/>
              </w:rPr>
            </w:pPr>
          </w:p>
        </w:tc>
        <w:tc>
          <w:tcPr>
            <w:tcW w:w="9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2140" w:type="dxa"/>
            <w:vAlign w:val="bottom"/>
            <w:tcBorders>
              <w:bottom w:val="single" w:sz="8" w:color="0000EE"/>
            </w:tcBorders>
            <w:gridSpan w:val="3"/>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Specimen Unit Certificate.(3)</w:t>
              </w:r>
            </w:hyperlink>
          </w:p>
        </w:tc>
        <w:tc>
          <w:tcPr>
            <w:tcW w:w="77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r:id="rId112">
              <w:r>
                <w:rPr>
                  <w:rFonts w:ascii="Arial" w:cs="Arial" w:eastAsia="Arial" w:hAnsi="Arial"/>
                  <w:sz w:val="18"/>
                  <w:szCs w:val="18"/>
                  <w:color w:val="0000EE"/>
                </w:rPr>
                <w:t>Specimen Class A Ordinary Share Certificate.(3)</w:t>
              </w:r>
            </w:hyperlink>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Specimen Warrant Certificate.(3)</w:t>
              </w:r>
            </w:hyperlink>
          </w:p>
        </w:tc>
        <w:tc>
          <w:tcPr>
            <w:tcW w:w="1120" w:type="dxa"/>
            <w:vAlign w:val="bottom"/>
            <w:tcBorders>
              <w:top w:val="single" w:sz="8" w:color="0000EE"/>
            </w:tcBorders>
            <w:gridSpan w:val="4"/>
          </w:tcPr>
          <w:p>
            <w:pPr>
              <w:spacing w:after="0"/>
              <w:rPr>
                <w:sz w:val="24"/>
                <w:szCs w:val="24"/>
                <w:color w:val="auto"/>
              </w:rPr>
            </w:pPr>
          </w:p>
        </w:tc>
        <w:tc>
          <w:tcPr>
            <w:tcW w:w="6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r:id="rId114">
              <w:r>
                <w:rPr>
                  <w:rFonts w:ascii="Arial" w:cs="Arial" w:eastAsia="Arial" w:hAnsi="Arial"/>
                  <w:sz w:val="18"/>
                  <w:szCs w:val="18"/>
                  <w:color w:val="0000EE"/>
                </w:rPr>
                <w:t>Warrant Agreement, dated March 25, 2021 between Continental Stock Transfer &amp; Trust Company and the Company.(2)</w:t>
              </w:r>
            </w:hyperlink>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8620" w:type="dxa"/>
            <w:vAlign w:val="bottom"/>
            <w:tcBorders>
              <w:top w:val="single" w:sz="8" w:color="0000EE"/>
            </w:tcBorders>
            <w:gridSpan w:val="1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Description of Registrant’s Securities*</w:t>
              </w:r>
            </w:hyperlink>
          </w:p>
        </w:tc>
        <w:tc>
          <w:tcPr>
            <w:tcW w:w="1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9740" w:type="dxa"/>
            <w:vAlign w:val="bottom"/>
            <w:tcBorders>
              <w:bottom w:val="single" w:sz="8" w:color="0000EE"/>
            </w:tcBorders>
            <w:gridSpan w:val="18"/>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Sponsor Letter Agreement, dated as of December 2, 2021, by and among Opal Fuels, ArcLight, ArcLight Sponsor and the other parties</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thereto.(1)</w:t>
              </w:r>
            </w:hyperlink>
          </w:p>
        </w:tc>
        <w:tc>
          <w:tcPr>
            <w:tcW w:w="91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r:id="rId116">
              <w:r>
                <w:rPr>
                  <w:rFonts w:ascii="Arial" w:cs="Arial" w:eastAsia="Arial" w:hAnsi="Arial"/>
                  <w:sz w:val="18"/>
                  <w:szCs w:val="18"/>
                  <w:color w:val="0000EE"/>
                </w:rPr>
                <w:t>Administrative Services Agreement between the Company and the Sponsor. (2)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6560" w:type="dxa"/>
            <w:vAlign w:val="bottom"/>
            <w:tcBorders>
              <w:bottom w:val="single" w:sz="8" w:color="0000EE"/>
            </w:tcBorders>
            <w:gridSpan w:val="11"/>
          </w:tcPr>
          <w:p>
            <w:pPr>
              <w:spacing w:after="0"/>
              <w:rPr>
                <w:rFonts w:ascii="Arial" w:cs="Arial" w:eastAsia="Arial" w:hAnsi="Arial"/>
                <w:sz w:val="18"/>
                <w:szCs w:val="18"/>
                <w:color w:val="0000EE"/>
                <w:w w:val="88"/>
              </w:rPr>
            </w:pPr>
            <w:hyperlink r:id="rId117">
              <w:r>
                <w:rPr>
                  <w:rFonts w:ascii="Arial" w:cs="Arial" w:eastAsia="Arial" w:hAnsi="Arial"/>
                  <w:sz w:val="18"/>
                  <w:szCs w:val="18"/>
                  <w:color w:val="0000EE"/>
                  <w:w w:val="88"/>
                </w:rPr>
                <w:t>Promissory Note, dated as of January 20, 2021, between the Registrant and the Sponsor.(3)</w:t>
              </w:r>
            </w:hyperlink>
          </w:p>
        </w:tc>
        <w:tc>
          <w:tcPr>
            <w:tcW w:w="3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7460" w:type="dxa"/>
            <w:vAlign w:val="bottom"/>
            <w:tcBorders>
              <w:bottom w:val="single" w:sz="8" w:color="0000EE"/>
            </w:tcBorders>
            <w:gridSpan w:val="14"/>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Securities Subscription Agreement, dated January 20, 2021, between the Registrant and the Sponsor.(3)</w:t>
              </w:r>
            </w:hyperlink>
          </w:p>
        </w:tc>
        <w:tc>
          <w:tcPr>
            <w:tcW w:w="2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7020" w:type="dxa"/>
            <w:vAlign w:val="bottom"/>
            <w:tcBorders>
              <w:bottom w:val="single" w:sz="8" w:color="0000EE"/>
            </w:tcBorders>
            <w:gridSpan w:val="13"/>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Letter Agreement among the Company, the Sponsor and the Company’s officers and directors (2)</w:t>
              </w:r>
            </w:hyperlink>
          </w:p>
        </w:tc>
        <w:tc>
          <w:tcPr>
            <w:tcW w:w="29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6640" w:type="dxa"/>
            <w:vAlign w:val="bottom"/>
            <w:tcBorders>
              <w:bottom w:val="single" w:sz="8" w:color="0000EE"/>
            </w:tcBorders>
            <w:gridSpan w:val="12"/>
          </w:tcPr>
          <w:p>
            <w:pPr>
              <w:spacing w:after="0"/>
              <w:rPr>
                <w:rFonts w:ascii="Arial" w:cs="Arial" w:eastAsia="Arial" w:hAnsi="Arial"/>
                <w:sz w:val="18"/>
                <w:szCs w:val="18"/>
                <w:color w:val="0000EE"/>
                <w:w w:val="88"/>
              </w:rPr>
            </w:pPr>
            <w:hyperlink r:id="rId120">
              <w:r>
                <w:rPr>
                  <w:rFonts w:ascii="Arial" w:cs="Arial" w:eastAsia="Arial" w:hAnsi="Arial"/>
                  <w:sz w:val="18"/>
                  <w:szCs w:val="18"/>
                  <w:color w:val="0000EE"/>
                  <w:w w:val="88"/>
                </w:rPr>
                <w:t>Private Placement Warrants Purchase Agreement between the Company and the Sponsor.(2)</w:t>
              </w:r>
            </w:hyperlink>
          </w:p>
        </w:tc>
        <w:tc>
          <w:tcPr>
            <w:tcW w:w="3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3"/>
              </w:rPr>
            </w:pPr>
            <w:hyperlink r:id="rId121">
              <w:r>
                <w:rPr>
                  <w:rFonts w:ascii="Arial" w:cs="Arial" w:eastAsia="Arial" w:hAnsi="Arial"/>
                  <w:sz w:val="18"/>
                  <w:szCs w:val="18"/>
                  <w:color w:val="0000EE"/>
                  <w:w w:val="93"/>
                </w:rPr>
                <w:t>Registration and Shareholder Rights Agreement among the Company, the Sponsor and certain other equityholders named therein.(2)</w:t>
              </w:r>
            </w:hyperlink>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9540" w:type="dxa"/>
            <w:vAlign w:val="bottom"/>
            <w:tcBorders>
              <w:top w:val="single" w:sz="8" w:color="0000EE"/>
            </w:tcBorders>
            <w:gridSpan w:val="17"/>
          </w:tcPr>
          <w:p>
            <w:pPr>
              <w:spacing w:after="0"/>
              <w:rPr>
                <w:rFonts w:ascii="Arial" w:cs="Arial" w:eastAsia="Arial" w:hAnsi="Arial"/>
                <w:sz w:val="18"/>
                <w:szCs w:val="18"/>
                <w:color w:val="0000EE"/>
              </w:rPr>
            </w:pPr>
            <w:hyperlink r:id="rId122">
              <w:r>
                <w:rPr>
                  <w:rFonts w:ascii="Arial" w:cs="Arial" w:eastAsia="Arial" w:hAnsi="Arial"/>
                  <w:sz w:val="18"/>
                  <w:szCs w:val="18"/>
                  <w:color w:val="0000EE"/>
                </w:rPr>
                <w:t>Form of Subscription Agreement.(1)</w:t>
              </w:r>
            </w:hyperlink>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2840" w:type="dxa"/>
            <w:vAlign w:val="bottom"/>
            <w:tcBorders>
              <w:bottom w:val="single" w:sz="8" w:color="0000EE"/>
            </w:tcBorders>
            <w:gridSpan w:val="7"/>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Form of Investor Rights Agreement.(1)</w:t>
              </w:r>
            </w:hyperlink>
          </w:p>
        </w:tc>
        <w:tc>
          <w:tcPr>
            <w:tcW w:w="70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Code of Ethics*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20" w:hanging="1014"/>
        <w:spacing w:after="0"/>
        <w:tabs>
          <w:tab w:leader="none" w:pos="1220" w:val="left"/>
        </w:tabs>
        <w:numPr>
          <w:ilvl w:val="0"/>
          <w:numId w:val="55"/>
        </w:numPr>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List of Subsidiaries*</w:t>
        </w:r>
      </w:hyperlink>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ind w:left="80"/>
              <w:spacing w:after="0"/>
              <w:rPr>
                <w:sz w:val="20"/>
                <w:szCs w:val="20"/>
                <w:color w:val="auto"/>
              </w:rPr>
            </w:pPr>
            <w:r>
              <w:rPr>
                <w:rFonts w:ascii="Arial" w:cs="Arial" w:eastAsia="Arial" w:hAnsi="Arial"/>
                <w:sz w:val="18"/>
                <w:szCs w:val="18"/>
                <w:color w:val="auto"/>
              </w:rPr>
              <w:t>31.1</w:t>
            </w:r>
          </w:p>
        </w:tc>
        <w:tc>
          <w:tcPr>
            <w:tcW w:w="8140" w:type="dxa"/>
            <w:vAlign w:val="bottom"/>
            <w:gridSpan w:val="4"/>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Certification of the Chief Executive Officer required by Rule 13a-14(a) or Rule 15d-14(a)*</w:t>
              </w:r>
            </w:hyperlink>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31.2</w:t>
            </w:r>
          </w:p>
        </w:tc>
        <w:tc>
          <w:tcPr>
            <w:tcW w:w="652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152">
              <w:r>
                <w:rPr>
                  <w:rFonts w:ascii="Arial" w:cs="Arial" w:eastAsia="Arial" w:hAnsi="Arial"/>
                  <w:sz w:val="18"/>
                  <w:szCs w:val="18"/>
                  <w:color w:val="0000EE"/>
                  <w:w w:val="92"/>
                </w:rPr>
                <w:t>Certification of the Chief Financial Officer required by Rule 13a-14(a) or Rule 15d-14(a)*</w:t>
              </w:r>
            </w:hyperlink>
          </w:p>
        </w:tc>
        <w:tc>
          <w:tcPr>
            <w:tcW w:w="40" w:type="dxa"/>
            <w:vAlign w:val="bottom"/>
            <w:tcBorders>
              <w:top w:val="single" w:sz="8" w:color="0000EE"/>
            </w:tcBorders>
          </w:tcPr>
          <w:p>
            <w:pPr>
              <w:spacing w:after="0"/>
              <w:rPr>
                <w:sz w:val="24"/>
                <w:szCs w:val="24"/>
                <w:color w:val="auto"/>
              </w:rPr>
            </w:pPr>
          </w:p>
        </w:tc>
        <w:tc>
          <w:tcPr>
            <w:tcW w:w="1580" w:type="dxa"/>
            <w:vAlign w:val="bottom"/>
            <w:gridSpan w:val="2"/>
          </w:tcPr>
          <w:p>
            <w:pPr>
              <w:spacing w:after="0"/>
              <w:rPr>
                <w:sz w:val="24"/>
                <w:szCs w:val="24"/>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32.1</w:t>
            </w:r>
          </w:p>
        </w:tc>
        <w:tc>
          <w:tcPr>
            <w:tcW w:w="81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53">
              <w:r>
                <w:rPr>
                  <w:rFonts w:ascii="Arial" w:cs="Arial" w:eastAsia="Arial" w:hAnsi="Arial"/>
                  <w:sz w:val="18"/>
                  <w:szCs w:val="18"/>
                  <w:color w:val="0000EE"/>
                  <w:w w:val="92"/>
                </w:rPr>
                <w:t>Certification of the Chief Executive Officer required by Rule 13a-14(b) or Rule 15d-14(b) and 18 U.S.C. 1350**</w:t>
              </w:r>
            </w:hyperlink>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32.2</w:t>
            </w:r>
          </w:p>
        </w:tc>
        <w:tc>
          <w:tcPr>
            <w:tcW w:w="8140" w:type="dxa"/>
            <w:vAlign w:val="bottom"/>
            <w:gridSpan w:val="4"/>
          </w:tcPr>
          <w:p>
            <w:pPr>
              <w:spacing w:after="0"/>
              <w:rPr>
                <w:rFonts w:ascii="Arial" w:cs="Arial" w:eastAsia="Arial" w:hAnsi="Arial"/>
                <w:sz w:val="18"/>
                <w:szCs w:val="18"/>
                <w:color w:val="0000EE"/>
                <w:w w:val="93"/>
              </w:rPr>
            </w:pPr>
            <w:hyperlink w:anchor="page154">
              <w:r>
                <w:rPr>
                  <w:rFonts w:ascii="Arial" w:cs="Arial" w:eastAsia="Arial" w:hAnsi="Arial"/>
                  <w:sz w:val="18"/>
                  <w:szCs w:val="18"/>
                  <w:color w:val="0000EE"/>
                  <w:w w:val="93"/>
                </w:rPr>
                <w:t>Certification of the Chief Financial Officer required by Rule 13a-14(b) or Rule 15d-14(b) and 18 U.S.C. 1350**</w:t>
              </w:r>
            </w:hyperlink>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80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81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81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81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81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81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814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29"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140"/>
          </w:cols>
          <w:pgMar w:left="320" w:top="486" w:right="439" w:bottom="1440" w:gutter="0" w:footer="0" w:header="0"/>
        </w:sectPr>
      </w:pP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40"/>
          </w:cols>
          <w:pgMar w:left="320" w:top="486" w:right="4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with the SEC on December 2, 2021</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with the SEC on March 26,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Incorporated by reference to the registrants Amendment No. 1 to Registration Statement on Form S-1, filed with the SEC on March 8, 2021</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600"/>
          </w:cols>
          <w:pgMar w:left="320" w:top="486" w:right="9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Annual Report on Form 10-K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ARCLIGHT CLEAN TRANSITION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Jake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Jake F. Erhard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9, 2022</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right"/>
              <w:ind w:right="2088"/>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Revers</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Chairman</w:t>
            </w:r>
          </w:p>
        </w:tc>
        <w:tc>
          <w:tcPr>
            <w:tcW w:w="1760" w:type="dxa"/>
            <w:vAlign w:val="bottom"/>
          </w:tcPr>
          <w:p>
            <w:pPr>
              <w:spacing w:after="0"/>
              <w:rPr>
                <w:sz w:val="20"/>
                <w:szCs w:val="20"/>
                <w:color w:val="auto"/>
              </w:rPr>
            </w:pPr>
            <w:r>
              <w:rPr>
                <w:rFonts w:ascii="Arial" w:cs="Arial" w:eastAsia="Arial" w:hAnsi="Arial"/>
                <w:sz w:val="18"/>
                <w:szCs w:val="18"/>
                <w:color w:val="auto"/>
              </w:rPr>
              <w:t>March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Daniel R. Revers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Jake F. Erhard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1760" w:type="dxa"/>
            <w:vAlign w:val="bottom"/>
          </w:tcPr>
          <w:p>
            <w:pPr>
              <w:spacing w:after="0"/>
              <w:rPr>
                <w:sz w:val="20"/>
                <w:szCs w:val="20"/>
                <w:color w:val="auto"/>
              </w:rPr>
            </w:pPr>
            <w:r>
              <w:rPr>
                <w:rFonts w:ascii="Arial" w:cs="Arial" w:eastAsia="Arial" w:hAnsi="Arial"/>
                <w:sz w:val="18"/>
                <w:szCs w:val="18"/>
                <w:color w:val="auto"/>
              </w:rPr>
              <w:t>March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Jake F. Erhard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Marco F. Gatti</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spacing w:after="0"/>
              <w:rPr>
                <w:sz w:val="20"/>
                <w:szCs w:val="20"/>
                <w:color w:val="auto"/>
              </w:rPr>
            </w:pPr>
            <w:r>
              <w:rPr>
                <w:rFonts w:ascii="Arial" w:cs="Arial" w:eastAsia="Arial" w:hAnsi="Arial"/>
                <w:sz w:val="18"/>
                <w:szCs w:val="18"/>
                <w:color w:val="auto"/>
              </w:rPr>
              <w:t>March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Marco F. Gatti</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Goncher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Brian Goncher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Ja-Chin Audrey Lee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Ja-Chin Audrey Lee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Berkenfeld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Steven Berkenfeld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Arno Harris</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9,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Arno Harris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728"/>
        </w:trPr>
        <w:tc>
          <w:tcPr>
            <w:tcW w:w="4180" w:type="dxa"/>
            <w:vAlign w:val="bottom"/>
          </w:tcPr>
          <w:p>
            <w:pPr>
              <w:spacing w:after="0"/>
              <w:rPr>
                <w:sz w:val="24"/>
                <w:szCs w:val="24"/>
                <w:color w:val="auto"/>
              </w:rPr>
            </w:pPr>
          </w:p>
        </w:tc>
        <w:tc>
          <w:tcPr>
            <w:tcW w:w="4960" w:type="dxa"/>
            <w:vAlign w:val="bottom"/>
            <w:gridSpan w:val="2"/>
          </w:tcPr>
          <w:p>
            <w:pPr>
              <w:jc w:val="right"/>
              <w:ind w:right="3468"/>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Page No.</w:t>
            </w:r>
          </w:p>
        </w:tc>
      </w:tr>
      <w:tr>
        <w:trPr>
          <w:trHeight w:val="263"/>
        </w:trPr>
        <w:tc>
          <w:tcPr>
            <w:tcW w:w="60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Report of Independent Registered Public Accounting Firm (PCAOB Firm ID# 688)</w:t>
              </w:r>
            </w:hyperlink>
          </w:p>
        </w:tc>
        <w:tc>
          <w:tcPr>
            <w:tcW w:w="4380" w:type="dxa"/>
            <w:vAlign w:val="bottom"/>
            <w:gridSpan w:val="4"/>
          </w:tcPr>
          <w:p>
            <w:pPr>
              <w:spacing w:after="0"/>
              <w:rPr>
                <w:sz w:val="22"/>
                <w:szCs w:val="22"/>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88"/>
              </w:rPr>
              <w:t>F-2</w:t>
            </w:r>
          </w:p>
        </w:tc>
      </w:tr>
      <w:tr>
        <w:trPr>
          <w:trHeight w:val="345"/>
        </w:trPr>
        <w:tc>
          <w:tcPr>
            <w:tcW w:w="1040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spacing w:after="0"/>
              <w:rPr>
                <w:sz w:val="24"/>
                <w:szCs w:val="24"/>
                <w:color w:val="auto"/>
              </w:rPr>
            </w:pPr>
          </w:p>
        </w:tc>
      </w:tr>
      <w:tr>
        <w:trPr>
          <w:trHeight w:val="283"/>
        </w:trPr>
        <w:tc>
          <w:tcPr>
            <w:tcW w:w="10400" w:type="dxa"/>
            <w:vAlign w:val="bottom"/>
            <w:gridSpan w:val="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Balance Sheet as of December 31, 2021</w:t>
              </w:r>
            </w:hyperlink>
          </w:p>
        </w:tc>
        <w:tc>
          <w:tcPr>
            <w:tcW w:w="560" w:type="dxa"/>
            <w:vAlign w:val="bottom"/>
          </w:tcPr>
          <w:p>
            <w:pPr>
              <w:ind w:left="300"/>
              <w:spacing w:after="0"/>
              <w:rPr>
                <w:sz w:val="20"/>
                <w:szCs w:val="20"/>
                <w:color w:val="auto"/>
              </w:rPr>
            </w:pPr>
            <w:r>
              <w:rPr>
                <w:rFonts w:ascii="Arial" w:cs="Arial" w:eastAsia="Arial" w:hAnsi="Arial"/>
                <w:sz w:val="18"/>
                <w:szCs w:val="18"/>
                <w:color w:val="auto"/>
                <w:w w:val="88"/>
              </w:rPr>
              <w:t>F-3</w:t>
            </w:r>
          </w:p>
        </w:tc>
      </w:tr>
      <w:tr>
        <w:trPr>
          <w:trHeight w:val="20"/>
        </w:trPr>
        <w:tc>
          <w:tcPr>
            <w:tcW w:w="2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00" w:type="dxa"/>
            <w:vAlign w:val="bottom"/>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Statement of Operations for the period from January 13, 2021 (inception) through December 31, 2021</w:t>
              </w:r>
            </w:hyperlink>
          </w:p>
        </w:tc>
        <w:tc>
          <w:tcPr>
            <w:tcW w:w="560" w:type="dxa"/>
            <w:vAlign w:val="bottom"/>
          </w:tcPr>
          <w:p>
            <w:pPr>
              <w:ind w:left="300"/>
              <w:spacing w:after="0"/>
              <w:rPr>
                <w:sz w:val="20"/>
                <w:szCs w:val="20"/>
                <w:color w:val="auto"/>
              </w:rPr>
            </w:pPr>
            <w:r>
              <w:rPr>
                <w:rFonts w:ascii="Arial" w:cs="Arial" w:eastAsia="Arial" w:hAnsi="Arial"/>
                <w:sz w:val="18"/>
                <w:szCs w:val="18"/>
                <w:color w:val="auto"/>
                <w:w w:val="88"/>
              </w:rPr>
              <w:t>F-4</w:t>
            </w:r>
          </w:p>
        </w:tc>
      </w:tr>
      <w:tr>
        <w:trPr>
          <w:trHeight w:val="20"/>
        </w:trPr>
        <w:tc>
          <w:tcPr>
            <w:tcW w:w="2140" w:type="dxa"/>
            <w:vAlign w:val="bottom"/>
            <w:shd w:val="clear" w:color="auto" w:fill="0000EE"/>
          </w:tcPr>
          <w:p>
            <w:pPr>
              <w:spacing w:after="0" w:line="20" w:lineRule="exact"/>
              <w:rPr>
                <w:sz w:val="1"/>
                <w:szCs w:val="1"/>
                <w:color w:val="auto"/>
              </w:rPr>
            </w:pPr>
          </w:p>
        </w:tc>
        <w:tc>
          <w:tcPr>
            <w:tcW w:w="5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00" w:type="dxa"/>
            <w:vAlign w:val="bottom"/>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Statement of Changes in Shareholders’ Deficit for the period from January 13, 2021 (inception) through December 31, 2021</w:t>
              </w:r>
            </w:hyperlink>
          </w:p>
        </w:tc>
        <w:tc>
          <w:tcPr>
            <w:tcW w:w="560" w:type="dxa"/>
            <w:vAlign w:val="bottom"/>
          </w:tcPr>
          <w:p>
            <w:pPr>
              <w:ind w:left="300"/>
              <w:spacing w:after="0"/>
              <w:rPr>
                <w:sz w:val="20"/>
                <w:szCs w:val="20"/>
                <w:color w:val="auto"/>
              </w:rPr>
            </w:pPr>
            <w:r>
              <w:rPr>
                <w:rFonts w:ascii="Arial" w:cs="Arial" w:eastAsia="Arial" w:hAnsi="Arial"/>
                <w:sz w:val="18"/>
                <w:szCs w:val="18"/>
                <w:color w:val="auto"/>
                <w:w w:val="88"/>
              </w:rPr>
              <w:t>F-5</w:t>
            </w:r>
          </w:p>
        </w:tc>
      </w:tr>
      <w:tr>
        <w:trPr>
          <w:trHeight w:val="304"/>
        </w:trPr>
        <w:tc>
          <w:tcPr>
            <w:tcW w:w="74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Statement of Cash Flows for the period from January 13, 2021 (inception) through December 31, 2021</w:t>
              </w:r>
            </w:hyperlink>
          </w:p>
        </w:tc>
        <w:tc>
          <w:tcPr>
            <w:tcW w:w="154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88"/>
              </w:rPr>
              <w:t>F-6</w:t>
            </w:r>
          </w:p>
        </w:tc>
      </w:tr>
      <w:tr>
        <w:trPr>
          <w:trHeight w:val="304"/>
        </w:trPr>
        <w:tc>
          <w:tcPr>
            <w:tcW w:w="10400" w:type="dxa"/>
            <w:vAlign w:val="bottom"/>
            <w:gridSpan w:val="7"/>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Notes to Financial Statements</w:t>
              </w:r>
            </w:hyperlink>
          </w:p>
        </w:tc>
        <w:tc>
          <w:tcPr>
            <w:tcW w:w="560" w:type="dxa"/>
            <w:vAlign w:val="bottom"/>
          </w:tcPr>
          <w:p>
            <w:pPr>
              <w:ind w:left="300"/>
              <w:spacing w:after="0"/>
              <w:rPr>
                <w:sz w:val="20"/>
                <w:szCs w:val="20"/>
                <w:color w:val="auto"/>
              </w:rPr>
            </w:pPr>
            <w:r>
              <w:rPr>
                <w:rFonts w:ascii="Arial" w:cs="Arial" w:eastAsia="Arial" w:hAnsi="Arial"/>
                <w:sz w:val="18"/>
                <w:szCs w:val="18"/>
                <w:color w:val="auto"/>
                <w:w w:val="88"/>
              </w:rPr>
              <w:t>F-7</w:t>
            </w:r>
          </w:p>
        </w:tc>
      </w:tr>
      <w:tr>
        <w:trPr>
          <w:trHeight w:val="385"/>
        </w:trPr>
        <w:tc>
          <w:tcPr>
            <w:tcW w:w="21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540" w:type="dxa"/>
            <w:vAlign w:val="bottom"/>
            <w:gridSpan w:val="5"/>
          </w:tcPr>
          <w:p>
            <w:pPr>
              <w:ind w:left="252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ArcLight Clean Transition Corp. II</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80" w:right="60"/>
        <w:spacing w:after="0" w:line="296" w:lineRule="auto"/>
        <w:rPr>
          <w:sz w:val="20"/>
          <w:szCs w:val="20"/>
          <w:color w:val="auto"/>
        </w:rPr>
      </w:pPr>
      <w:r>
        <w:rPr>
          <w:rFonts w:ascii="Arial" w:cs="Arial" w:eastAsia="Arial" w:hAnsi="Arial"/>
          <w:sz w:val="16"/>
          <w:szCs w:val="16"/>
          <w:color w:val="auto"/>
        </w:rPr>
        <w:t>We have audited the accompanying balance sheet of ArcLight Clean Transition Corp. II (the “Company”) as of December 31, 2021, the related statements of operations, changes in shareholders’ deficit and cash flows for the period from January 13,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January 13, 2021 (inception) through December 31, 2021, in conformity with accounting principles generally accepted in the United States of America.</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80" w:right="2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Hartford, CT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9, 2022</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260" w:top="486" w:right="4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99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rPr>
              <w:t>ARCLIGHT CLEAN TRANSITION CORP. II</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DECEMBER 31, 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811,526</w:t>
            </w:r>
          </w:p>
        </w:tc>
      </w:tr>
      <w:tr>
        <w:trPr>
          <w:trHeight w:val="223"/>
        </w:trPr>
        <w:tc>
          <w:tcPr>
            <w:tcW w:w="120" w:type="dxa"/>
            <w:vAlign w:val="bottom"/>
          </w:tcPr>
          <w:p>
            <w:pPr>
              <w:spacing w:after="0"/>
              <w:rPr>
                <w:sz w:val="19"/>
                <w:szCs w:val="19"/>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701,663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1,513,189</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159,954</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311,175,471</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312,848,614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18,764</w:t>
            </w: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94,497</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113,261</w:t>
            </w: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Deferred legal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3,966,447</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10,890,707</w:t>
            </w: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Derivative warrant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25,795,700</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40,766,115</w:t>
            </w: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 31,116,305 shares at redemption value of $10.00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311,163,050</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Shareholders’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6"/>
              </w:rPr>
              <w:t>Class A ordinary shares, $0.0001 par value; 500,000,000 shares authorized; no non-redeemable shares issued and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ordinary shares, $0.0001 par value; 50,000,000 shares authorized; 7,779,076 shares issued and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(39,081,329)</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(39,080,551)</w:t>
            </w:r>
          </w:p>
        </w:tc>
      </w:tr>
      <w:tr>
        <w:trPr>
          <w:trHeight w:val="223"/>
        </w:trPr>
        <w:tc>
          <w:tcPr>
            <w:tcW w:w="1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312,848,614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73" w:right="4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ARCLIGHT CLEAN TRANSITION CORP.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STATEMENT OF OPERATIONS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FOR THE PERIOD FROM JANUARY 13, 2021 (INCEPTION) THROUGH DECEMBER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4,944,523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(4,944,523)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2"/>
              </w:rPr>
              <w:t>(10,799,940)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costs—warrant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(11,250,139)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(16,194,662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ordinary shares,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25,360,688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ordinary shares,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7,611,848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73"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SHAREHOLDERS’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JANUARY 13, 2021 (INCEPTION) THROUGH DECEMBER 31, 2021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42"/>
        </w:trPr>
        <w:tc>
          <w:tcPr>
            <w:tcW w:w="4460" w:type="dxa"/>
            <w:vAlign w:val="bottom"/>
          </w:tcPr>
          <w:p>
            <w:pPr>
              <w:spacing w:after="0"/>
              <w:rPr>
                <w:sz w:val="12"/>
                <w:szCs w:val="12"/>
                <w:color w:val="auto"/>
              </w:rPr>
            </w:pPr>
          </w:p>
        </w:tc>
        <w:tc>
          <w:tcPr>
            <w:tcW w:w="84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93"/>
              </w:rPr>
              <w:t>Class A</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Class B</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446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10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Deficit</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13, 2021 (inception)</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7,906,250</w:t>
            </w: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Accretion on Class A ordinary shares subject to possible</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(199,953)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(22,886,667)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(23,086,620)</w:t>
            </w: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Sale of private placement warrants to Sponsor less fair</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value of private warrants</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175,731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175,731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Forfeiture of Class B ordinary shares from Sponsor</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(127,174)</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(16,194,662)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(16,194,662)</w:t>
            </w:r>
          </w:p>
        </w:tc>
      </w:tr>
      <w:tr>
        <w:trPr>
          <w:trHeight w:val="27"/>
        </w:trPr>
        <w:tc>
          <w:tcPr>
            <w:tcW w:w="4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2021</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7,779,076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778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(39,081,329)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(39,080,551)</w:t>
            </w:r>
          </w:p>
        </w:tc>
      </w:tr>
      <w:tr>
        <w:trPr>
          <w:trHeight w:val="20"/>
        </w:trPr>
        <w:tc>
          <w:tcPr>
            <w:tcW w:w="4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86" w:right="4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99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rPr>
              <w:t>ARCLIGHT CLEAN TRANSITION CORP. II</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STATEMENT OF CASH FLOWS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FOR THE PERIOD FROM JANUARY 13, 2021 (INCEPTION) THROUGH DECEMBER 31, 2021</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(16,194,662)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 paid by related party in exchange for issuance of Class B ordinary shares</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 paid by related party under promissory note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10,799,940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(861,617)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(181,236)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24,497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legal fees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3,966,447</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(1,944,632)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Cash deposited in Trust Account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(311,163,050)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(311,163,050)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note payable to related party</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Repayment of note payable to related party</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(171,742)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311,163,050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Proceeds received from private placement</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9,223,261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costs paid</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(6,295,461)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313,919,208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811,526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Cash - beginning of the period</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811,526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 costs included in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Offering costs included in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 costs paid by related party under promissory note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144,842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Deferred underwriting commissions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10,890,707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Forfeiture of Class B ordinary shares from Sponsor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73"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finalized (“Business Combination”).</w:t>
      </w:r>
    </w:p>
    <w:p>
      <w:pPr>
        <w:spacing w:after="0" w:line="16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As of December 31, 2021, the Company had not yet commenced operations. All activity for the period from January 13, 2021 (inception) through December 31,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6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$10.9 million was for deferred underwriting commissions (see Note 6).</w:t>
      </w:r>
    </w:p>
    <w:p>
      <w:pPr>
        <w:spacing w:after="0" w:line="21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86"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right="20"/>
        <w:spacing w:after="0" w:line="284" w:lineRule="auto"/>
        <w:rPr>
          <w:sz w:val="20"/>
          <w:szCs w:val="20"/>
          <w:color w:val="auto"/>
        </w:rPr>
      </w:pPr>
      <w:r>
        <w:rPr>
          <w:rFonts w:ascii="Arial" w:cs="Arial" w:eastAsia="Arial" w:hAnsi="Arial"/>
          <w:sz w:val="16"/>
          <w:szCs w:val="16"/>
          <w:color w:val="auto"/>
        </w:rPr>
        <w:t>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82" w:lineRule="exact"/>
        <w:rPr>
          <w:sz w:val="20"/>
          <w:szCs w:val="20"/>
          <w:color w:val="auto"/>
        </w:rPr>
      </w:pPr>
    </w:p>
    <w:p>
      <w:pPr>
        <w:ind w:left="180" w:right="160" w:firstLine="440"/>
        <w:spacing w:after="0" w:line="257" w:lineRule="auto"/>
        <w:rPr>
          <w:sz w:val="20"/>
          <w:szCs w:val="20"/>
          <w:color w:val="auto"/>
        </w:rPr>
      </w:pPr>
      <w:r>
        <w:rPr>
          <w:rFonts w:ascii="Arial" w:cs="Arial" w:eastAsia="Arial" w:hAnsi="Arial"/>
          <w:sz w:val="18"/>
          <w:szCs w:val="18"/>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88" w:lineRule="exact"/>
        <w:rPr>
          <w:sz w:val="20"/>
          <w:szCs w:val="20"/>
          <w:color w:val="auto"/>
        </w:rPr>
      </w:pPr>
    </w:p>
    <w:p>
      <w:pPr>
        <w:ind w:left="180" w:right="260" w:firstLine="440"/>
        <w:spacing w:after="0" w:line="257" w:lineRule="auto"/>
        <w:rPr>
          <w:sz w:val="20"/>
          <w:szCs w:val="20"/>
          <w:color w:val="auto"/>
        </w:rPr>
      </w:pPr>
      <w:r>
        <w:rPr>
          <w:rFonts w:ascii="Arial" w:cs="Arial" w:eastAsia="Arial" w:hAnsi="Arial"/>
          <w:sz w:val="18"/>
          <w:szCs w:val="18"/>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8" w:lineRule="exact"/>
        <w:rPr>
          <w:sz w:val="20"/>
          <w:szCs w:val="20"/>
          <w:color w:val="auto"/>
        </w:rPr>
      </w:pPr>
    </w:p>
    <w:p>
      <w:pPr>
        <w:ind w:left="180" w:firstLine="44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260" w:top="486"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right="60" w:firstLine="44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49" w:lineRule="exact"/>
        <w:rPr>
          <w:sz w:val="20"/>
          <w:szCs w:val="20"/>
          <w:color w:val="auto"/>
        </w:rPr>
      </w:pPr>
    </w:p>
    <w:p>
      <w:pPr>
        <w:ind w:left="180" w:firstLine="440"/>
        <w:spacing w:after="0" w:line="284"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Proposed Business Combination</w:t>
      </w:r>
    </w:p>
    <w:p>
      <w:pPr>
        <w:spacing w:after="0" w:line="117" w:lineRule="exact"/>
        <w:rPr>
          <w:sz w:val="20"/>
          <w:szCs w:val="20"/>
          <w:color w:val="auto"/>
        </w:rPr>
      </w:pPr>
    </w:p>
    <w:p>
      <w:pPr>
        <w:ind w:left="180" w:right="60" w:firstLine="440"/>
        <w:spacing w:after="0" w:line="263" w:lineRule="auto"/>
        <w:rPr>
          <w:sz w:val="20"/>
          <w:szCs w:val="20"/>
          <w:color w:val="auto"/>
        </w:rPr>
      </w:pPr>
      <w:r>
        <w:rPr>
          <w:rFonts w:ascii="Arial" w:cs="Arial" w:eastAsia="Arial" w:hAnsi="Arial"/>
          <w:sz w:val="18"/>
          <w:szCs w:val="18"/>
          <w:color w:val="auto"/>
        </w:rPr>
        <w:t>On December 2, 2021, the Company, Opal HoldCo LLC, a Delaware limited liability company (“</w:t>
      </w:r>
      <w:r>
        <w:rPr>
          <w:rFonts w:ascii="Arial" w:cs="Arial" w:eastAsia="Arial" w:hAnsi="Arial"/>
          <w:sz w:val="18"/>
          <w:szCs w:val="18"/>
          <w:i w:val="1"/>
          <w:iCs w:val="1"/>
          <w:color w:val="auto"/>
        </w:rPr>
        <w:t>Opal HoldCo</w:t>
      </w:r>
      <w:r>
        <w:rPr>
          <w:rFonts w:ascii="Arial" w:cs="Arial" w:eastAsia="Arial" w:hAnsi="Arial"/>
          <w:sz w:val="18"/>
          <w:szCs w:val="18"/>
          <w:color w:val="auto"/>
        </w:rPr>
        <w:t>”), and Opal Fuels LLC, a Delaware limited liability company (“</w:t>
      </w:r>
      <w:r>
        <w:rPr>
          <w:rFonts w:ascii="Arial" w:cs="Arial" w:eastAsia="Arial" w:hAnsi="Arial"/>
          <w:sz w:val="18"/>
          <w:szCs w:val="18"/>
          <w:i w:val="1"/>
          <w:iCs w:val="1"/>
          <w:color w:val="auto"/>
        </w:rPr>
        <w:t>Opal Fuels</w:t>
      </w:r>
      <w:r>
        <w:rPr>
          <w:rFonts w:ascii="Arial" w:cs="Arial" w:eastAsia="Arial" w:hAnsi="Arial"/>
          <w:sz w:val="18"/>
          <w:szCs w:val="18"/>
          <w:color w:val="auto"/>
        </w:rPr>
        <w:t>”), entered into a Business Combination Agreement (as it may be amended, supplemented or otherwise modified from time to time, the “</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w:t>
      </w:r>
    </w:p>
    <w:p>
      <w:pPr>
        <w:spacing w:after="0" w:line="184" w:lineRule="exact"/>
        <w:rPr>
          <w:sz w:val="20"/>
          <w:szCs w:val="20"/>
          <w:color w:val="auto"/>
        </w:rPr>
      </w:pPr>
    </w:p>
    <w:p>
      <w:pPr>
        <w:ind w:left="180" w:right="20" w:firstLine="440"/>
        <w:spacing w:after="0" w:line="286" w:lineRule="auto"/>
        <w:rPr>
          <w:sz w:val="20"/>
          <w:szCs w:val="20"/>
          <w:color w:val="auto"/>
        </w:rPr>
      </w:pPr>
      <w:r>
        <w:rPr>
          <w:rFonts w:ascii="Arial" w:cs="Arial" w:eastAsia="Arial" w:hAnsi="Arial"/>
          <w:sz w:val="16"/>
          <w:szCs w:val="16"/>
          <w:color w:val="auto"/>
        </w:rPr>
        <w:t>The Business Combination Agreement and the transactions contemplated thereby (collectively,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were unanimously approved by the boards of directors of each of the Company and Opal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w:t>
      </w:r>
      <w:r>
        <w:rPr>
          <w:rFonts w:ascii="Arial" w:cs="Arial" w:eastAsia="Arial" w:hAnsi="Arial"/>
          <w:sz w:val="16"/>
          <w:szCs w:val="16"/>
          <w:i w:val="1"/>
          <w:iCs w:val="1"/>
          <w:color w:val="auto"/>
        </w:rPr>
        <w:t>Domestication</w:t>
      </w:r>
      <w:r>
        <w:rPr>
          <w:rFonts w:ascii="Arial" w:cs="Arial" w:eastAsia="Arial" w:hAnsi="Arial"/>
          <w:sz w:val="16"/>
          <w:szCs w:val="16"/>
          <w:color w:val="auto"/>
        </w:rPr>
        <w:t>”) and, in connection with the Domestication, (A) the Company’s name will be changed to “Opal Fuels Inc.” (“</w:t>
      </w:r>
      <w:r>
        <w:rPr>
          <w:rFonts w:ascii="Arial" w:cs="Arial" w:eastAsia="Arial" w:hAnsi="Arial"/>
          <w:sz w:val="16"/>
          <w:szCs w:val="16"/>
          <w:i w:val="1"/>
          <w:iCs w:val="1"/>
          <w:color w:val="auto"/>
        </w:rPr>
        <w:t>New Opal</w:t>
      </w:r>
      <w:r>
        <w:rPr>
          <w:rFonts w:ascii="Arial" w:cs="Arial" w:eastAsia="Arial" w:hAnsi="Arial"/>
          <w:sz w:val="16"/>
          <w:szCs w:val="16"/>
          <w:color w:val="auto"/>
        </w:rPr>
        <w:t>”), (B) each outstanding Class A ordinary share of the Company will become one share of Class A common stock, par value $0.0001 per share, of New Opal (the “</w:t>
      </w:r>
      <w:r>
        <w:rPr>
          <w:rFonts w:ascii="Arial" w:cs="Arial" w:eastAsia="Arial" w:hAnsi="Arial"/>
          <w:sz w:val="16"/>
          <w:szCs w:val="16"/>
          <w:i w:val="1"/>
          <w:iCs w:val="1"/>
          <w:color w:val="auto"/>
        </w:rPr>
        <w:t>New Opal Class A Common Stock</w:t>
      </w:r>
      <w:r>
        <w:rPr>
          <w:rFonts w:ascii="Arial" w:cs="Arial" w:eastAsia="Arial" w:hAnsi="Arial"/>
          <w:sz w:val="16"/>
          <w:szCs w:val="16"/>
          <w:color w:val="auto"/>
        </w:rPr>
        <w:t>”),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to be re-classified into a number of common units (collectively, the “</w:t>
      </w:r>
      <w:r>
        <w:rPr>
          <w:rFonts w:ascii="Arial" w:cs="Arial" w:eastAsia="Arial" w:hAnsi="Arial"/>
          <w:sz w:val="16"/>
          <w:szCs w:val="16"/>
          <w:i w:val="1"/>
          <w:iCs w:val="1"/>
          <w:color w:val="auto"/>
        </w:rPr>
        <w:t>Opal Units</w:t>
      </w:r>
      <w:r>
        <w:rPr>
          <w:rFonts w:ascii="Arial" w:cs="Arial" w:eastAsia="Arial" w:hAnsi="Arial"/>
          <w:sz w:val="16"/>
          <w:szCs w:val="16"/>
          <w:color w:val="auto"/>
        </w:rPr>
        <w:t>”) based on a pre-transaction equity value for Opal equal to $1,501,870,000, less all principal and accrued interest</w:t>
      </w: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60" w:top="486"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outstanding immediately after the Closing pursuant to that certain convertible promissory note, dated as of May 1, 2021 (as amended, including that certain First Amendment to Convertible Note, dated November 29, 2021”), held by ARCC Beacon LLC, a Delaware limited liability company (“</w:t>
      </w:r>
      <w:r>
        <w:rPr>
          <w:rFonts w:ascii="Arial" w:cs="Arial" w:eastAsia="Arial" w:hAnsi="Arial"/>
          <w:sz w:val="16"/>
          <w:szCs w:val="16"/>
          <w:i w:val="1"/>
          <w:iCs w:val="1"/>
          <w:color w:val="auto"/>
        </w:rPr>
        <w:t>Ares</w:t>
      </w:r>
      <w:r>
        <w:rPr>
          <w:rFonts w:ascii="Arial" w:cs="Arial" w:eastAsia="Arial" w:hAnsi="Arial"/>
          <w:sz w:val="16"/>
          <w:szCs w:val="16"/>
          <w:color w:val="auto"/>
        </w:rPr>
        <w:t>”),</w:t>
      </w:r>
    </w:p>
    <w:p>
      <w:pPr>
        <w:ind w:left="120" w:right="60" w:hanging="4"/>
        <w:spacing w:after="0" w:line="251" w:lineRule="auto"/>
        <w:tabs>
          <w:tab w:leader="none" w:pos="4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will contribute the (x) the amount of cash in the trust account (the “</w:t>
      </w:r>
      <w:r>
        <w:rPr>
          <w:rFonts w:ascii="Arial" w:cs="Arial" w:eastAsia="Arial" w:hAnsi="Arial"/>
          <w:sz w:val="18"/>
          <w:szCs w:val="18"/>
          <w:i w:val="1"/>
          <w:iCs w:val="1"/>
          <w:color w:val="auto"/>
        </w:rPr>
        <w:t>Trust Account</w:t>
      </w:r>
      <w:r>
        <w:rPr>
          <w:rFonts w:ascii="Arial" w:cs="Arial" w:eastAsia="Arial" w:hAnsi="Arial"/>
          <w:sz w:val="18"/>
          <w:szCs w:val="18"/>
          <w:color w:val="auto"/>
        </w:rPr>
        <w:t>”) established by the Company with the proceeds from its initial public offering as of immediately prior to the Closing (and before, for the avoidance of doubt, giving effect to the exercise of redemption rights by any of the Company’s shareholders (the “</w:t>
      </w:r>
      <w:r>
        <w:rPr>
          <w:rFonts w:ascii="Arial" w:cs="Arial" w:eastAsia="Arial" w:hAnsi="Arial"/>
          <w:sz w:val="18"/>
          <w:szCs w:val="18"/>
          <w:i w:val="1"/>
          <w:iCs w:val="1"/>
          <w:color w:val="auto"/>
        </w:rPr>
        <w:t>Public Share Redemptions</w:t>
      </w:r>
      <w:r>
        <w:rPr>
          <w:rFonts w:ascii="Arial" w:cs="Arial" w:eastAsia="Arial" w:hAnsi="Arial"/>
          <w:sz w:val="18"/>
          <w:szCs w:val="18"/>
          <w:color w:val="auto"/>
        </w:rPr>
        <w:t>”)),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w:t>
      </w:r>
      <w:r>
        <w:rPr>
          <w:rFonts w:ascii="Arial" w:cs="Arial" w:eastAsia="Arial" w:hAnsi="Arial"/>
          <w:sz w:val="18"/>
          <w:szCs w:val="18"/>
          <w:i w:val="1"/>
          <w:iCs w:val="1"/>
          <w:color w:val="auto"/>
        </w:rPr>
        <w:t>Hillman</w:t>
      </w:r>
      <w:r>
        <w:rPr>
          <w:rFonts w:ascii="Arial" w:cs="Arial" w:eastAsia="Arial" w:hAnsi="Arial"/>
          <w:sz w:val="18"/>
          <w:szCs w:val="18"/>
          <w:color w:val="auto"/>
        </w:rPr>
        <w:t>”) a number of shares of Class D common stock, par value $0.0001 per share, of New Opal (the “</w:t>
      </w:r>
      <w:r>
        <w:rPr>
          <w:rFonts w:ascii="Arial" w:cs="Arial" w:eastAsia="Arial" w:hAnsi="Arial"/>
          <w:sz w:val="18"/>
          <w:szCs w:val="18"/>
          <w:i w:val="1"/>
          <w:iCs w:val="1"/>
          <w:color w:val="auto"/>
        </w:rPr>
        <w:t>New Opal Class D</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w:t>
      </w:r>
      <w:r>
        <w:rPr>
          <w:rFonts w:ascii="Arial" w:cs="Arial" w:eastAsia="Arial" w:hAnsi="Arial"/>
          <w:sz w:val="18"/>
          <w:szCs w:val="18"/>
          <w:color w:val="auto"/>
        </w:rPr>
        <w:t>”), and distribute to Ares (together with Opal HoldCo and Hillman, collectively, the “</w:t>
      </w:r>
      <w:r>
        <w:rPr>
          <w:rFonts w:ascii="Arial" w:cs="Arial" w:eastAsia="Arial" w:hAnsi="Arial"/>
          <w:sz w:val="18"/>
          <w:szCs w:val="18"/>
          <w:i w:val="1"/>
          <w:iCs w:val="1"/>
          <w:color w:val="auto"/>
        </w:rPr>
        <w:t>Opal Equityholders</w:t>
      </w:r>
      <w:r>
        <w:rPr>
          <w:rFonts w:ascii="Arial" w:cs="Arial" w:eastAsia="Arial" w:hAnsi="Arial"/>
          <w:sz w:val="18"/>
          <w:szCs w:val="18"/>
          <w:color w:val="auto"/>
        </w:rPr>
        <w:t>”) shares of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par value $0.0001 per share, of New Opal (the “</w:t>
      </w:r>
      <w:r>
        <w:rPr>
          <w:rFonts w:ascii="Arial" w:cs="Arial" w:eastAsia="Arial" w:hAnsi="Arial"/>
          <w:sz w:val="18"/>
          <w:szCs w:val="18"/>
          <w:i w:val="1"/>
          <w:iCs w:val="1"/>
          <w:color w:val="auto"/>
        </w:rPr>
        <w:t>New Opal Class B Common Stock</w:t>
      </w:r>
      <w:r>
        <w:rPr>
          <w:rFonts w:ascii="Arial" w:cs="Arial" w:eastAsia="Arial" w:hAnsi="Arial"/>
          <w:sz w:val="18"/>
          <w:szCs w:val="18"/>
          <w:color w:val="auto"/>
        </w:rPr>
        <w:t>”) (neither of which will have any economic value but will entitle the holder thereof to five votes per share or one vote per share, respectively), equal to the number of Opal Units held by each of the Opal Equityholders.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if New Opal’s annual EBITDA for the calendar year 2023 exceeds $238,000,000 (the “</w:t>
      </w:r>
      <w:r>
        <w:rPr>
          <w:rFonts w:ascii="Arial" w:cs="Arial" w:eastAsia="Arial" w:hAnsi="Arial"/>
          <w:sz w:val="16"/>
          <w:szCs w:val="16"/>
          <w:i w:val="1"/>
          <w:iCs w:val="1"/>
          <w:color w:val="auto"/>
        </w:rPr>
        <w:t>First Earnout Triggering Event</w:t>
      </w:r>
      <w:r>
        <w:rPr>
          <w:rFonts w:ascii="Arial" w:cs="Arial" w:eastAsia="Arial" w:hAnsi="Arial"/>
          <w:sz w:val="16"/>
          <w:szCs w:val="16"/>
          <w:color w:val="auto"/>
        </w:rPr>
        <w:t>”), New Opal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 issue to Opal HoldCo, Ares and Hillman (collectively, the “</w:t>
      </w:r>
      <w:r>
        <w:rPr>
          <w:rFonts w:ascii="Arial" w:cs="Arial" w:eastAsia="Arial" w:hAnsi="Arial"/>
          <w:sz w:val="16"/>
          <w:szCs w:val="16"/>
          <w:i w:val="1"/>
          <w:iCs w:val="1"/>
          <w:color w:val="auto"/>
        </w:rPr>
        <w:t>Earnout Participants</w:t>
      </w:r>
      <w:r>
        <w:rPr>
          <w:rFonts w:ascii="Arial" w:cs="Arial" w:eastAsia="Arial" w:hAnsi="Arial"/>
          <w:sz w:val="16"/>
          <w:szCs w:val="16"/>
          <w:color w:val="auto"/>
        </w:rPr>
        <w:t>”) an aggregate of 5,000,000 shares of New Opal Class B Common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and New Opal Class D Common Stock and corresponding Opal Units (collectively, the “</w:t>
      </w:r>
      <w:r>
        <w:rPr>
          <w:rFonts w:ascii="Arial" w:cs="Arial" w:eastAsia="Arial" w:hAnsi="Arial"/>
          <w:sz w:val="17"/>
          <w:szCs w:val="17"/>
          <w:i w:val="1"/>
          <w:iCs w:val="1"/>
          <w:color w:val="auto"/>
        </w:rPr>
        <w:t>First Earnout Tranche</w:t>
      </w:r>
      <w:r>
        <w:rPr>
          <w:rFonts w:ascii="Arial" w:cs="Arial" w:eastAsia="Arial" w:hAnsi="Arial"/>
          <w:sz w:val="17"/>
          <w:szCs w:val="17"/>
          <w:color w:val="auto"/>
        </w:rPr>
        <w:t>”) in accordance with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allocations set forth in the Business Combination Agreement. Additionally, if New Opal’s annual EBITDA for the calendar year 2024 exceeds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$446,000,000 (the “</w:t>
      </w:r>
      <w:r>
        <w:rPr>
          <w:rFonts w:ascii="Arial" w:cs="Arial" w:eastAsia="Arial" w:hAnsi="Arial"/>
          <w:sz w:val="16"/>
          <w:szCs w:val="16"/>
          <w:i w:val="1"/>
          <w:iCs w:val="1"/>
          <w:color w:val="auto"/>
        </w:rPr>
        <w:t>Second Earnout Triggering Event</w:t>
      </w:r>
      <w:r>
        <w:rPr>
          <w:rFonts w:ascii="Arial" w:cs="Arial" w:eastAsia="Arial" w:hAnsi="Arial"/>
          <w:sz w:val="16"/>
          <w:szCs w:val="16"/>
          <w:color w:val="auto"/>
        </w:rPr>
        <w:t>”), New Opal will issue to the Earnout Participants an aggregate of 5,000,000 additional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New Opal Class B Common Stock and New Opal Class D Common Stock and corresponding Opal Units (collectively, the “</w:t>
      </w:r>
      <w:r>
        <w:rPr>
          <w:rFonts w:ascii="Arial" w:cs="Arial" w:eastAsia="Arial" w:hAnsi="Arial"/>
          <w:sz w:val="16"/>
          <w:szCs w:val="16"/>
          <w:i w:val="1"/>
          <w:iCs w:val="1"/>
          <w:color w:val="auto"/>
        </w:rPr>
        <w:t>Second Earnout Tranche</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accordance with the allocations set forth in the Business Combination Agreement. In the event that the First Earnout Triggering Event does not occur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but the Second Earnout Triggering Event does occur, New Opal will be obligated to issue both the First Earnout Tranche and the Second Earnout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Tranche upon the occurrence of the Second Earnout Triggering Event.</w:t>
      </w:r>
    </w:p>
    <w:p>
      <w:pPr>
        <w:spacing w:after="0" w:line="21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Business Combination is expected to close late in first half of 2022, following the receipt of the required approval by the Company’s shareholders and the fulfillment of other customary closing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Financing (Private Placement)</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Concurrently with the execution of the Business Combination Agreement, the Company entered into subscription agreements (the “</w:t>
      </w:r>
      <w:r>
        <w:rPr>
          <w:rFonts w:ascii="Arial" w:cs="Arial" w:eastAsia="Arial" w:hAnsi="Arial"/>
          <w:sz w:val="18"/>
          <w:szCs w:val="18"/>
          <w:i w:val="1"/>
          <w:iCs w:val="1"/>
          <w:color w:val="auto"/>
        </w:rPr>
        <w:t>Subscription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with certain investors, including, among others, an affiliate of the Company, as well as additional third-party investors.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w:t>
      </w:r>
      <w:r>
        <w:rPr>
          <w:rFonts w:ascii="Arial" w:cs="Arial" w:eastAsia="Arial" w:hAnsi="Arial"/>
          <w:sz w:val="18"/>
          <w:szCs w:val="18"/>
          <w:i w:val="1"/>
          <w:iCs w:val="1"/>
          <w:color w:val="auto"/>
        </w:rPr>
        <w:t>PIPE Investment</w:t>
      </w:r>
      <w:r>
        <w:rPr>
          <w:rFonts w:ascii="Arial" w:cs="Arial" w:eastAsia="Arial" w:hAnsi="Arial"/>
          <w:sz w:val="18"/>
          <w:szCs w:val="18"/>
          <w:color w:val="auto"/>
        </w:rPr>
        <w:t>”).</w:t>
      </w:r>
    </w:p>
    <w:p>
      <w:pPr>
        <w:spacing w:after="0" w:line="18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Business Combination Agreement contemplates that, at the Closing, Opal Fuels, Ares, Hillman and the Class B Shareholders (collectively the “</w:t>
      </w:r>
      <w:r>
        <w:rPr>
          <w:rFonts w:ascii="Arial" w:cs="Arial" w:eastAsia="Arial" w:hAnsi="Arial"/>
          <w:sz w:val="16"/>
          <w:szCs w:val="16"/>
          <w:i w:val="1"/>
          <w:iCs w:val="1"/>
          <w:color w:val="auto"/>
        </w:rPr>
        <w:t>New Opal Holders</w:t>
      </w:r>
      <w:r>
        <w:rPr>
          <w:rFonts w:ascii="Arial" w:cs="Arial" w:eastAsia="Arial" w:hAnsi="Arial"/>
          <w:sz w:val="16"/>
          <w:szCs w:val="16"/>
          <w:color w:val="auto"/>
        </w:rPr>
        <w:t>”) will enter into an Investor Rights Agreement (the “</w:t>
      </w:r>
      <w:r>
        <w:rPr>
          <w:rFonts w:ascii="Arial" w:cs="Arial" w:eastAsia="Arial" w:hAnsi="Arial"/>
          <w:sz w:val="16"/>
          <w:szCs w:val="16"/>
          <w:i w:val="1"/>
          <w:iCs w:val="1"/>
          <w:color w:val="auto"/>
        </w:rPr>
        <w:t>Investor Rights Agreement</w:t>
      </w:r>
      <w:r>
        <w:rPr>
          <w:rFonts w:ascii="Arial" w:cs="Arial" w:eastAsia="Arial" w:hAnsi="Arial"/>
          <w:sz w:val="16"/>
          <w:szCs w:val="16"/>
          <w:color w:val="auto"/>
        </w:rPr>
        <w: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86"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As of December 31, 2021, the Company had approximately $812,000 in its operating bank account and working capital of approximately $1.4 million.</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Company’s liquidity needs up to December 31, 2021 had been satisfied through a payment of $25,000 from the Sponsor to cover certain expenses on behalf of the Company in exchange for the issuance of the Founder Shares (as defined below), the loan under the promissory note from the Sponsor of approximately $172,000 (the “Note”) (see Note 5) to the Company, and the net proceeds from the consummation of the Private Placement not held in the Trust Account. The Note from the Sponsor was repaid in full on March 26, 2021.</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8"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Management continues to evaluate the impact of the COVID-19 pandemic and have concluded that the specific impact is not readily determinable as of the date of financial statements. The financial statement does not include any adjustments that might result from the outcome of this uncertainty.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(“GAAP”) for financial information and pursuant to the rules and regulations of the SEC and include all adjustments necessary for the fair presentation of the Company’s financial position for the periods presented.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86"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spacing w:after="0" w:line="272" w:lineRule="auto"/>
        <w:rPr>
          <w:sz w:val="20"/>
          <w:szCs w:val="20"/>
          <w:color w:val="auto"/>
        </w:rPr>
      </w:pPr>
      <w:r>
        <w:rPr>
          <w:rFonts w:ascii="Arial" w:cs="Arial" w:eastAsia="Arial" w:hAnsi="Arial"/>
          <w:sz w:val="17"/>
          <w:szCs w:val="17"/>
          <w:color w:val="auto"/>
        </w:rPr>
        <w:t>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80" w:firstLine="440"/>
        <w:spacing w:after="0" w:line="296" w:lineRule="auto"/>
        <w:rPr>
          <w:sz w:val="20"/>
          <w:szCs w:val="20"/>
          <w:color w:val="auto"/>
        </w:rPr>
      </w:pPr>
      <w:r>
        <w:rPr>
          <w:rFonts w:ascii="Arial" w:cs="Arial" w:eastAsia="Arial" w:hAnsi="Arial"/>
          <w:sz w:val="16"/>
          <w:szCs w:val="16"/>
          <w:color w:val="auto"/>
        </w:rPr>
        <w:t>The preparation of our financial statements in conformity with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80" w:right="2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There were no cash equivalents as of December 31, 2021.</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Investments Held in Trust Account</w:t>
      </w:r>
    </w:p>
    <w:p>
      <w:pPr>
        <w:spacing w:after="0" w:line="117" w:lineRule="exact"/>
        <w:rPr>
          <w:sz w:val="20"/>
          <w:szCs w:val="20"/>
          <w:color w:val="auto"/>
        </w:rPr>
      </w:pPr>
    </w:p>
    <w:p>
      <w:pPr>
        <w:ind w:left="180" w:right="20" w:firstLine="440"/>
        <w:spacing w:after="0" w:line="271"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80" w:right="100" w:firstLine="44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December 31, 2021, the Company has not experienced losses on these accounts and management believes the Company is not exposed to significant risks on such accounts.</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80" w:right="640" w:firstLine="44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Topic 820, “Fair Value Measurements,” approximates the carrying amounts represented in the balance sheets.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60" w:top="486"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76" w:lineRule="exact"/>
        <w:rPr>
          <w:sz w:val="20"/>
          <w:szCs w:val="20"/>
          <w:color w:val="auto"/>
        </w:rPr>
      </w:pPr>
    </w:p>
    <w:p>
      <w:pPr>
        <w:ind w:left="1540" w:hanging="331"/>
        <w:spacing w:after="0"/>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30" w:lineRule="exact"/>
        <w:rPr>
          <w:rFonts w:ascii="Arial" w:cs="Arial" w:eastAsia="Arial" w:hAnsi="Arial"/>
          <w:sz w:val="18"/>
          <w:szCs w:val="18"/>
          <w:color w:val="auto"/>
        </w:rPr>
      </w:pPr>
    </w:p>
    <w:p>
      <w:pPr>
        <w:ind w:left="1540" w:right="200" w:hanging="331"/>
        <w:spacing w:after="0" w:line="263"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9" w:lineRule="exact"/>
        <w:rPr>
          <w:rFonts w:ascii="Arial" w:cs="Arial" w:eastAsia="Arial" w:hAnsi="Arial"/>
          <w:sz w:val="18"/>
          <w:szCs w:val="18"/>
          <w:color w:val="auto"/>
        </w:rPr>
      </w:pPr>
    </w:p>
    <w:p>
      <w:pPr>
        <w:jc w:val="both"/>
        <w:ind w:left="1540" w:right="440" w:hanging="331"/>
        <w:spacing w:after="0" w:line="263"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w:t>
      </w:r>
    </w:p>
    <w:p>
      <w:pPr>
        <w:spacing w:after="0" w:line="157"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86"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80" w:firstLine="440"/>
        <w:spacing w:after="0" w:line="254" w:lineRule="auto"/>
        <w:rPr>
          <w:sz w:val="20"/>
          <w:szCs w:val="20"/>
          <w:color w:val="auto"/>
        </w:rPr>
      </w:pPr>
      <w:r>
        <w:rPr>
          <w:rFonts w:ascii="Arial" w:cs="Arial" w:eastAsia="Arial" w:hAnsi="Arial"/>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December 31, 2021, 31,116,305 Class A ordinary shares subject to possible redemption is presented at redemption value as temporary equity, outside of the shareholders’ equity section of the Company’s balance sheet.</w:t>
      </w:r>
    </w:p>
    <w:p>
      <w:pPr>
        <w:spacing w:after="0" w:line="192" w:lineRule="exact"/>
        <w:rPr>
          <w:sz w:val="20"/>
          <w:szCs w:val="20"/>
          <w:color w:val="auto"/>
        </w:rPr>
      </w:pPr>
    </w:p>
    <w:p>
      <w:pPr>
        <w:ind w:left="180" w:right="60" w:firstLine="440"/>
        <w:spacing w:after="0" w:line="286" w:lineRule="auto"/>
        <w:rPr>
          <w:sz w:val="20"/>
          <w:szCs w:val="20"/>
          <w:color w:val="auto"/>
        </w:rPr>
      </w:pPr>
      <w:r>
        <w:rPr>
          <w:rFonts w:ascii="Arial" w:cs="Arial" w:eastAsia="Arial" w:hAnsi="Arial"/>
          <w:sz w:val="17"/>
          <w:szCs w:val="17"/>
          <w:color w:val="auto"/>
        </w:rPr>
        <w:t>Immediately upon the closing of the Initial Public Offering, the Company recognized the accretion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2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80" w:right="20" w:firstLine="440"/>
        <w:spacing w:after="0" w:line="275" w:lineRule="auto"/>
        <w:rPr>
          <w:sz w:val="20"/>
          <w:szCs w:val="20"/>
          <w:color w:val="auto"/>
        </w:rPr>
      </w:pPr>
      <w:r>
        <w:rPr>
          <w:rFonts w:ascii="Arial" w:cs="Arial" w:eastAsia="Arial" w:hAnsi="Arial"/>
          <w:sz w:val="17"/>
          <w:szCs w:val="17"/>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76" w:lineRule="exact"/>
        <w:rPr>
          <w:sz w:val="20"/>
          <w:szCs w:val="20"/>
          <w:color w:val="auto"/>
        </w:rPr>
      </w:pPr>
    </w:p>
    <w:p>
      <w:pPr>
        <w:ind w:left="180" w:firstLine="440"/>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left="180" w:right="380" w:firstLine="44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80" w:right="140" w:firstLine="440"/>
        <w:spacing w:after="0" w:line="291" w:lineRule="auto"/>
        <w:rPr>
          <w:sz w:val="20"/>
          <w:szCs w:val="20"/>
          <w:color w:val="auto"/>
        </w:rPr>
      </w:pPr>
      <w:r>
        <w:rPr>
          <w:rFonts w:ascii="Arial" w:cs="Arial" w:eastAsia="Arial" w:hAnsi="Arial"/>
          <w:sz w:val="16"/>
          <w:szCs w:val="16"/>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period January 13, 2021 (inception) through December 31, 2021. Accretion associated with the Class A ordinary shares subject to possible redemption is excluded from earnings per share as the redemption value approximates fair value.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60"/>
          </w:cols>
          <w:pgMar w:left="260" w:top="486"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right="40" w:firstLine="440"/>
        <w:spacing w:after="0" w:line="277" w:lineRule="auto"/>
        <w:rPr>
          <w:sz w:val="20"/>
          <w:szCs w:val="20"/>
          <w:color w:val="auto"/>
        </w:rPr>
      </w:pPr>
      <w:r>
        <w:rPr>
          <w:rFonts w:ascii="Arial" w:cs="Arial" w:eastAsia="Arial" w:hAnsi="Arial"/>
          <w:sz w:val="18"/>
          <w:szCs w:val="18"/>
          <w:color w:val="auto"/>
        </w:rPr>
        <w:t>The following table presents a reconciliation of the numerator and denominator used to compute basic and diluted net income (loss) per share for each ordinary share class:</w:t>
      </w:r>
    </w:p>
    <w:p>
      <w:pPr>
        <w:spacing w:after="0" w:line="176"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the period January 13, 2021</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32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through December 31,</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left="739"/>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2"/>
                <w:szCs w:val="12"/>
                <w:color w:val="auto"/>
              </w:rPr>
            </w:pPr>
          </w:p>
        </w:tc>
        <w:tc>
          <w:tcPr>
            <w:tcW w:w="7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ordinary share:</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(12,456,056)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(3,738,606)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i w:val="1"/>
                <w:iCs w:val="1"/>
                <w:color w:val="auto"/>
              </w:rPr>
              <w:t>Denominator: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weighted average ordinary shares outstanding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25,360,688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7,611,848</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Basic and diluted net (loss) per ordinary share</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80" w:firstLine="440"/>
        <w:spacing w:after="0" w:line="270" w:lineRule="auto"/>
        <w:rPr>
          <w:sz w:val="20"/>
          <w:szCs w:val="20"/>
          <w:color w:val="auto"/>
        </w:rPr>
      </w:pPr>
      <w:r>
        <w:rPr>
          <w:rFonts w:ascii="Arial" w:cs="Arial" w:eastAsia="Arial" w:hAnsi="Arial"/>
          <w:sz w:val="17"/>
          <w:szCs w:val="17"/>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the Company on January 1, 2024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ind w:left="180" w:right="380" w:firstLine="440"/>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updates, if currently adopted, would have a material effect on the Company’s financial statements.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ind w:left="180" w:firstLine="440"/>
        <w:spacing w:after="0" w:line="286" w:lineRule="auto"/>
        <w:rPr>
          <w:sz w:val="20"/>
          <w:szCs w:val="20"/>
          <w:color w:val="auto"/>
        </w:rPr>
      </w:pPr>
      <w:r>
        <w:rPr>
          <w:rFonts w:ascii="Arial" w:cs="Arial" w:eastAsia="Arial" w:hAnsi="Arial"/>
          <w:sz w:val="17"/>
          <w:szCs w:val="17"/>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5" w:lineRule="exact"/>
        <w:rPr>
          <w:sz w:val="20"/>
          <w:szCs w:val="20"/>
          <w:color w:val="auto"/>
        </w:rPr>
      </w:pPr>
    </w:p>
    <w:p>
      <w:pPr>
        <w:ind w:left="180" w:firstLine="440"/>
        <w:spacing w:after="0" w:line="308" w:lineRule="auto"/>
        <w:rPr>
          <w:sz w:val="20"/>
          <w:szCs w:val="20"/>
          <w:color w:val="auto"/>
        </w:rPr>
      </w:pPr>
      <w:r>
        <w:rPr>
          <w:rFonts w:ascii="Arial" w:cs="Arial" w:eastAsia="Arial" w:hAnsi="Arial"/>
          <w:sz w:val="17"/>
          <w:szCs w:val="17"/>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260" w:top="486"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2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8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Loans</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49"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86"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spacing w:after="0" w:line="255" w:lineRule="auto"/>
        <w:rPr>
          <w:sz w:val="20"/>
          <w:szCs w:val="20"/>
          <w:color w:val="auto"/>
        </w:rPr>
      </w:pPr>
      <w:r>
        <w:rPr>
          <w:rFonts w:ascii="Arial" w:cs="Arial" w:eastAsia="Arial" w:hAnsi="Arial"/>
          <w:sz w:val="18"/>
          <w:szCs w:val="18"/>
          <w:color w:val="auto"/>
        </w:rPr>
        <w:t>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December 31, 2021, the Company had no borrowings under the Working Capital Loans.</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Administrative Services Agreement</w:t>
      </w:r>
    </w:p>
    <w:p>
      <w:pPr>
        <w:spacing w:after="0" w:line="117" w:lineRule="exact"/>
        <w:rPr>
          <w:sz w:val="20"/>
          <w:szCs w:val="20"/>
          <w:color w:val="auto"/>
        </w:rPr>
      </w:pPr>
    </w:p>
    <w:p>
      <w:pPr>
        <w:ind w:left="180" w:right="140" w:firstLine="440"/>
        <w:spacing w:after="0" w:line="275" w:lineRule="auto"/>
        <w:rPr>
          <w:sz w:val="20"/>
          <w:szCs w:val="20"/>
          <w:color w:val="auto"/>
        </w:rPr>
      </w:pPr>
      <w:r>
        <w:rPr>
          <w:rFonts w:ascii="Arial" w:cs="Arial" w:eastAsia="Arial" w:hAnsi="Arial"/>
          <w:sz w:val="17"/>
          <w:szCs w:val="17"/>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$100,000 in expenses in connection with such services for the period from January 13, 2021 (inception) ended December 31, 2021 which is included in general and administrative expenses in the accompanying statement of operations.</w:t>
      </w:r>
    </w:p>
    <w:p>
      <w:pPr>
        <w:spacing w:after="0" w:line="176" w:lineRule="exact"/>
        <w:rPr>
          <w:sz w:val="20"/>
          <w:szCs w:val="20"/>
          <w:color w:val="auto"/>
        </w:rPr>
      </w:pPr>
    </w:p>
    <w:p>
      <w:pPr>
        <w:ind w:left="180" w:right="60" w:firstLine="440"/>
        <w:spacing w:after="0" w:line="257" w:lineRule="auto"/>
        <w:rPr>
          <w:sz w:val="20"/>
          <w:szCs w:val="20"/>
          <w:color w:val="auto"/>
        </w:rPr>
      </w:pPr>
      <w:r>
        <w:rPr>
          <w:rFonts w:ascii="Arial" w:cs="Arial" w:eastAsia="Arial" w:hAnsi="Arial"/>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6—Commitments &amp; Contingencies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Registration and Shareholder Rights Agreement</w:t>
      </w:r>
    </w:p>
    <w:p>
      <w:pPr>
        <w:spacing w:after="0" w:line="117" w:lineRule="exact"/>
        <w:rPr>
          <w:sz w:val="20"/>
          <w:szCs w:val="20"/>
          <w:color w:val="auto"/>
        </w:rPr>
      </w:pPr>
    </w:p>
    <w:p>
      <w:pPr>
        <w:ind w:left="180" w:right="60" w:firstLine="44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80" w:right="280" w:firstLine="440"/>
        <w:spacing w:after="0" w:line="259" w:lineRule="auto"/>
        <w:rPr>
          <w:sz w:val="20"/>
          <w:szCs w:val="20"/>
          <w:color w:val="auto"/>
        </w:rPr>
      </w:pPr>
      <w:r>
        <w:rPr>
          <w:rFonts w:ascii="Arial" w:cs="Arial" w:eastAsia="Arial" w:hAnsi="Arial"/>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87" w:lineRule="exact"/>
        <w:rPr>
          <w:sz w:val="20"/>
          <w:szCs w:val="20"/>
          <w:color w:val="auto"/>
        </w:rPr>
      </w:pPr>
    </w:p>
    <w:p>
      <w:pPr>
        <w:jc w:val="both"/>
        <w:ind w:left="180" w:right="20" w:firstLine="44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60" w:top="486"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Legal Fees</w:t>
      </w:r>
    </w:p>
    <w:p>
      <w:pPr>
        <w:spacing w:after="0" w:line="117" w:lineRule="exact"/>
        <w:rPr>
          <w:sz w:val="20"/>
          <w:szCs w:val="20"/>
          <w:color w:val="auto"/>
        </w:rPr>
      </w:pPr>
    </w:p>
    <w:p>
      <w:pPr>
        <w:ind w:left="180" w:right="40" w:firstLine="440"/>
        <w:spacing w:after="0" w:line="263" w:lineRule="auto"/>
        <w:rPr>
          <w:sz w:val="20"/>
          <w:szCs w:val="20"/>
          <w:color w:val="auto"/>
        </w:rPr>
      </w:pPr>
      <w:r>
        <w:rPr>
          <w:rFonts w:ascii="Arial" w:cs="Arial" w:eastAsia="Arial" w:hAnsi="Arial"/>
          <w:sz w:val="18"/>
          <w:szCs w:val="18"/>
          <w:color w:val="auto"/>
        </w:rPr>
        <w:t>We entered into an engagement letter to obtain legal advisory services, pursuant to which the legal counsel agreed to defer their fees until the closing of the initial Business Combination. As of December 31, 2021, the Company recorded an aggregate of approximately $4.0 million in connection with such arrangement as deferred legal fees in the accompanying balance sheet.</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7—Class A Ordinary Shares Subject to Possible Redemption</w:t>
      </w:r>
    </w:p>
    <w:p>
      <w:pPr>
        <w:spacing w:after="0" w:line="121" w:lineRule="exact"/>
        <w:rPr>
          <w:sz w:val="20"/>
          <w:szCs w:val="20"/>
          <w:color w:val="auto"/>
        </w:rPr>
      </w:pPr>
    </w:p>
    <w:p>
      <w:pPr>
        <w:ind w:left="180" w:right="160" w:firstLine="440"/>
        <w:spacing w:after="0" w:line="279" w:lineRule="auto"/>
        <w:rPr>
          <w:sz w:val="20"/>
          <w:szCs w:val="20"/>
          <w:color w:val="auto"/>
        </w:rPr>
      </w:pPr>
      <w:r>
        <w:rPr>
          <w:rFonts w:ascii="Arial" w:cs="Arial" w:eastAsia="Arial" w:hAnsi="Arial"/>
          <w:sz w:val="17"/>
          <w:szCs w:val="17"/>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December 31, 2021, there were 31,116,305 shares of Class A ordinary shares outstanding, all of which were subject to possible redemption.</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of December 31, 2021, Class A ordinary shares subject to possible redemption reflected on the balance sheet is reconciled on the following</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table:</w:t>
      </w:r>
    </w:p>
    <w:p>
      <w:pPr>
        <w:spacing w:after="0" w:line="252"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$311,163,050</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Offering costs allocated to Class A shares subject to possible redemption</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(17,138,390)</w:t>
            </w: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Proceeds allocated to Public Warrants at issuance</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(5,948,230)</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w w:val="94"/>
              </w:rPr>
              <w:t>Accretion on Class A ordinary shares subject to possible redemption amount</w:t>
            </w: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23,086,620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possible redemption</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311,163,050</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8—Shareholders’ Deficit</w:t>
      </w:r>
    </w:p>
    <w:p>
      <w:pPr>
        <w:spacing w:after="0" w:line="121" w:lineRule="exact"/>
        <w:rPr>
          <w:sz w:val="20"/>
          <w:szCs w:val="20"/>
          <w:color w:val="auto"/>
        </w:rPr>
      </w:pPr>
    </w:p>
    <w:p>
      <w:pPr>
        <w:ind w:left="180" w:right="220" w:firstLine="440"/>
        <w:spacing w:after="0" w:line="259"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—The Company is authorized to issue 500,000,000 Class A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Company’s Class A ordinary shares are entitled to one vote for each share. As of December 31, 2021, there were 31,116,305 Class A ordinary shares issued and outstanding. All Class A ordinary shares subject to possible redemption have been classified as temporary equity (see Note 7).</w:t>
      </w:r>
    </w:p>
    <w:p>
      <w:pPr>
        <w:spacing w:after="0" w:line="187" w:lineRule="exact"/>
        <w:rPr>
          <w:sz w:val="20"/>
          <w:szCs w:val="20"/>
          <w:color w:val="auto"/>
        </w:rPr>
      </w:pPr>
    </w:p>
    <w:p>
      <w:pPr>
        <w:ind w:left="180" w:firstLine="440"/>
        <w:spacing w:after="0" w:line="270"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50,000,000 Class B ordinary shares with a par value of $0.0001 per share.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December 31, 2021, there were 7,779,076 Class B ordinary shares issued and outstanding.</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80"/>
          </w:cols>
          <w:pgMar w:left="260" w:top="486"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260" w:firstLine="44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5,000,000 preference shares with a par value of $0.0001 per share. As of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there were no preference shares issued or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9—Derivative Warrant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the Company had 6,223,261 and 9,223,261 Public Warrants and Private Placement Warrants, respectively, outstanding.</w:t>
      </w:r>
    </w:p>
    <w:p>
      <w:pPr>
        <w:spacing w:after="0" w:line="24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86"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firstLine="440"/>
        <w:spacing w:after="0" w:line="286"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71" w:lineRule="exact"/>
        <w:rPr>
          <w:sz w:val="20"/>
          <w:szCs w:val="20"/>
          <w:color w:val="auto"/>
        </w:rPr>
      </w:pPr>
    </w:p>
    <w:p>
      <w:pPr>
        <w:ind w:left="180" w:right="20" w:firstLine="44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Redemption of warrants for cash when the price per Class A ordinary share equals or exceeds $18.00:</w:t>
      </w:r>
    </w:p>
    <w:p>
      <w:pPr>
        <w:spacing w:after="0" w:line="117" w:lineRule="exact"/>
        <w:rPr>
          <w:sz w:val="20"/>
          <w:szCs w:val="20"/>
          <w:color w:val="auto"/>
        </w:rPr>
      </w:pPr>
    </w:p>
    <w:p>
      <w:pPr>
        <w:ind w:left="180" w:right="80" w:firstLine="440"/>
        <w:spacing w:after="0" w:line="277" w:lineRule="auto"/>
        <w:rPr>
          <w:sz w:val="20"/>
          <w:szCs w:val="20"/>
          <w:color w:val="auto"/>
        </w:rPr>
      </w:pPr>
      <w:r>
        <w:rPr>
          <w:rFonts w:ascii="Arial" w:cs="Arial" w:eastAsia="Arial" w:hAnsi="Arial"/>
          <w:sz w:val="18"/>
          <w:szCs w:val="18"/>
          <w:color w:val="auto"/>
        </w:rPr>
        <w:t>Once the warrants become exercisable, the Company may redeem the outstanding warrants (except as described herein with respect to the Private Placement Warrants):</w:t>
      </w:r>
    </w:p>
    <w:p>
      <w:pPr>
        <w:spacing w:after="0" w:line="76" w:lineRule="exact"/>
        <w:rPr>
          <w:sz w:val="20"/>
          <w:szCs w:val="20"/>
          <w:color w:val="auto"/>
        </w:rPr>
      </w:pPr>
    </w:p>
    <w:p>
      <w:pPr>
        <w:ind w:left="1140" w:hanging="424"/>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140" w:hanging="424"/>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140" w:hanging="424"/>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140" w:right="100" w:hanging="424"/>
        <w:spacing w:after="0" w:line="263"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80" w:right="300" w:firstLine="440"/>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Redemption of warrants for Class A ordinary shares when the price per Class A ordinary share equals or exceeds $10.00:</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131" w:lineRule="exact"/>
        <w:rPr>
          <w:sz w:val="20"/>
          <w:szCs w:val="20"/>
          <w:color w:val="auto"/>
        </w:rPr>
      </w:pPr>
    </w:p>
    <w:p>
      <w:pPr>
        <w:ind w:left="1140" w:hanging="424"/>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140" w:right="60" w:hanging="424"/>
        <w:spacing w:after="0" w:line="263"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80"/>
          </w:cols>
          <w:pgMar w:left="260" w:top="486"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and only if, the closing price of Class A ordinary shares equals or exceeds $10.00 per Public Share (as adjusted) for any 20 trading days within the 30 – 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as of December 31, 2021 and indicates the fair value hierarchy of the valuation techniques that the Company utilized to determine such fair value.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2021</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860" w:type="dxa"/>
            <w:vAlign w:val="bottom"/>
            <w:gridSpan w:val="3"/>
          </w:tcPr>
          <w:p>
            <w:pPr>
              <w:ind w:left="400"/>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189"/>
        </w:trPr>
        <w:tc>
          <w:tcPr>
            <w:tcW w:w="5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Investments held in Trust Account – money market fund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311,175,471</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Derivative liabilities – Public Warrants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10,392,850</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Derivative liabilities – Private Warrants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15,402,850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w:t>
      </w:r>
    </w:p>
    <w:p>
      <w:pPr>
        <w:spacing w:after="0" w:line="184"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2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86"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0" w:right="600"/>
        <w:spacing w:after="0" w:line="311" w:lineRule="auto"/>
        <w:rPr>
          <w:sz w:val="20"/>
          <w:szCs w:val="20"/>
          <w:color w:val="auto"/>
        </w:rPr>
      </w:pPr>
      <w:r>
        <w:rPr>
          <w:rFonts w:ascii="Arial" w:cs="Arial" w:eastAsia="Arial" w:hAnsi="Arial"/>
          <w:sz w:val="16"/>
          <w:szCs w:val="16"/>
          <w:color w:val="auto"/>
        </w:rPr>
        <w:t>measured based on the listed market price of such warrants, a Level 1 measurement. For the period from January 13, 2021 (inception) through December 31, 2021, the Company recognized a change to the statement of operations resulting from an increase in the fair value of liabilities of approximately $10.8 million presented as change in fair value of derivative warrant liabilities in the accompanying statement of operations.</w:t>
      </w:r>
    </w:p>
    <w:p>
      <w:pPr>
        <w:spacing w:after="0" w:line="149" w:lineRule="exact"/>
        <w:rPr>
          <w:sz w:val="20"/>
          <w:szCs w:val="20"/>
          <w:color w:val="auto"/>
        </w:rPr>
      </w:pPr>
    </w:p>
    <w:p>
      <w:pPr>
        <w:ind w:left="180" w:firstLine="440"/>
        <w:spacing w:after="0" w:line="254" w:lineRule="auto"/>
        <w:rPr>
          <w:sz w:val="20"/>
          <w:szCs w:val="20"/>
          <w:color w:val="auto"/>
        </w:rPr>
      </w:pPr>
      <w:r>
        <w:rPr>
          <w:rFonts w:ascii="Arial" w:cs="Arial" w:eastAsia="Arial" w:hAnsi="Arial"/>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1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22, 2021</w:t>
            </w:r>
          </w:p>
        </w:tc>
        <w:tc>
          <w:tcPr>
            <w:tcW w:w="3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Volatility</w:t>
            </w:r>
          </w:p>
        </w:tc>
        <w:tc>
          <w:tcPr>
            <w:tcW w:w="3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the options to convert</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Risk-free rate</w:t>
            </w:r>
          </w:p>
        </w:tc>
        <w:tc>
          <w:tcPr>
            <w:tcW w:w="3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right="260" w:firstLine="440"/>
        <w:spacing w:after="0" w:line="277" w:lineRule="auto"/>
        <w:rPr>
          <w:sz w:val="20"/>
          <w:szCs w:val="20"/>
          <w:color w:val="auto"/>
        </w:rPr>
      </w:pPr>
      <w:r>
        <w:rPr>
          <w:rFonts w:ascii="Arial" w:cs="Arial" w:eastAsia="Arial" w:hAnsi="Arial"/>
          <w:sz w:val="18"/>
          <w:szCs w:val="18"/>
          <w:color w:val="auto"/>
        </w:rPr>
        <w:t>The change in the level 3 fair value of the derivative warrant liabilities for the period from January 13, 2021 (inception) through December 31, 2021 is summarized as follows:</w:t>
      </w:r>
    </w:p>
    <w:p>
      <w:pPr>
        <w:spacing w:after="0" w:line="189"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Public</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Private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warrant liabilities at January 13, 2021 (inception)</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Issuance of Public and Private Warrants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5,948,230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9,047,530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14,995,760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Transfer to Level 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(10,455,080)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(10,455,080)</w:t>
            </w: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4,506,850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6,355,320</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10,862,170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December 31, 2021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15,402,850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15,402,850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jc w:val="both"/>
        <w:ind w:left="180" w:right="20" w:firstLine="440"/>
        <w:spacing w:after="0" w:line="342" w:lineRule="auto"/>
        <w:rPr>
          <w:sz w:val="20"/>
          <w:szCs w:val="20"/>
          <w:color w:val="auto"/>
        </w:rPr>
      </w:pPr>
      <w:r>
        <w:rPr>
          <w:rFonts w:ascii="Arial" w:cs="Arial" w:eastAsia="Arial" w:hAnsi="Arial"/>
          <w:sz w:val="16"/>
          <w:szCs w:val="16"/>
          <w:color w:val="auto"/>
        </w:rPr>
        <w:t>The Company evaluated subsequent events and transactions that occurred up to the date financial statements were issued. Based upon this review, the Company determined that there have been no events that have occurred that would require adjustments to the disclosures in the financial statements.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260" w:top="486" w:right="4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We are a Cayman Islands exempted company and our affairs are governed by our amended and restated memorandum and articles of association, the Cayman Islands Companies Act (As Revised) (the “Companies Act”) and the common law of the Cayman Islands. Pursuant to our amended and restated memorandum and articles of association, which was adopted prior to the consummation of our initial public offering (the “IPO”), we are authorized to issue 500,000,000 Class A ordinary shares and 50,000,000 Class B ordinary shares, as well as 5,000,000 preference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 Capitalized terms used herein but not defined shall have the meanings ascribed to them in our Annual Report on Form 10-K for the fiscal year ended December 31, 2021 (the “Annual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Each unit has an offering price of $10.00 and consists of one Class A ordinary share and one-fifth of one redeemable warrant. Each whole warrant entitles the holder thereof to purchase one Class A ordinary share at a price of $11.50 per share, subject to adjustment as described in our IPO prospectus. Pursuant to the warrant agreement we entered into with Continental Stock Transfer &amp; Trust Company in March 25, 2021, a warrant holder may exercise its warrants only for a whole number of the company’s Class A ordinary shares. This means only a whole warrant may be exercised at any given time by a warrant holder.</w:t>
      </w:r>
    </w:p>
    <w:p>
      <w:pPr>
        <w:spacing w:after="0" w:line="188"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The Class A ordinary shares and warrants comprising the units commenced separate trading on the Nasdaq on May 13, 2021. Holders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five units, you will not be able to receive or trade a whole warrant.</w:t>
      </w:r>
    </w:p>
    <w:p>
      <w:pPr>
        <w:spacing w:after="0" w:line="157"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As of December 31, 2021, there were 7,779,076 Class B ordinary shares issued and outstanding and 31,116,305 Class A ordinary shares issued and outstanding.</w:t>
      </w:r>
    </w:p>
    <w:p>
      <w:pPr>
        <w:spacing w:after="0" w:line="170"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Act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w:t>
      </w:r>
    </w:p>
    <w:p>
      <w:pPr>
        <w:sectPr>
          <w:pgSz w:w="11900" w:h="16838" w:orient="portrait"/>
          <w:cols w:equalWidth="0" w:num="1">
            <w:col w:w="11020"/>
          </w:cols>
          <w:pgMar w:left="440" w:top="121" w:right="439" w:bottom="1440" w:gutter="0" w:footer="0" w:header="0"/>
        </w:sectPr>
      </w:pPr>
    </w:p>
    <w:bookmarkStart w:id="119" w:name="page120"/>
    <w:bookmarkEnd w:id="119"/>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voted for the appointment of directors can appoint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appointment of directors. Holders of our public shares will not be entitled to vote on the appointment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w:t>
      </w:r>
    </w:p>
    <w:p>
      <w:pPr>
        <w:spacing w:after="0" w:line="168"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Because our amended and restated memorandum and articles of association authorize the issuance of up to 500,000,000 Class A ordinary shares, if we were to enter into and consummate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17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Our board of directors is divided into three classes with only one class of directors being appointed in each year and each class (except for those directors appointed prior to our first annual general meeting) serving a three-year term. In accordance with the Nasdaq corporate governance requirements, we are not required to hold an annual general meeting until one year after our first fiscal year end following our listing on the Nasdaq. There is no requirement under the Companies Act for us to hold annual or general meetings to appoint directors. We may not hold an annual general meeting to appoint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will include the requirement that a beneficial owner must identify itself in order to validly redeem its shares.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20" w:name="page121"/>
    <w:bookmarkEnd w:id="12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or to redeem 100% of our public shares if we do not complete our initial business combination within 24 months (unless extended in accordance with the amended and restated memorandum and articles of association) from the closing of the IPO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requirements,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we recieve the approval of an ordinary resolution under Cayman Islands law, being the affirmative vote of a majority of the ordinary shares represented in person or by proxy and entitled to vote thereon, voting in favor of a business combination at a general meeting. However, the participation of our sponsor, officers, directors, advisors or their affiliates in privately-negotiated transactions (as described in our IPO prospectus),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require that at least five days’ notice will be given of any general meeting.</w:t>
      </w:r>
    </w:p>
    <w:p>
      <w:pPr>
        <w:spacing w:after="0" w:line="182"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the IPO, which we refer to as the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6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If we seek shareholder approval, we will complete our initial business combination only if we obtain the approval of an ordinary resolution under Cayman Islands law, being the affirmative vote of a majority of the ordinary shares represented in person or by proxy and entitled to vote thereon and who vote at a general meeting. In such case, our sponsor and each member of our management team have agreed to vote their founder shares and public shares in favor of our initial business combination. Additionally, each public shareholder may elect to redeem their public shares irrespective of whether they vote for or against the proposed transaction or vote at all.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21" w:name="page122"/>
    <w:bookmarkEnd w:id="121"/>
    <w:p>
      <w:pPr>
        <w:ind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our amended and restated memorandum and articles of association, if we have not consummated an initial business combination within 24 months (unless extended in accordance with the amended and restated memorandum and articles of association) from the closing of the IPO,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sponsor and each member of our management team have entered into an agreement with us, pursuant to which they have agreed to waive their rights to liquidating distributions from the Trust Account with respect to any founder shares they hold if we fail to consummate an initial business combination within 24 months (unless extended in accordance with the amended and restated memorandum and articles of association) from the closing of the IPO (although they will be entitled to liquidating distributions from the Trust Account with respect to any public shares they hold if we fail to complete our initial business combination within the prescribed time frame).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9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founder shares are designated as Class B ordinary shares and, except as described below, are identical to the Class A ordinary shares, and holders of founder shares have the same shareholder rights as public shareholders, except that: (a) prior to our initial business combination, holders of the founder shares have the right to vote on the appointment of directors and holders of a majority of our founder shares may remove a member of the board of directors for any reason; (b) the founder shares are subject to certain transfer restrictions, as described in more detail below; (c) our sponsor and each member of our management team have entered into an agreement with us, pursuant to which they have agreed to (i) waive their redemption rights with respect to their founder shares (ii) to waive their redemption rights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2" w:name="page123"/>
    <w:bookmarkEnd w:id="12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their founder shares and public shares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(unless extended in accordance with the amended and restated memorandum and articles of association) from the closing of this offering or (B) with respect to any other provision relating to the rights of holders of our Class A ordinary shares; and (iii) waive their rights to liquidating distributions from the Trust Account with respect to any founder shares they hold if we fail to consummate an initial business combination within 24 months (unless extended in accordance with the amended and restated memorandum and articles of association) from the closing of the IPO (although they will be entitled to liquidating distributions from the Trust Account with respect to any public shares they hold if we fail to complete our initial business combination within the prescribed time frame); (d) the founder shares will automatically convert into our Class A ordinary shares at the time of our initial business combination or earlier at the option of the holders thereof as described herein; and (e) the founder shares are entitled to registration rights.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w:t>
      </w:r>
    </w:p>
    <w:p>
      <w:pPr>
        <w:spacing w:after="0" w:line="17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The founder shares are designated as Class B ordinary shares and will automatically convert into Class A ordinary shares (which such Class A ordinary shares delivered upon conversion will not have redemption rights or be entitled to liquidating distributions from the trust account if we do not consummate an initial business combination) at the time of closing our initial business combination or earlier at the option of the holders thereof at a ratio such that the number of Class A ordinary shares issuable upon conversion of all founder shares will equal, in the aggregate, on an as-converted basis, 20% of the sum of (a) the total number of ordinary shares issued and outstanding upon completion of the IPO, plus (b) the total number of Class A ordinary shares issued or deemed issued or issuable upon conversion or exercise of any equity-linked securities or rights issued or deemed issued, by the company in connection with or in relation to the consummation of an initial business combination, excluding any Class A ordinary shares or equity-linked securities exercisable for or convertible into Class A ordinary shares issued, deemed issued, or to be issued, to any seller in an initial business combination and any private placement warrants issued to our sponsor, its affiliates or any member of the management team upon conversion of working capital loans made to ArcLight. In no event will the Class B ordinary shares convert into Class A ordinary shares at a rate of less than one-to-one.</w:t>
      </w:r>
    </w:p>
    <w:p>
      <w:pPr>
        <w:spacing w:after="0" w:line="18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term “equity-linked securities” refers to any debt or equity securities that are convertible, exercisable or exchangeable for Class A Shares issued in a financing transaction in connection with ArcLight’s initial business combination, including but not limited to a private placement of equity or debt.</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Except as described herein, our sponsor and our directors and executive officers have agreed not to transfer, assign or sell any of their founder shares until earliest of (A) one year after the completion of our initial business combination and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We refer to such transfer restrictions as the lock-up. Any permitted transferees would be subject to the same restrictions and other agreements of our sponsor and our directors and executive officers with respect to any founder shares.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23" w:name="page124"/>
    <w:bookmarkEnd w:id="123"/>
    <w:p>
      <w:pPr>
        <w:ind w:right="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our initial business combination, holders of our founder shares are the only shareholders of the company which will have the right to vote on the appointment of directors. Holders of our public shares will not be entitled to vote on the appointment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general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Cayman Islands law, we must keep a register of members and there will be entered therein:</w:t>
      </w:r>
    </w:p>
    <w:p>
      <w:pPr>
        <w:spacing w:after="0" w:line="131" w:lineRule="exact"/>
        <w:rPr>
          <w:sz w:val="20"/>
          <w:szCs w:val="20"/>
          <w:color w:val="auto"/>
        </w:rPr>
      </w:pPr>
    </w:p>
    <w:p>
      <w:pPr>
        <w:ind w:left="960" w:right="780" w:hanging="424"/>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 and the voting rights of shares of each member;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voting rights attached to the shares in issue;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Our amended and restated memorandum and articles of association authorize 5,000,000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Public Shareholders’ Warrants</w:t>
      </w:r>
    </w:p>
    <w:p>
      <w:pPr>
        <w:spacing w:after="0" w:line="225"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Each whole warrant entitles the registered holder to purchase one Class A ordinary share at a price of $11.50 per share, subject to adjustment as discussed below, at any time commencing on the later of one year from the closing of the IPO and 30 days after the completion of our initial business combination, except as discussed in the immediately succeeding paragraph.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five units, you will not be able to receive or trade a whole warrant. The warrants will expire five years after the completion of our initial business combination, at 5:00 p.m., New York City time, or earlier upon redemption or liquidation.</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8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color w:val="auto"/>
        </w:rPr>
        <w:t>We have agreed that as soon as practicable, but in no event later than 20 business days after the closing of our initial business combination, we will use our commercially reasonable efforts to file with the SEC a registration statement for the registration, under the Securities Act, of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125" w:name="page126"/>
    <w:bookmarkEnd w:id="12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event, each holder would pay the exercise price by surrendering the warrants for that number of Class A ordinary shares equal to the lesser of</w:t>
      </w:r>
    </w:p>
    <w:p>
      <w:pPr>
        <w:spacing w:after="0" w:line="46" w:lineRule="exact"/>
        <w:rPr>
          <w:sz w:val="20"/>
          <w:szCs w:val="20"/>
          <w:color w:val="auto"/>
        </w:rPr>
      </w:pPr>
    </w:p>
    <w:p>
      <w:pPr>
        <w:ind w:left="4" w:right="120" w:hanging="4"/>
        <w:spacing w:after="0" w:line="253" w:lineRule="auto"/>
        <w:tabs>
          <w:tab w:leader="none" w:pos="2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quotient obtained by dividing (x) the product of the number of Class A ordinary shares underlying the warrants, multiplied by the excess of the “fair market value” (defined below) less the exercise price of the warrants by (y) the fair market value and (B) 0.361 per warrant. The “fair market value” as used in this paragraph shall mean the volume weighted average price of the Class A ordinary shares for the 10 trading days ending on the trading day prior to the date on which the notice of exercise is received by the warrant agent.</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Redemption of warrants when the price per Class A ordinary share equals or exceeds $18.00.</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76" w:lineRule="exact"/>
        <w:rPr>
          <w:sz w:val="20"/>
          <w:szCs w:val="20"/>
          <w:color w:val="auto"/>
        </w:rPr>
      </w:pPr>
    </w:p>
    <w:p>
      <w:pPr>
        <w:ind w:left="964" w:hanging="424"/>
        <w:spacing w:after="0"/>
        <w:tabs>
          <w:tab w:leader="none" w:pos="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964" w:right="160" w:hanging="424"/>
        <w:spacing w:after="0" w:line="263" w:lineRule="auto"/>
        <w:tabs>
          <w:tab w:leader="none" w:pos="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$18.00 per share (as adjusted) for any 20 trading days within a 30 trading day period ending on the third trading day prior to the date on which we send the notice of redemption to the warrant holders.</w:t>
      </w:r>
    </w:p>
    <w:p>
      <w:pPr>
        <w:spacing w:after="0" w:line="184"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We will not redeem the warrants as described above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71"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adjustments to the number of shares issuable upon exercise or the exercise price of a warrant as described under the heading “— Warrants — Public Shareholders’ Warrants — Anti-dilution Adjustments”) as well as the $11.50 (for whole shares) warrant exercise price after the redemption notice is issued.</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Redemption of warrants when the price per Class A ordinary share equals or exceeds $10.00.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131" w:lineRule="exact"/>
        <w:rPr>
          <w:sz w:val="20"/>
          <w:szCs w:val="20"/>
          <w:color w:val="auto"/>
        </w:rPr>
      </w:pPr>
    </w:p>
    <w:p>
      <w:pPr>
        <w:ind w:left="964" w:hanging="424"/>
        <w:spacing w:after="0"/>
        <w:tabs>
          <w:tab w:leader="none" w:pos="9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4" w:hanging="424"/>
        <w:spacing w:after="0" w:line="259" w:lineRule="auto"/>
        <w:tabs>
          <w:tab w:leader="none" w:pos="9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Class A ordinary shares to be determined by reference to an agreed table based on the redemption date and the “fair market value” of our Class A ordinary shares except as otherwise described below; and</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126" w:name="page127"/>
    <w:bookmarkEnd w:id="126"/>
    <w:p>
      <w:pPr>
        <w:ind w:left="964" w:right="320" w:hanging="424"/>
        <w:spacing w:after="0" w:line="342" w:lineRule="auto"/>
        <w:tabs>
          <w:tab w:leader="none" w:pos="964"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and only if, the closing price of our Class A ordinary shares equals or exceeds $10.00 per share (as adjusted) for any 20 trading days within the 30 trading day period ending three trading days before we send the notice of redemption to the warrant holders; and</w:t>
      </w:r>
    </w:p>
    <w:p>
      <w:pPr>
        <w:spacing w:after="0" w:line="29" w:lineRule="exact"/>
        <w:rPr>
          <w:rFonts w:ascii="Arial" w:cs="Arial" w:eastAsia="Arial" w:hAnsi="Arial"/>
          <w:sz w:val="16"/>
          <w:szCs w:val="16"/>
          <w:color w:val="auto"/>
        </w:rPr>
      </w:pPr>
    </w:p>
    <w:p>
      <w:pPr>
        <w:jc w:val="both"/>
        <w:ind w:left="964" w:right="220" w:hanging="424"/>
        <w:spacing w:after="0" w:line="259"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7"/>
          <w:szCs w:val="17"/>
          <w:color w:val="auto"/>
        </w:rPr>
        <w:t>Beginning on the date the notice of redemption is given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 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7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Pursuant to the warrant agreement, references above to Class A ordinary shares shall include a security other than Class A ordinary shares into which the Class A ordinary shares have been converted or exchanged for in the event we are not the surviving company in our initial business combination. The numbers in the table below will not be adjusted when determining the number of Class A ordinary shares to be issued upon exercise of the warrants if we are not the surviving entity following our initial business combination.</w:t>
      </w:r>
    </w:p>
    <w:p>
      <w:pPr>
        <w:spacing w:after="0" w:line="187"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w:t>
      </w:r>
    </w:p>
    <w:p>
      <w:pPr>
        <w:spacing w:after="0" w:line="6" w:lineRule="exact"/>
        <w:rPr>
          <w:sz w:val="20"/>
          <w:szCs w:val="20"/>
          <w:color w:val="auto"/>
        </w:rPr>
      </w:pPr>
    </w:p>
    <w:p>
      <w:pPr>
        <w:ind w:left="4" w:right="40" w:hanging="4"/>
        <w:spacing w:after="0" w:line="323" w:lineRule="auto"/>
        <w:tabs>
          <w:tab w:leader="none" w:pos="259"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case of an adjustment pursuant to the second paragraph under the heading “— Anti-dilution Adjustments” below, the adjusted share prices in the column headings will equal the unadjusted share price less the decrease in the exercise price of a warrant pursuant to such exercise price adjustment.</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20"/>
                <w:szCs w:val="20"/>
                <w:color w:val="auto"/>
              </w:rPr>
            </w:pPr>
            <w:r>
              <w:rPr>
                <w:rFonts w:ascii="Arial" w:cs="Arial" w:eastAsia="Arial" w:hAnsi="Arial"/>
                <w:sz w:val="14"/>
                <w:szCs w:val="14"/>
                <w:b w:val="1"/>
                <w:bCs w:val="1"/>
                <w:color w:val="auto"/>
              </w:rPr>
              <w:t>Redemption Date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10"/>
          </w:tcPr>
          <w:p>
            <w:pPr>
              <w:ind w:left="40"/>
              <w:spacing w:after="0"/>
              <w:rPr>
                <w:sz w:val="20"/>
                <w:szCs w:val="20"/>
                <w:color w:val="auto"/>
              </w:rPr>
            </w:pPr>
            <w:r>
              <w:rPr>
                <w:rFonts w:ascii="Arial" w:cs="Arial" w:eastAsia="Arial" w:hAnsi="Arial"/>
                <w:sz w:val="14"/>
                <w:szCs w:val="14"/>
                <w:b w:val="1"/>
                <w:bCs w:val="1"/>
                <w:color w:val="auto"/>
              </w:rPr>
              <w:t>Fair Market Value of Class A Ordinary Shares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54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(period to expiration</w:t>
            </w: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5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5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of warrants)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10.00</w:t>
            </w: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$11.00</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12.00</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13.00</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14.00</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15.00</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16.00</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17.00</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18.00</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60 months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0.261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0.281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0.297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0.311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0.324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0.337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0.348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0.358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57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0.257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0.277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0.294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0.310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0.252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0.291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0.307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0.357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51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0.246</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0.287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0.241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0.263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0.283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0.301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0.317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0.356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45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0.235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0.258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0.279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0.298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0.315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0.228</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0.252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0.294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0.312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0.355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39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0.221</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0.246</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0.290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0.213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0.239</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0.263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0.285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0.305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0.353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33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0.205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0.232</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0.257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0.280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0.196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0.224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0.250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0.274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0.297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0.316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0.351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27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0.185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0.214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0.242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0.268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0.291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0.313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0.173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0.204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0.233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0.260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0.285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0.308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21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0.161</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0.193</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0.223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0.252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0.279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0.146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0.179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0.211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0.242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0.271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0.298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15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0.130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0.164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0.230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0.262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0.291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0.317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0.111</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0.146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0.181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0.216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0.250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0.282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0.312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9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0.090</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0.125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0.162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0.199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0.237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0.272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0.065</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0.099</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0.137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0.178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0.219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0.259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0.296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3 months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0.034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0.065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0.104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0.150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0.197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0.243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0.286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0.042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0.115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0.179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0.233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0.281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140" w:firstLine="440"/>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 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53" w:right="439" w:bottom="1440" w:gutter="0" w:footer="0" w:header="0"/>
        </w:sectPr>
      </w:pPr>
    </w:p>
    <w:bookmarkStart w:id="128" w:name="page129"/>
    <w:bookmarkEnd w:id="128"/>
    <w:p>
      <w:pPr>
        <w:ind w:right="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redemption feature differs from the typical warrant redemption features used in some other blank check companies, which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IPO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7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7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225"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If the number of outstanding Class A ordinary shares is increased by a capitalization or share dividend paid in Class A ordinary shares to all or substantially all holders of Class A ordinary shares, or by a split-up of ordinary shares or other similar event, then, on the effective date of such capitalization or share dividend, split-up or similar event, the number of Class A ordinary shares issuable on exercise of each warrant will be increased in proportion to such increase in the outstanding Class A ordinary shares. A rights offering made to all or substantially all holders of ordinary shares entitling holders to purchase Class A ordinary shares at a price less than the “historical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29" w:name="page130"/>
    <w:bookmarkEnd w:id="129"/>
    <w:p>
      <w:pPr>
        <w:ind w:left="4"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65" w:lineRule="exact"/>
        <w:rPr>
          <w:sz w:val="20"/>
          <w:szCs w:val="20"/>
          <w:color w:val="auto"/>
        </w:rPr>
      </w:pPr>
    </w:p>
    <w:p>
      <w:pPr>
        <w:ind w:left="4" w:right="80" w:firstLine="440"/>
        <w:spacing w:after="0" w:line="283"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all or substantially all of the holders of the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w:t>
      </w:r>
    </w:p>
    <w:p>
      <w:pPr>
        <w:spacing w:after="0" w:line="6" w:lineRule="exact"/>
        <w:rPr>
          <w:sz w:val="20"/>
          <w:szCs w:val="20"/>
          <w:color w:val="auto"/>
        </w:rPr>
      </w:pPr>
    </w:p>
    <w:p>
      <w:pPr>
        <w:ind w:left="304" w:hanging="304"/>
        <w:spacing w:after="0"/>
        <w:tabs>
          <w:tab w:leader="none" w:pos="304"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modify the substance or timing of our obligation to provide holders of our Class A ordinary shares the right to have their shares redeemed in</w:t>
      </w:r>
    </w:p>
    <w:p>
      <w:pPr>
        <w:spacing w:after="0" w:line="20" w:lineRule="exact"/>
        <w:rPr>
          <w:rFonts w:ascii="Arial" w:cs="Arial" w:eastAsia="Arial" w:hAnsi="Arial"/>
          <w:sz w:val="17"/>
          <w:szCs w:val="17"/>
          <w:color w:val="auto"/>
        </w:rPr>
      </w:pPr>
    </w:p>
    <w:p>
      <w:pPr>
        <w:ind w:left="4" w:right="140"/>
        <w:spacing w:after="0" w:line="281" w:lineRule="auto"/>
        <w:rPr>
          <w:rFonts w:ascii="Arial" w:cs="Arial" w:eastAsia="Arial" w:hAnsi="Arial"/>
          <w:sz w:val="17"/>
          <w:szCs w:val="17"/>
          <w:color w:val="auto"/>
        </w:rPr>
      </w:pPr>
      <w:r>
        <w:rPr>
          <w:rFonts w:ascii="Arial" w:cs="Arial" w:eastAsia="Arial" w:hAnsi="Arial"/>
          <w:sz w:val="16"/>
          <w:szCs w:val="16"/>
          <w:color w:val="auto"/>
        </w:rPr>
        <w:t>connection with our initial business combination or to redeem 100% of our public shares if we do not complete our initial business combination within 24 months (unless extended in accordance with the amended and restated memorandum and articles of association) from the closing of the IPO or</w:t>
      </w:r>
    </w:p>
    <w:p>
      <w:pPr>
        <w:spacing w:after="0" w:line="1" w:lineRule="exact"/>
        <w:rPr>
          <w:rFonts w:ascii="Arial" w:cs="Arial" w:eastAsia="Arial" w:hAnsi="Arial"/>
          <w:sz w:val="17"/>
          <w:szCs w:val="17"/>
          <w:color w:val="auto"/>
        </w:rPr>
      </w:pPr>
    </w:p>
    <w:p>
      <w:pPr>
        <w:ind w:left="4" w:hanging="4"/>
        <w:spacing w:after="0" w:line="253" w:lineRule="auto"/>
        <w:tabs>
          <w:tab w:leader="none" w:pos="2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any other provision relating to the rights of holders of our Class A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93"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187"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30" w:name="page131"/>
    <w:bookmarkEnd w:id="130"/>
    <w:p>
      <w:pPr>
        <w:ind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under “— Redemption of warrants when the price per Class A ordinary share equals or exceeds $18.00” will be adjusted (to the nearest cent) to be equal to 180% of the higher of the Market Value and the Newly Issued Price, and the $10.00 per share redemption trigger price described above under “— Redemption of warrants when the price per Class A ordinary share equals or exceeds $10.00” will be adjusted (to the nearest cent) to be equal to the higher of the Market Value and the Newly Issued Price.</w:t>
      </w:r>
    </w:p>
    <w:p>
      <w:pPr>
        <w:spacing w:after="0" w:line="17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31" w:name="page132"/>
    <w:bookmarkEnd w:id="13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68"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the IPO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 should review a copy of the warrant agreement, which is filed as Exhibit 4.4 to this Annual Report for a complete description of the terms and conditions applicable to the warrants.</w:t>
      </w:r>
    </w:p>
    <w:p>
      <w:pPr>
        <w:spacing w:after="0" w:line="166"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8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Class A ordinary shares to be issued to the warrant holder.</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32" w:name="page133"/>
    <w:bookmarkEnd w:id="132"/>
    <w:p>
      <w:pPr>
        <w:ind w:left="4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Private Placement Warrants</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Except as described below, the private placement warrants have terms and provisions that are identical to those of the warrants constituting the units. The private placement warrants (including the Class A ordinary shares issuable upon exercise of the private placement warrants) are not transferable, assignable or salable until 30 days after the completion of our initial business combination (except pursuant to limited exceptions as described in the Annual Report under “Security Ownership of Certain Beneficial Owners and Management and Related Stockholder Matters — Transfers of Founder Shares and Private Placement Warrants,” to our officers and directors and other persons or entities affiliated with the initial purchasers of the private placement warrants) and they will not be redeemable by us (except as described under “— Warrants — Public Shareholders’ Warrants — Redemption of warrants when the price per Class A ordinary share equals or exceeds $10.00”) so long as they are held by our sponsor or its permitted transferees. Our sponsor, or its permitted transferees, has the option to exercise the private placement warrants on a cashless basis. If the private placement warrants are held by holders other than our sponsor or its permitted transferees, the private placement warrants will be redeemable by us in all redemption scenarios and exercisable by the holders on the same basis as the warrants included in the units being sold in the IPO.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68"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Except as described above under “— Public Shareholders’ Warrants — Redemption of warrants when the price per Class A ordinary share equals or exceeds $10.00,”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“Sponsor fair market value” (defined below) over the exercise price of the warrants by (y) the Sponsor fair market value. For these purposes, the “Sponsor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$1.00 per warrant at the option of the lender. Such warrants would be identical to the private placement warrants.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33" w:name="page134"/>
    <w:bookmarkEnd w:id="13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dividends subsequent to an initial business combination will be within the discretion of our board of directors at such time. In addition, our board of directors is not currently contemplating and does not anticipate declaring any stock dividends in the foreseeable future. Further, if we incur any indebtedness in connection with a business combination, our ability to declare dividends may be limited by restrictive covenants we may agree to in connection therewith.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Differences in Corporate Law</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In certain circumstances, the Companies Act allows for mergers or consolidations between two Cayman Islands companies, or between a Cayman Islands exempted company and a company incorporated in another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is facilitated by the laws of that other jurisdiction).</w:t>
      </w:r>
    </w:p>
    <w:p>
      <w:pPr>
        <w:spacing w:after="0" w:line="124"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 2/3%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65" w:lineRule="exact"/>
        <w:rPr>
          <w:sz w:val="20"/>
          <w:szCs w:val="20"/>
          <w:color w:val="auto"/>
        </w:rPr>
      </w:pPr>
    </w:p>
    <w:p>
      <w:pPr>
        <w:jc w:val="both"/>
        <w:ind w:right="520" w:firstLine="440"/>
        <w:spacing w:after="0" w:line="257" w:lineRule="auto"/>
        <w:rPr>
          <w:sz w:val="20"/>
          <w:szCs w:val="20"/>
          <w:color w:val="auto"/>
        </w:rPr>
      </w:pPr>
      <w:r>
        <w:rPr>
          <w:rFonts w:ascii="Arial" w:cs="Arial" w:eastAsia="Arial" w:hAnsi="Arial"/>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34" w:name="page135"/>
    <w:bookmarkEnd w:id="134"/>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w:t>
      </w:r>
    </w:p>
    <w:p>
      <w:pPr>
        <w:spacing w:after="0" w:line="2" w:lineRule="exact"/>
        <w:rPr>
          <w:sz w:val="20"/>
          <w:szCs w:val="20"/>
          <w:color w:val="auto"/>
        </w:rPr>
      </w:pPr>
    </w:p>
    <w:p>
      <w:pPr>
        <w:ind w:left="4" w:right="40" w:hanging="4"/>
        <w:spacing w:after="0" w:line="260" w:lineRule="auto"/>
        <w:tabs>
          <w:tab w:leader="none" w:pos="30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no scheme, order, compromise or other similar arrangement has been entered into or made in any jurisdiction whereby the rights of creditors of the foreign company are and continue to be suspended or restricted.</w:t>
      </w:r>
    </w:p>
    <w:p>
      <w:pPr>
        <w:spacing w:after="0" w:line="185" w:lineRule="exact"/>
        <w:rPr>
          <w:sz w:val="20"/>
          <w:szCs w:val="20"/>
          <w:color w:val="auto"/>
        </w:rPr>
      </w:pPr>
    </w:p>
    <w:p>
      <w:pPr>
        <w:ind w:left="4" w:right="240" w:firstLine="440"/>
        <w:spacing w:after="0" w:line="291" w:lineRule="auto"/>
        <w:rPr>
          <w:sz w:val="20"/>
          <w:szCs w:val="20"/>
          <w:color w:val="auto"/>
        </w:rPr>
      </w:pPr>
      <w:r>
        <w:rPr>
          <w:rFonts w:ascii="Arial" w:cs="Arial" w:eastAsia="Arial" w:hAnsi="Arial"/>
          <w:sz w:val="16"/>
          <w:szCs w:val="16"/>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ind w:left="4" w:hanging="4"/>
        <w:spacing w:after="0" w:line="252" w:lineRule="auto"/>
        <w:tabs>
          <w:tab w:leader="none" w:pos="2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92"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Where the above procedures are adopted, the Companies Act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w:t>
      </w:r>
    </w:p>
    <w:p>
      <w:pPr>
        <w:spacing w:after="0" w:line="4" w:lineRule="exact"/>
        <w:rPr>
          <w:sz w:val="20"/>
          <w:szCs w:val="20"/>
          <w:color w:val="auto"/>
        </w:rPr>
      </w:pPr>
    </w:p>
    <w:p>
      <w:pPr>
        <w:ind w:left="4" w:right="80" w:hanging="4"/>
        <w:spacing w:after="0" w:line="286" w:lineRule="auto"/>
        <w:tabs>
          <w:tab w:leader="none" w:pos="249"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0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4"/>
          </w:cols>
          <w:pgMar w:left="436" w:top="274" w:right="499" w:bottom="1440" w:gutter="0" w:footer="0" w:header="0"/>
        </w:sectPr>
      </w:pPr>
    </w:p>
    <w:bookmarkStart w:id="135" w:name="page136"/>
    <w:bookmarkEnd w:id="135"/>
    <w:p>
      <w:pPr>
        <w:ind w:right="6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general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91" w:lineRule="exact"/>
        <w:rPr>
          <w:sz w:val="20"/>
          <w:szCs w:val="20"/>
          <w:color w:val="auto"/>
        </w:rPr>
      </w:pPr>
    </w:p>
    <w:p>
      <w:pPr>
        <w:ind w:left="960" w:right="260" w:hanging="424"/>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 or that would amount to a “fraud on the minority.”</w:t>
      </w:r>
    </w:p>
    <w:p>
      <w:pPr>
        <w:spacing w:after="0" w:line="170"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Squeeze-out Provisions.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When a takeover offer is made and accepted by holders of 662/3% of the shares to whom the offer 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Maples and Calder, our Cayman Islands legal counsel, is not aware of any reported class action having been brought in a Cayman Islands court.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36" w:name="page137"/>
    <w:bookmarkEnd w:id="136"/>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3" w:lineRule="exact"/>
        <w:rPr>
          <w:sz w:val="20"/>
          <w:szCs w:val="20"/>
          <w:color w:val="auto"/>
        </w:rPr>
      </w:pPr>
    </w:p>
    <w:p>
      <w:pPr>
        <w:ind w:left="960" w:hanging="424"/>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Enforcement of Civil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Cayman Islands has a different body of securities laws as compared to the United States and provides less protection to investors.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Cayman Islands companies may not have standing to sue before the Federal courts of the United States.</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Special Considerations for Exempted Companies.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are an exempted company with limited liability (meaning our public shareholders have no 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93" w:lineRule="exact"/>
        <w:rPr>
          <w:sz w:val="20"/>
          <w:szCs w:val="20"/>
          <w:color w:val="auto"/>
        </w:rPr>
      </w:pPr>
    </w:p>
    <w:p>
      <w:pPr>
        <w:ind w:left="960" w:right="40" w:hanging="424"/>
        <w:spacing w:after="0" w:line="277"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37" w:name="page138"/>
    <w:bookmarkEnd w:id="137"/>
    <w:p>
      <w:pPr>
        <w:ind w:left="960" w:hanging="42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exempted company may issue shares with no par value;</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5"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Our amended and restated memorandum and articles of association contain provisions designed to provide certain rights and protections relating to the IPO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(ii) if so authorized by a company’s articles of association, by a unanimous written resolution of all of the company’s shareholders. Other than as described above, our amended and restated memorandum and articles of association provide that special resolutions must be approved either by at least two-thirds of our shareholders who attend and vote at a general meeting of the company (i.e., the lowest threshold permissible under Cayman Islands law), or by a unanimous written resolution of all of our shareholders.</w:t>
      </w:r>
    </w:p>
    <w:p>
      <w:pPr>
        <w:spacing w:after="0" w:line="181"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Our initial shareholders and their permitted transferees, if any, who collectively beneficially own 20% of our ordinary shares, will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71" w:lineRule="exact"/>
        <w:rPr>
          <w:sz w:val="20"/>
          <w:szCs w:val="20"/>
          <w:color w:val="auto"/>
        </w:rPr>
      </w:pPr>
    </w:p>
    <w:p>
      <w:pPr>
        <w:ind w:left="960" w:hanging="424"/>
        <w:spacing w:after="0" w:line="269" w:lineRule="auto"/>
        <w:tabs>
          <w:tab w:leader="none" w:pos="9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we have not consummated an initial business combination within 24 months (unless extended in accordance with the amended and restated memorandum and articles of association) from the closing of the IPO,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that were paid by us or are payable by us,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138" w:name="page139"/>
    <w:bookmarkEnd w:id="138"/>
    <w:p>
      <w:pPr>
        <w:ind w:left="960" w:right="60" w:hanging="424"/>
        <w:spacing w:after="0" w:line="308" w:lineRule="auto"/>
        <w:tabs>
          <w:tab w:leader="none" w:pos="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or in connection with our initial business combination, we may not issue additional securities that would entitle the holders thereof to (i) receive funds from the Trust Account or (ii) vote as a class with our public shares on an initial business combination;</w:t>
      </w:r>
    </w:p>
    <w:p>
      <w:pPr>
        <w:spacing w:after="0" w:line="51" w:lineRule="exact"/>
        <w:rPr>
          <w:rFonts w:ascii="Arial" w:cs="Arial" w:eastAsia="Arial" w:hAnsi="Arial"/>
          <w:sz w:val="17"/>
          <w:szCs w:val="17"/>
          <w:color w:val="auto"/>
        </w:rPr>
      </w:pPr>
    </w:p>
    <w:p>
      <w:pPr>
        <w:ind w:left="960" w:right="40" w:hanging="424"/>
        <w:spacing w:after="0" w:line="279" w:lineRule="auto"/>
        <w:tabs>
          <w:tab w:leader="none" w:pos="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Although we do not intend to enter into a business combination with a target business that is affiliated with our sponsor, HPS, our directors or our officers, we are not prohibited from doing so. In the event we enter into such a transaction, we, or a committee of independent directors, will obtain an opinion from independent investment banking firm or another independent entity that commonly renders valuation opinions that such a business combination is fair to our company from a financial point of view;</w:t>
      </w:r>
    </w:p>
    <w:p>
      <w:pPr>
        <w:spacing w:after="0" w:line="76" w:lineRule="exact"/>
        <w:rPr>
          <w:rFonts w:ascii="Arial" w:cs="Arial" w:eastAsia="Arial" w:hAnsi="Arial"/>
          <w:sz w:val="17"/>
          <w:szCs w:val="17"/>
          <w:color w:val="auto"/>
        </w:rPr>
      </w:pPr>
    </w:p>
    <w:p>
      <w:pPr>
        <w:ind w:left="960" w:right="20" w:hanging="424"/>
        <w:spacing w:after="0" w:line="257"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 shareholder vote on our initial business combination is not required by applicable law or stock exchange listing requirements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3" w:lineRule="exact"/>
        <w:rPr>
          <w:rFonts w:ascii="Arial" w:cs="Arial" w:eastAsia="Arial" w:hAnsi="Arial"/>
          <w:sz w:val="18"/>
          <w:szCs w:val="18"/>
          <w:color w:val="auto"/>
        </w:rPr>
      </w:pPr>
    </w:p>
    <w:p>
      <w:pPr>
        <w:ind w:left="960" w:right="80" w:hanging="424"/>
        <w:spacing w:after="0" w:line="259"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 long as our securities are then listed on the NYSE, 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92" w:lineRule="exact"/>
        <w:rPr>
          <w:rFonts w:ascii="Arial" w:cs="Arial" w:eastAsia="Arial" w:hAnsi="Arial"/>
          <w:sz w:val="18"/>
          <w:szCs w:val="18"/>
          <w:color w:val="auto"/>
        </w:rPr>
      </w:pPr>
    </w:p>
    <w:p>
      <w:pPr>
        <w:ind w:left="960" w:hanging="424"/>
        <w:spacing w:after="0" w:line="270" w:lineRule="auto"/>
        <w:tabs>
          <w:tab w:leader="none" w:pos="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our shareholders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(unless extended in accordance with the amended and restated memorandum and articles of association) from the closing of the IPO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86" w:lineRule="exact"/>
        <w:rPr>
          <w:rFonts w:ascii="Arial" w:cs="Arial" w:eastAsia="Arial" w:hAnsi="Arial"/>
          <w:sz w:val="17"/>
          <w:szCs w:val="17"/>
          <w:color w:val="auto"/>
        </w:rPr>
      </w:pPr>
    </w:p>
    <w:p>
      <w:pPr>
        <w:ind w:left="960" w:right="520" w:hanging="424"/>
        <w:spacing w:after="0" w:line="277"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solely with another blank check company or a similar company with nominal operations.</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In addition, our amended and restated memorandum and articles of association provide that under no circumstances will we redeem our public shares in an amount that would cause our net tangible assets to be less than $5,000,001.</w:t>
      </w:r>
    </w:p>
    <w:p>
      <w:pPr>
        <w:spacing w:after="0" w:line="170" w:lineRule="exact"/>
        <w:rPr>
          <w:sz w:val="20"/>
          <w:szCs w:val="20"/>
          <w:color w:val="auto"/>
        </w:rPr>
      </w:pPr>
    </w:p>
    <w:p>
      <w:pPr>
        <w:ind w:right="220" w:firstLine="440"/>
        <w:spacing w:after="0" w:line="296" w:lineRule="auto"/>
        <w:rPr>
          <w:sz w:val="20"/>
          <w:szCs w:val="20"/>
          <w:color w:val="auto"/>
        </w:rPr>
      </w:pPr>
      <w:r>
        <w:rPr>
          <w:rFonts w:ascii="Arial" w:cs="Arial" w:eastAsia="Arial" w:hAnsi="Arial"/>
          <w:sz w:val="16"/>
          <w:szCs w:val="16"/>
          <w:color w:val="auto"/>
        </w:rPr>
        <w:t>The Companies Act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139" w:name="page140"/>
    <w:bookmarkEnd w:id="139"/>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Accordingly, although we could amend any of the provisions relating to our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Laundering-Cayman Islands</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If any person in the Cayman Islands knows or suspects, or has reasonable grounds for knowing or suspecting, that another person is engaged in criminal conduct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(As Revised) of the Cayman Islands if the disclosure relates to criminal conduct or money laundering or (ii) a police officer of the rank of constable or higher, or the Financial Reporting Authority, pursuant to the Terrorism Act (As Revised)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Protection-Cayman Islands</w:t>
      </w:r>
    </w:p>
    <w:p>
      <w:pPr>
        <w:spacing w:after="0" w:line="121"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We have certain duties under the Data Protection Act (As Revised) of the Cayman Islands (the “DPA”) based on internationally accepted principles of data privacy.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Notice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This privacy notice puts our shareholders on notice that through your investment in the Company you will provide us with certain personal information which constitutes personal data within the meaning of the DPA (“personal data”). In the following discussion, the “company” refers to us and our affiliates and/or delegates, except where the context requires otherwise.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Investor Data</w:t>
      </w:r>
    </w:p>
    <w:p>
      <w:pPr>
        <w:spacing w:after="0" w:line="117"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140" w:name="page141"/>
    <w:bookmarkEnd w:id="140"/>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8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Who this Affects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How the Company May Use a Shareholder’s Personal Data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680" w:hanging="244"/>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where this is necessary for the performance of our rights and obligations under any purchase agreements;</w:t>
      </w:r>
    </w:p>
    <w:p>
      <w:pPr>
        <w:spacing w:after="0" w:line="117"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where this is necessary for compliance with a legal and regulatory obligation to which we are subject (such as compliance with anti-money laundering and FATCA/CRS requirements); and/or</w:t>
      </w:r>
    </w:p>
    <w:p>
      <w:pPr>
        <w:spacing w:after="0" w:line="62" w:lineRule="exact"/>
        <w:rPr>
          <w:rFonts w:ascii="Arial" w:cs="Arial" w:eastAsia="Arial" w:hAnsi="Arial"/>
          <w:sz w:val="18"/>
          <w:szCs w:val="18"/>
          <w:color w:val="auto"/>
        </w:rPr>
      </w:pPr>
    </w:p>
    <w:p>
      <w:pPr>
        <w:ind w:firstLine="436"/>
        <w:spacing w:after="0" w:line="277" w:lineRule="auto"/>
        <w:tabs>
          <w:tab w:leader="none" w:pos="6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Should we wish to use personal data for other specific purposes (including, if applicable, any purpose that requires your consent), we will contact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Why We May Transfer Your Personal Data</w:t>
      </w:r>
    </w:p>
    <w:p>
      <w:pPr>
        <w:spacing w:after="0" w:line="117"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84"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Data Protection Measures We Take</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41" w:name="page142"/>
    <w:bookmarkEnd w:id="141"/>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2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Our amended and restated memorandum and articles of association provide that our board of directors will be classified into three classes of directors. As a result, in most circumstances, a person can gain control of our board only by successfully engaging in a proxy contest at two or more annual general meetings.</w:t>
      </w:r>
    </w:p>
    <w:p>
      <w:pPr>
        <w:spacing w:after="0" w:line="184"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121"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31,116,305 Class A ordinary shares are freely tradable without restriction or further registration under the Securities Act. All of the Class B ordinary shares and all of the private placement warrants are restricted securities under Rule 144, in that they were issued in private transactions not involving a public offering.</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Rule 144</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Pursuant to Rule 144, a person who has beneficially owned restricted shares or warrants for at least six months would be entitled to sell their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88"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960" w:hanging="424"/>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 of the total number of ordinary shares then-outstanding; or</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 on the Use of Rule 144 by Shell Companies or Former Shell Companies</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960" w:hanging="424"/>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 and</w:t>
      </w:r>
    </w:p>
    <w:p>
      <w:pPr>
        <w:spacing w:after="0" w:line="130" w:lineRule="exact"/>
        <w:rPr>
          <w:rFonts w:ascii="Arial" w:cs="Arial" w:eastAsia="Arial" w:hAnsi="Arial"/>
          <w:sz w:val="18"/>
          <w:szCs w:val="18"/>
          <w:color w:val="auto"/>
        </w:rPr>
      </w:pPr>
    </w:p>
    <w:p>
      <w:pPr>
        <w:ind w:left="960" w:right="20" w:hanging="424"/>
        <w:spacing w:after="0" w:line="259" w:lineRule="auto"/>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w:t>
      </w:r>
    </w:p>
    <w:p>
      <w:pPr>
        <w:spacing w:after="0" w:line="187"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Shareholder Rights</w:t>
      </w:r>
    </w:p>
    <w:p>
      <w:pPr>
        <w:spacing w:after="0" w:line="121"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IPO. The holders of these securities were entitled to make up to three demands, excluding short form demands, that we register such securities. In addition, the holders have certain “piggy-back” registration rights with respect to registration statements filed subsequent to the completion of the initial Business Combination. We will bear the expenses incurred in connection with the filing of any such registration statements.</w:t>
      </w:r>
    </w:p>
    <w:p>
      <w:pPr>
        <w:spacing w:after="0" w:line="16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Except as described herein, our sponsor and our directors and executive officers have agreed not to transfer, assign or sell their founder shares until the earliest of (A) one year after the completion of our initial business combination and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Any permitted transferees will be subject to the same restrictions and other agreements of our sponsor with respect to any founder shares. We refer to such transfer restrictions as the lock-up.</w:t>
      </w:r>
    </w:p>
    <w:p>
      <w:pPr>
        <w:spacing w:after="0" w:line="192"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In addition, pursuant to the registration and shareholder rights agreement,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Listing of Securities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Our units are listed on the Nasdaq under the symbol “ACTDU” The Class A ordinary shares and warrants are listed on the Nasdaq under the symbols “ACTD” and “ACTDW,” respectively. The units will automatically separate into their component parts and will not be traded following the completion of our initial business combination.</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00"/>
          </w:cols>
          <w:pgMar w:left="440" w:top="270" w:right="7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14.1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ARCLIGHT CLEAN TRANSITION CORP.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CODE OF ETHICS</w:t>
      </w:r>
    </w:p>
    <w:p>
      <w:pPr>
        <w:spacing w:after="0" w:line="252" w:lineRule="exact"/>
        <w:rPr>
          <w:sz w:val="20"/>
          <w:szCs w:val="20"/>
          <w:color w:val="auto"/>
        </w:rPr>
      </w:pPr>
    </w:p>
    <w:p>
      <w:pPr>
        <w:ind w:left="424" w:hanging="424"/>
        <w:spacing w:after="0"/>
        <w:tabs>
          <w:tab w:leader="none" w:pos="42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The Board of Directors of ArcLight Clean Transition Corp. II has adopted this code of ethics (the “</w:t>
      </w:r>
      <w:r>
        <w:rPr>
          <w:rFonts w:ascii="Arial" w:cs="Arial" w:eastAsia="Arial" w:hAnsi="Arial"/>
          <w:sz w:val="18"/>
          <w:szCs w:val="18"/>
          <w:u w:val="single" w:color="auto"/>
          <w:color w:val="auto"/>
        </w:rPr>
        <w:t>Code</w:t>
      </w:r>
      <w:r>
        <w:rPr>
          <w:rFonts w:ascii="Arial" w:cs="Arial" w:eastAsia="Arial" w:hAnsi="Arial"/>
          <w:sz w:val="18"/>
          <w:szCs w:val="18"/>
          <w:color w:val="auto"/>
        </w:rPr>
        <w:t>”), which is applicable to all directors, officers and employees, to:</w:t>
      </w:r>
    </w:p>
    <w:p>
      <w:pPr>
        <w:spacing w:after="0" w:line="76" w:lineRule="exact"/>
        <w:rPr>
          <w:sz w:val="20"/>
          <w:szCs w:val="20"/>
          <w:color w:val="auto"/>
        </w:rPr>
      </w:pPr>
    </w:p>
    <w:p>
      <w:pPr>
        <w:ind w:left="964" w:right="700" w:hanging="424"/>
        <w:spacing w:after="0" w:line="277" w:lineRule="auto"/>
        <w:tabs>
          <w:tab w:leader="none" w:pos="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 between personal and professional relationships;</w:t>
      </w:r>
    </w:p>
    <w:p>
      <w:pPr>
        <w:spacing w:after="0" w:line="75" w:lineRule="exact"/>
        <w:rPr>
          <w:rFonts w:ascii="Arial" w:cs="Arial" w:eastAsia="Arial" w:hAnsi="Arial"/>
          <w:sz w:val="18"/>
          <w:szCs w:val="18"/>
          <w:color w:val="auto"/>
        </w:rPr>
      </w:pPr>
    </w:p>
    <w:p>
      <w:pPr>
        <w:ind w:left="964" w:right="140" w:hanging="424"/>
        <w:spacing w:after="0" w:line="277" w:lineRule="auto"/>
        <w:tabs>
          <w:tab w:leader="none" w:pos="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promote the full, fair, accurate, timely and understandable disclosure in reports and documents that the Company files with, or submits to, the U.S. Securities and Exchange</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Commission (the “</w:t>
      </w:r>
      <w:r>
        <w:rPr>
          <w:rFonts w:ascii="Arial" w:cs="Arial" w:eastAsia="Arial" w:hAnsi="Arial"/>
          <w:sz w:val="18"/>
          <w:szCs w:val="18"/>
          <w:u w:val="single" w:color="auto"/>
          <w:color w:val="auto"/>
        </w:rPr>
        <w:t>SEC</w:t>
      </w:r>
      <w:r>
        <w:rPr>
          <w:rFonts w:ascii="Arial" w:cs="Arial" w:eastAsia="Arial" w:hAnsi="Arial"/>
          <w:sz w:val="18"/>
          <w:szCs w:val="18"/>
          <w:color w:val="auto"/>
        </w:rPr>
        <w:t>”), as well as in other public communications made by or on behalf of the Company;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 • deter wrongdoing;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require prompt internal reporting of breaches of, and accountability for adherence to, this Code.</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This Code may be amended only by resolution of the Company’s Board of Directors. In this Code, references to the “Company” mean ArcLight Clean Transition Corp. II, and, in appropriate context, its subsidiaries.</w:t>
      </w:r>
    </w:p>
    <w:p>
      <w:pPr>
        <w:spacing w:after="0" w:line="315" w:lineRule="exact"/>
        <w:rPr>
          <w:sz w:val="20"/>
          <w:szCs w:val="20"/>
          <w:color w:val="auto"/>
        </w:rPr>
      </w:pPr>
    </w:p>
    <w:p>
      <w:pPr>
        <w:ind w:left="424" w:hanging="424"/>
        <w:spacing w:after="0"/>
        <w:tabs>
          <w:tab w:leader="none" w:pos="42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Honest, Ethical and Fair Conduct</w:t>
      </w:r>
    </w:p>
    <w:p>
      <w:pPr>
        <w:spacing w:after="0" w:line="12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Each person owes a duty to the Company to act with integrity. Integrity requires, among other things, being honest, fair and candid. Deceit, dishonesty and subordinating one’s principles are inconsistent with integrity. Service to the Company never should be subordinated to personal gain and advantage.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person must:</w:t>
      </w:r>
    </w:p>
    <w:p>
      <w:pPr>
        <w:spacing w:after="0" w:line="131" w:lineRule="exact"/>
        <w:rPr>
          <w:sz w:val="20"/>
          <w:szCs w:val="20"/>
          <w:color w:val="auto"/>
        </w:rPr>
      </w:pPr>
    </w:p>
    <w:p>
      <w:pPr>
        <w:ind w:left="964" w:right="540" w:hanging="424"/>
        <w:spacing w:after="0" w:line="277" w:lineRule="auto"/>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act with integrity, including being honest and candid while still maintaining the confidentiality of the Company’s information where required or in the Company’s interests;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observe all applicable governmental laws, rules and regulations;</w:t>
      </w:r>
    </w:p>
    <w:p>
      <w:pPr>
        <w:spacing w:after="0" w:line="130" w:lineRule="exact"/>
        <w:rPr>
          <w:rFonts w:ascii="Arial" w:cs="Arial" w:eastAsia="Arial" w:hAnsi="Arial"/>
          <w:sz w:val="18"/>
          <w:szCs w:val="18"/>
          <w:color w:val="auto"/>
        </w:rPr>
      </w:pPr>
    </w:p>
    <w:p>
      <w:pPr>
        <w:ind w:left="964" w:right="280" w:hanging="424"/>
        <w:spacing w:after="0" w:line="308" w:lineRule="auto"/>
        <w:tabs>
          <w:tab w:leader="none" w:pos="964"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comply with the requirements of applicable accounting and auditing standards, as well as Company policies, in order to maintain a high standard of accuracy and completeness in the Company’s financial records and other business-related information and data;</w:t>
      </w:r>
    </w:p>
    <w:p>
      <w:pPr>
        <w:sectPr>
          <w:pgSz w:w="11900" w:h="16838" w:orient="portrait"/>
          <w:cols w:equalWidth="0" w:num="1">
            <w:col w:w="11024"/>
          </w:cols>
          <w:pgMar w:left="436" w:top="121" w:right="439" w:bottom="1440" w:gutter="0" w:footer="0" w:header="0"/>
        </w:sectPr>
      </w:pPr>
    </w:p>
    <w:bookmarkStart w:id="145" w:name="page146"/>
    <w:bookmarkEnd w:id="145"/>
    <w:p>
      <w:pPr>
        <w:ind w:left="424" w:hanging="424"/>
        <w:spacing w:after="0"/>
        <w:tabs>
          <w:tab w:leader="none" w:pos="424" w:val="left"/>
        </w:tabs>
        <w:numPr>
          <w:ilvl w:val="0"/>
          <w:numId w:val="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adhere to a high standard of business ethics and not seek a competitive advantage through unlawful or unethical business practices;</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deal fairly with the Company’s customers, suppliers, competitors and employees;</w:t>
      </w:r>
    </w:p>
    <w:p>
      <w:pPr>
        <w:spacing w:after="0" w:line="130" w:lineRule="exact"/>
        <w:rPr>
          <w:rFonts w:ascii="Arial" w:cs="Arial" w:eastAsia="Arial" w:hAnsi="Arial"/>
          <w:sz w:val="18"/>
          <w:szCs w:val="18"/>
          <w:color w:val="auto"/>
        </w:rPr>
      </w:pPr>
    </w:p>
    <w:p>
      <w:pPr>
        <w:ind w:left="424" w:right="600" w:hanging="424"/>
        <w:spacing w:after="0" w:line="277" w:lineRule="auto"/>
        <w:tabs>
          <w:tab w:leader="none" w:pos="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refrain from taking advantage of anyone through manipulation, concealment, abuse of privileged information, misrepresentation of material facts or any other unfair-dealing practice;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protect the assets of the Company and ensure their proper use;</w:t>
      </w:r>
    </w:p>
    <w:p>
      <w:pPr>
        <w:spacing w:after="0" w:line="130" w:lineRule="exact"/>
        <w:rPr>
          <w:rFonts w:ascii="Arial" w:cs="Arial" w:eastAsia="Arial" w:hAnsi="Arial"/>
          <w:sz w:val="18"/>
          <w:szCs w:val="18"/>
          <w:color w:val="auto"/>
        </w:rPr>
      </w:pPr>
    </w:p>
    <w:p>
      <w:pPr>
        <w:ind w:left="424" w:right="260" w:hanging="424"/>
        <w:spacing w:after="0" w:line="308" w:lineRule="auto"/>
        <w:tabs>
          <w:tab w:leader="none" w:pos="424"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refrain from taking for themselves personally opportunities that are discovered through the use of corporate assets or by using corporate assets, information or position for general personal gain outside the scope of employment with the Company; and</w:t>
      </w:r>
    </w:p>
    <w:p>
      <w:pPr>
        <w:spacing w:after="0" w:line="51" w:lineRule="exact"/>
        <w:rPr>
          <w:rFonts w:ascii="Arial" w:cs="Arial" w:eastAsia="Arial" w:hAnsi="Arial"/>
          <w:sz w:val="17"/>
          <w:szCs w:val="17"/>
          <w:color w:val="auto"/>
        </w:rPr>
      </w:pPr>
    </w:p>
    <w:p>
      <w:pPr>
        <w:ind w:left="424" w:hanging="424"/>
        <w:spacing w:after="0" w:line="269" w:lineRule="auto"/>
        <w:tabs>
          <w:tab w:leader="none" w:pos="424" w:val="left"/>
        </w:tabs>
        <w:numPr>
          <w:ilvl w:val="0"/>
          <w:numId w:val="87"/>
        </w:numPr>
        <w:rPr>
          <w:rFonts w:ascii="Arial" w:cs="Arial" w:eastAsia="Arial" w:hAnsi="Arial"/>
          <w:sz w:val="17"/>
          <w:szCs w:val="17"/>
          <w:color w:val="auto"/>
        </w:rPr>
      </w:pPr>
      <w:r>
        <w:rPr>
          <w:rFonts w:ascii="Arial" w:cs="Arial" w:eastAsia="Arial" w:hAnsi="Arial"/>
          <w:sz w:val="17"/>
          <w:szCs w:val="17"/>
          <w:color w:val="auto"/>
        </w:rPr>
        <w:t>avoid “related-party transactions” or conflicts of interest, wherever possible, except under guidelines or resolutions approved by the Board of Directors (or the appropriate committee of the Board). For purposes of this Code, “related-party transactions” are defined as transactions in which (1) the aggregate amount involved will or may be expected to exceed $120,000 in any calendar year, (2) the Company or any of its subsidiaries is a participant, and (3) any (a) executive officer, director or nominee for election as a director, (b) greater than 5% beneficial owner of the Company’s ordinary shares,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 Anything that would be a conflict for a person subject to this Code also will be a conflict if it is related to a member of his or her family or a close relative. Examples of conflict of interest situations include, but are not limited to, the following:</w:t>
      </w:r>
    </w:p>
    <w:p>
      <w:pPr>
        <w:spacing w:after="0" w:line="87" w:lineRule="exact"/>
        <w:rPr>
          <w:rFonts w:ascii="Arial" w:cs="Arial" w:eastAsia="Arial" w:hAnsi="Arial"/>
          <w:sz w:val="17"/>
          <w:szCs w:val="17"/>
          <w:color w:val="auto"/>
        </w:rPr>
      </w:pPr>
    </w:p>
    <w:p>
      <w:pPr>
        <w:ind w:left="884" w:hanging="331"/>
        <w:spacing w:after="0"/>
        <w:tabs>
          <w:tab w:leader="none" w:pos="88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significant ownership interest in any supplier or customer;</w:t>
      </w:r>
    </w:p>
    <w:p>
      <w:pPr>
        <w:spacing w:after="0" w:line="130" w:lineRule="exact"/>
        <w:rPr>
          <w:rFonts w:ascii="Arial" w:cs="Arial" w:eastAsia="Arial" w:hAnsi="Arial"/>
          <w:sz w:val="18"/>
          <w:szCs w:val="18"/>
          <w:color w:val="auto"/>
        </w:rPr>
      </w:pPr>
    </w:p>
    <w:p>
      <w:pPr>
        <w:ind w:left="884" w:hanging="331"/>
        <w:spacing w:after="0"/>
        <w:tabs>
          <w:tab w:leader="none" w:pos="88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customer, supplier or competitor;</w:t>
      </w:r>
    </w:p>
    <w:p>
      <w:pPr>
        <w:spacing w:after="0" w:line="130" w:lineRule="exact"/>
        <w:rPr>
          <w:rFonts w:ascii="Arial" w:cs="Arial" w:eastAsia="Arial" w:hAnsi="Arial"/>
          <w:sz w:val="18"/>
          <w:szCs w:val="18"/>
          <w:color w:val="auto"/>
        </w:rPr>
      </w:pPr>
    </w:p>
    <w:p>
      <w:pPr>
        <w:ind w:left="884" w:right="760" w:hanging="331"/>
        <w:spacing w:after="0" w:line="277" w:lineRule="auto"/>
        <w:tabs>
          <w:tab w:leader="none" w:pos="88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outside business activity that detracts from an individual’s ability to devote appropriate time and attention to his or her responsibilities with the Company;</w:t>
      </w:r>
    </w:p>
    <w:p>
      <w:pPr>
        <w:spacing w:after="0" w:line="75" w:lineRule="exact"/>
        <w:rPr>
          <w:rFonts w:ascii="Arial" w:cs="Arial" w:eastAsia="Arial" w:hAnsi="Arial"/>
          <w:sz w:val="18"/>
          <w:szCs w:val="18"/>
          <w:color w:val="auto"/>
        </w:rPr>
      </w:pPr>
    </w:p>
    <w:p>
      <w:pPr>
        <w:ind w:left="884" w:right="180" w:hanging="331"/>
        <w:spacing w:after="0" w:line="277" w:lineRule="auto"/>
        <w:tabs>
          <w:tab w:leader="none" w:pos="884"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receipt of any money, non-nominal gifts or excessive entertainment from any company with which the Company has current or prospective business dealings;</w:t>
      </w:r>
    </w:p>
    <w:p>
      <w:pPr>
        <w:spacing w:after="0" w:line="75" w:lineRule="exact"/>
        <w:rPr>
          <w:rFonts w:ascii="Arial" w:cs="Arial" w:eastAsia="Arial" w:hAnsi="Arial"/>
          <w:sz w:val="18"/>
          <w:szCs w:val="18"/>
          <w:color w:val="auto"/>
        </w:rPr>
      </w:pPr>
    </w:p>
    <w:p>
      <w:pPr>
        <w:ind w:left="884" w:hanging="331"/>
        <w:spacing w:after="0"/>
        <w:tabs>
          <w:tab w:leader="none" w:pos="884" w:val="left"/>
        </w:tabs>
        <w:numPr>
          <w:ilvl w:val="1"/>
          <w:numId w:val="87"/>
        </w:numPr>
        <w:rPr>
          <w:rFonts w:ascii="Arial" w:cs="Arial" w:eastAsia="Arial" w:hAnsi="Arial"/>
          <w:sz w:val="17"/>
          <w:szCs w:val="17"/>
          <w:color w:val="auto"/>
        </w:rPr>
      </w:pPr>
      <w:r>
        <w:rPr>
          <w:rFonts w:ascii="Arial" w:cs="Arial" w:eastAsia="Arial" w:hAnsi="Arial"/>
          <w:sz w:val="17"/>
          <w:szCs w:val="17"/>
          <w:color w:val="auto"/>
        </w:rPr>
        <w:t>being in the position of supervising, reviewing or having any influence on the job evaluation, pay or benefit of any close relative;</w:t>
      </w:r>
    </w:p>
    <w:p>
      <w:pPr>
        <w:spacing w:after="0" w:line="169"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4"/>
          </w:cols>
          <w:pgMar w:left="976" w:top="274" w:right="459" w:bottom="1440" w:gutter="0" w:footer="0" w:header="0"/>
        </w:sectPr>
      </w:pPr>
    </w:p>
    <w:bookmarkStart w:id="146" w:name="page147"/>
    <w:bookmarkEnd w:id="146"/>
    <w:p>
      <w:pPr>
        <w:ind w:left="1424" w:right="360" w:hanging="331"/>
        <w:spacing w:after="0" w:line="277" w:lineRule="auto"/>
        <w:tabs>
          <w:tab w:leader="none" w:pos="1424" w:val="left"/>
        </w:tabs>
        <w:numPr>
          <w:ilvl w:val="1"/>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anything to the Company or buying anything from the Company, except on the same terms and conditions as comparable officers or directors are permitted to so purchase or sell; and</w:t>
      </w:r>
    </w:p>
    <w:p>
      <w:pPr>
        <w:spacing w:after="0" w:line="75" w:lineRule="exact"/>
        <w:rPr>
          <w:rFonts w:ascii="Arial" w:cs="Arial" w:eastAsia="Arial" w:hAnsi="Arial"/>
          <w:sz w:val="18"/>
          <w:szCs w:val="18"/>
          <w:color w:val="auto"/>
        </w:rPr>
      </w:pPr>
    </w:p>
    <w:p>
      <w:pPr>
        <w:ind w:left="1424" w:right="120" w:hanging="331"/>
        <w:spacing w:after="0" w:line="277" w:lineRule="auto"/>
        <w:tabs>
          <w:tab w:leader="none" w:pos="142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other circumstance, event, relationship or situation in which the personal interest of a person subject to this Code interferes—or even appears to interfere—with the interests of the Company as a whole.</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Company strives to ensure that the contents of and the disclosures in the reports and documents that the Company files with the SEC and</w:t>
      </w:r>
    </w:p>
    <w:p>
      <w:pPr>
        <w:spacing w:after="0" w:line="46" w:lineRule="exact"/>
        <w:rPr>
          <w:sz w:val="20"/>
          <w:szCs w:val="20"/>
          <w:color w:val="auto"/>
        </w:rPr>
      </w:pPr>
    </w:p>
    <w:p>
      <w:pPr>
        <w:ind w:left="4" w:right="560"/>
        <w:spacing w:after="0" w:line="260" w:lineRule="auto"/>
        <w:rPr>
          <w:sz w:val="20"/>
          <w:szCs w:val="20"/>
          <w:color w:val="auto"/>
        </w:rPr>
      </w:pPr>
      <w:r>
        <w:rPr>
          <w:rFonts w:ascii="Arial" w:cs="Arial" w:eastAsia="Arial" w:hAnsi="Arial"/>
          <w:sz w:val="18"/>
          <w:szCs w:val="18"/>
          <w:color w:val="auto"/>
        </w:rPr>
        <w:t>other public communications shall be full, fair, accurate, timely and understandable in accordance with applicable disclosure standards, including standards of materiality, where appropriate. Each person must:</w:t>
      </w:r>
    </w:p>
    <w:p>
      <w:pPr>
        <w:spacing w:after="0" w:line="91" w:lineRule="exact"/>
        <w:rPr>
          <w:sz w:val="20"/>
          <w:szCs w:val="20"/>
          <w:color w:val="auto"/>
        </w:rPr>
      </w:pPr>
    </w:p>
    <w:p>
      <w:pPr>
        <w:ind w:left="964" w:right="80" w:hanging="424"/>
        <w:spacing w:after="0" w:line="263" w:lineRule="auto"/>
        <w:tabs>
          <w:tab w:leader="none" w:pos="9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auditors, governmental regulators, self-regulating organizations and other governmental officials, as appropriate; and</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relation to his or her area of responsibility, properly review and critically analyze proposed disclosure for accuracy and completeness.</w:t>
      </w:r>
    </w:p>
    <w:p>
      <w:pPr>
        <w:spacing w:after="0" w:line="248" w:lineRule="exact"/>
        <w:rPr>
          <w:sz w:val="20"/>
          <w:szCs w:val="20"/>
          <w:color w:val="auto"/>
        </w:rPr>
      </w:pPr>
    </w:p>
    <w:p>
      <w:pPr>
        <w:ind w:left="4" w:right="380" w:firstLine="440"/>
        <w:spacing w:after="0" w:line="311" w:lineRule="auto"/>
        <w:rPr>
          <w:sz w:val="20"/>
          <w:szCs w:val="20"/>
          <w:color w:val="auto"/>
        </w:rPr>
      </w:pPr>
      <w:r>
        <w:rPr>
          <w:rFonts w:ascii="Arial" w:cs="Arial" w:eastAsia="Arial" w:hAnsi="Arial"/>
          <w:sz w:val="16"/>
          <w:szCs w:val="16"/>
          <w:color w:val="auto"/>
        </w:rPr>
        <w:t>In addition to the foregoing, the Chief Executive Officer and Chief Financial Officer of the Company and each subsidiary of the Company (or persons performing similar functions), and each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49"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Each person must promptly bring to the attention of the Chairman of the Audit Committee of the Company’s Board of Directors any information he or she may have concerning (a) significant deficiencies in the design or operation of internal and/or disclosure controls which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316"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p>
    <w:p>
      <w:pPr>
        <w:spacing w:after="0" w:line="121"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It is the Company’s obligation and policy to comply with all applicable governmental laws, rules and regulations. It is the personal responsibility of each person to adhere to the standards and restrictions imposed by those laws, rules and regulations, including those relating to accounting and auditing matters.</w:t>
      </w:r>
    </w:p>
    <w:p>
      <w:pPr>
        <w:spacing w:after="0" w:line="328" w:lineRule="exact"/>
        <w:rPr>
          <w:sz w:val="20"/>
          <w:szCs w:val="20"/>
          <w:color w:val="auto"/>
        </w:rPr>
      </w:pPr>
    </w:p>
    <w:p>
      <w:pPr>
        <w:ind w:left="424" w:hanging="424"/>
        <w:spacing w:after="0"/>
        <w:tabs>
          <w:tab w:leader="none" w:pos="42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and Accountability</w:t>
      </w:r>
    </w:p>
    <w:p>
      <w:pPr>
        <w:spacing w:after="0" w:line="121"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The Audit Committee of the Company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Chairman of the Audit Committee promptly. Failure to do so is itself a breach of this Code.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147" w:name="page148"/>
    <w:bookmarkEnd w:id="14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Specifically, each person must:</w:t>
      </w:r>
    </w:p>
    <w:p>
      <w:pPr>
        <w:spacing w:after="0" w:line="252" w:lineRule="exact"/>
        <w:rPr>
          <w:sz w:val="20"/>
          <w:szCs w:val="20"/>
          <w:color w:val="auto"/>
        </w:rPr>
      </w:pPr>
    </w:p>
    <w:p>
      <w:pPr>
        <w:ind w:left="964" w:hanging="424"/>
        <w:spacing w:after="0"/>
        <w:tabs>
          <w:tab w:leader="none" w:pos="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notify the Chairman promptly of any existing or potential violation of this Code;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 retaliate against any other person for reports of potential violations that are made in good faith.</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will follow the following procedures in investigating and enforcing this Code and in reporting on the Code:</w:t>
      </w:r>
    </w:p>
    <w:p>
      <w:pPr>
        <w:spacing w:after="0" w:line="131" w:lineRule="exact"/>
        <w:rPr>
          <w:sz w:val="20"/>
          <w:szCs w:val="20"/>
          <w:color w:val="auto"/>
        </w:rPr>
      </w:pPr>
    </w:p>
    <w:p>
      <w:pPr>
        <w:ind w:left="964" w:hanging="424"/>
        <w:spacing w:after="0"/>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Audit Committee will take all appropriate action to investigate any breaches reported to it.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Audit Committee determines (by majority decision) that a breach has occurred, it will inform the Board of Directors.</w:t>
      </w:r>
    </w:p>
    <w:p>
      <w:pPr>
        <w:spacing w:after="0" w:line="130" w:lineRule="exact"/>
        <w:rPr>
          <w:rFonts w:ascii="Arial" w:cs="Arial" w:eastAsia="Arial" w:hAnsi="Arial"/>
          <w:sz w:val="18"/>
          <w:szCs w:val="18"/>
          <w:color w:val="auto"/>
        </w:rPr>
      </w:pPr>
    </w:p>
    <w:p>
      <w:pPr>
        <w:ind w:left="964" w:right="240" w:hanging="424"/>
        <w:spacing w:after="0" w:line="286" w:lineRule="auto"/>
        <w:tabs>
          <w:tab w:leader="none" w:pos="964" w:val="left"/>
        </w:tabs>
        <w:numPr>
          <w:ilvl w:val="0"/>
          <w:numId w:val="93"/>
        </w:numPr>
        <w:rPr>
          <w:rFonts w:ascii="Arial" w:cs="Arial" w:eastAsia="Arial" w:hAnsi="Arial"/>
          <w:sz w:val="17"/>
          <w:szCs w:val="17"/>
          <w:color w:val="auto"/>
        </w:rPr>
      </w:pPr>
      <w:r>
        <w:rPr>
          <w:rFonts w:ascii="Arial" w:cs="Arial" w:eastAsia="Arial" w:hAnsi="Arial"/>
          <w:sz w:val="17"/>
          <w:szCs w:val="17"/>
          <w:color w:val="auto"/>
        </w:rPr>
        <w:t>Upon being notified that a breach has occurred, the Board (by majority decision) will take or authorize such disciplinary or preventive action as it deems appropriate, after consultation with the Audit Committee, up to and including dismissal or, in the event of criminal or other serious violations of law, notification of the SEC or other appropriate law enforcement authorities.</w:t>
      </w:r>
    </w:p>
    <w:p>
      <w:pPr>
        <w:spacing w:after="0" w:line="165"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328" w:lineRule="exact"/>
        <w:rPr>
          <w:sz w:val="20"/>
          <w:szCs w:val="20"/>
          <w:color w:val="auto"/>
        </w:rPr>
      </w:pPr>
    </w:p>
    <w:p>
      <w:pPr>
        <w:ind w:left="424" w:hanging="424"/>
        <w:spacing w:after="0"/>
        <w:tabs>
          <w:tab w:leader="none" w:pos="42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Waivers and Amendments</w:t>
      </w:r>
    </w:p>
    <w:p>
      <w:pPr>
        <w:spacing w:after="0" w:line="121" w:lineRule="exact"/>
        <w:rPr>
          <w:sz w:val="20"/>
          <w:szCs w:val="20"/>
          <w:color w:val="auto"/>
        </w:rPr>
      </w:pPr>
    </w:p>
    <w:p>
      <w:pPr>
        <w:jc w:val="both"/>
        <w:ind w:left="4" w:right="40" w:firstLine="440"/>
        <w:spacing w:after="0" w:line="286" w:lineRule="auto"/>
        <w:rPr>
          <w:sz w:val="20"/>
          <w:szCs w:val="20"/>
          <w:color w:val="auto"/>
        </w:rPr>
      </w:pPr>
      <w:r>
        <w:rPr>
          <w:rFonts w:ascii="Arial" w:cs="Arial" w:eastAsia="Arial" w:hAnsi="Arial"/>
          <w:sz w:val="17"/>
          <w:szCs w:val="17"/>
          <w:color w:val="auto"/>
        </w:rPr>
        <w:t>Any waiver (as defined below) or an implicit waiver (as defined below) from a provision of this Code for the principal executive officer, principal financial officer, principal accounting officer or controller, and persons performing similar functions or any amendment (as defined below) to this Code is required to be disclosed in the Company’s Annual Report on Form 10-K or in a Current Report on Form 8-K filed with the SEC.</w:t>
      </w:r>
    </w:p>
    <w:p>
      <w:pPr>
        <w:spacing w:after="0" w:line="5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A “waiver” means the approval by the Company’s Board of Directors of a material departure from a provision of the Code. An “implicit waiver” means the Company’s failure to take action within a reasonable period of time regarding a material departure from a provision of the Code that has been made known to an executive officer of the Company. An “amendment” means any amendment to this Code other than minor technical, administrative or other non-substantive amendments hereto.</w:t>
      </w:r>
    </w:p>
    <w:p>
      <w:pPr>
        <w:spacing w:after="0" w:line="79"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All persons should note that it is not the Company’s intention to grant or to permit waivers from the requirements of this Code. The Company expects full compliance with this Code.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148" w:name="page149"/>
    <w:bookmarkEnd w:id="148"/>
    <w:p>
      <w:pPr>
        <w:ind w:left="424" w:hanging="424"/>
        <w:spacing w:after="0"/>
        <w:tabs>
          <w:tab w:leader="none" w:pos="42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Policies and Procedures</w:t>
      </w:r>
    </w:p>
    <w:p>
      <w:pPr>
        <w:spacing w:after="0" w:line="121"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Any other policy or procedure set out by the Company in writing or made generally known to employees, officers or directors of the Company prior to the date hereof or hereafter are separate requirements and remain in full force and effect.</w:t>
      </w:r>
    </w:p>
    <w:p>
      <w:pPr>
        <w:spacing w:after="0" w:line="315" w:lineRule="exact"/>
        <w:rPr>
          <w:sz w:val="20"/>
          <w:szCs w:val="20"/>
          <w:color w:val="auto"/>
        </w:rPr>
      </w:pPr>
    </w:p>
    <w:p>
      <w:pPr>
        <w:ind w:left="424" w:hanging="424"/>
        <w:spacing w:after="0"/>
        <w:tabs>
          <w:tab w:leader="none" w:pos="42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Inquiries</w:t>
      </w:r>
    </w:p>
    <w:p>
      <w:pPr>
        <w:spacing w:after="0" w:line="121"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All inquiries and questions in relation to this Code or its applicability to particular people or situations should be addressed to the Company’s Chief Financial Officer.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Adopted effective as of March 22, 2021</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0" w:right="4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121" w:right="4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F. Erhard, certify that:</w:t>
      </w:r>
    </w:p>
    <w:p>
      <w:pPr>
        <w:spacing w:after="0" w:line="131" w:lineRule="exact"/>
        <w:rPr>
          <w:sz w:val="20"/>
          <w:szCs w:val="20"/>
          <w:color w:val="auto"/>
        </w:rPr>
      </w:pPr>
    </w:p>
    <w:p>
      <w:pPr>
        <w:ind w:left="960" w:hanging="532"/>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ArcLight Clean Transition Corp. II;</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420" w:right="20" w:hanging="439"/>
        <w:spacing w:after="0" w:line="286" w:lineRule="auto"/>
        <w:tabs>
          <w:tab w:leader="none" w:pos="1420" w:val="left"/>
        </w:tabs>
        <w:numPr>
          <w:ilvl w:val="1"/>
          <w:numId w:val="9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right="80" w:hanging="439"/>
        <w:spacing w:after="0" w:line="263" w:lineRule="auto"/>
        <w:tabs>
          <w:tab w:leader="none" w:pos="14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9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420" w:right="180" w:hanging="439"/>
        <w:spacing w:after="0" w:line="342" w:lineRule="auto"/>
        <w:tabs>
          <w:tab w:leader="none" w:pos="14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60" w:hanging="439"/>
        <w:spacing w:after="0" w:line="277" w:lineRule="auto"/>
        <w:tabs>
          <w:tab w:leader="none" w:pos="14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13"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F. Erhard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Marco F. Gatti, certify that:</w:t>
      </w:r>
    </w:p>
    <w:p>
      <w:pPr>
        <w:spacing w:after="0" w:line="131" w:lineRule="exact"/>
        <w:rPr>
          <w:sz w:val="20"/>
          <w:szCs w:val="20"/>
          <w:color w:val="auto"/>
        </w:rPr>
      </w:pPr>
    </w:p>
    <w:p>
      <w:pPr>
        <w:ind w:left="960" w:hanging="532"/>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ArcLight Clean Transition Corp. II;</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420" w:right="20" w:hanging="439"/>
        <w:spacing w:after="0" w:line="286" w:lineRule="auto"/>
        <w:tabs>
          <w:tab w:leader="none" w:pos="142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right="80" w:hanging="439"/>
        <w:spacing w:after="0" w:line="263" w:lineRule="auto"/>
        <w:tabs>
          <w:tab w:leader="none" w:pos="14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420" w:right="180" w:hanging="439"/>
        <w:spacing w:after="0" w:line="342" w:lineRule="auto"/>
        <w:tabs>
          <w:tab w:leader="none" w:pos="14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60" w:hanging="439"/>
        <w:spacing w:after="0" w:line="277" w:lineRule="auto"/>
        <w:tabs>
          <w:tab w:leader="none" w:pos="14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13"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Marco F. Gatti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In connection with the Annual Report of ArcLight Clean Transition Corp. II (the “Company”) on Form 10-K for the year ended December 31, 2021, as filed with the Securities and Exchange Commission (the “Report”), I, John F. Erhard, President and Chief Executive Officer of the Company, certify, pursuant to 18 U.S.C. §1350, as added by §906 of the Sarbanes-Oxley Act of 2002, that, to the best of my knowledge:</w:t>
      </w:r>
    </w:p>
    <w:p>
      <w:pPr>
        <w:spacing w:after="0" w:line="71" w:lineRule="exact"/>
        <w:rPr>
          <w:sz w:val="20"/>
          <w:szCs w:val="20"/>
          <w:color w:val="auto"/>
        </w:rPr>
      </w:pPr>
    </w:p>
    <w:p>
      <w:pPr>
        <w:ind w:left="960" w:hanging="532"/>
        <w:spacing w:after="0"/>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20"/>
          </w:cols>
          <w:pgMar w:left="440" w:top="121" w:right="4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In connection with the Annual Report of ArcLight Clean Transition Corp. II (the “Company”) on Form 10-K for the year ended December 31, 2021, as filed with the Securities and Exchange Commission (the “Report”), I, Marco Gatti, Chief Financial Officer of the Company, certify, pursuant to 18 U.S.C. §1350, as added by §906 of the Sarbanes-Oxley Act of 2002, that, to the best of my knowledge:</w:t>
      </w:r>
    </w:p>
    <w:p>
      <w:pPr>
        <w:spacing w:after="0" w:line="89" w:lineRule="exact"/>
        <w:rPr>
          <w:sz w:val="20"/>
          <w:szCs w:val="20"/>
          <w:color w:val="auto"/>
        </w:rPr>
      </w:pPr>
    </w:p>
    <w:p>
      <w:pPr>
        <w:ind w:left="960" w:hanging="532"/>
        <w:spacing w:after="0"/>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Marco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Marco Gatti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1)"/>
      <w:numFmt w:val="upperLetter"/>
      <w:start w:val="2"/>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1)"/>
      <w:numFmt w:val="lowerRoman"/>
      <w:start w:val="2"/>
    </w:lvl>
  </w:abstractNum>
  <w:abstractNum w:abstractNumId="20">
    <w:nsid w:val="D34B6A8"/>
    <w:multiLevelType w:val="hybridMultilevel"/>
    <w:lvl w:ilvl="0">
      <w:lvlJc w:val="left"/>
      <w:lvlText w:val="(%1)"/>
      <w:numFmt w:val="lowerRoman"/>
      <w:start w:val="2"/>
    </w:lvl>
  </w:abstractNum>
  <w:abstractNum w:abstractNumId="21">
    <w:nsid w:val="10233C99"/>
    <w:multiLevelType w:val="hybridMultilevel"/>
    <w:lvl w:ilvl="0">
      <w:lvlJc w:val="left"/>
      <w:lvlText w:val="(%1)"/>
      <w:numFmt w:val="lowerRoman"/>
      <w:start w:val="2"/>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1)"/>
      <w:numFmt w:val="upperLetter"/>
      <w:start w:val="1"/>
    </w:lvl>
  </w:abstractNum>
  <w:abstractNum w:abstractNumId="31">
    <w:nsid w:val="1DBABF00"/>
    <w:multiLevelType w:val="hybridMultilevel"/>
    <w:lvl w:ilvl="0">
      <w:lvlJc w:val="left"/>
      <w:lvlText w:val="(%1)"/>
      <w:numFmt w:val="lowerLetter"/>
      <w:start w:val="25"/>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1)"/>
      <w:numFmt w:val="lowerLetter"/>
      <w:start w:val="1"/>
    </w:lvl>
  </w:abstractNum>
  <w:abstractNum w:abstractNumId="38">
    <w:nsid w:val="15014ACB"/>
    <w:multiLevelType w:val="hybridMultilevel"/>
    <w:lvl w:ilvl="0">
      <w:lvlJc w:val="left"/>
      <w:lvlText w:val="(%1)"/>
      <w:numFmt w:val="lowerLetter"/>
      <w:start w:val="2"/>
    </w:lvl>
  </w:abstractNum>
  <w:abstractNum w:abstractNumId="39">
    <w:nsid w:val="5F5E7FD0"/>
    <w:multiLevelType w:val="hybridMultilevel"/>
    <w:lvl w:ilvl="0">
      <w:lvlJc w:val="left"/>
      <w:lvlText w:val="(%1)"/>
      <w:numFmt w:val="lowerLetter"/>
      <w:start w:val="3"/>
    </w:lvl>
  </w:abstractNum>
  <w:abstractNum w:abstractNumId="40">
    <w:nsid w:val="98A3148"/>
    <w:multiLevelType w:val="hybridMultilevel"/>
    <w:lvl w:ilvl="0">
      <w:lvlJc w:val="left"/>
      <w:lvlText w:val="(%1)"/>
      <w:numFmt w:val="lowerLetter"/>
      <w:start w:val="4"/>
    </w:lvl>
  </w:abstractNum>
  <w:abstractNum w:abstractNumId="41">
    <w:nsid w:val="799D0247"/>
    <w:multiLevelType w:val="hybridMultilevel"/>
    <w:lvl w:ilvl="0">
      <w:lvlJc w:val="left"/>
      <w:lvlText w:val="(%1)"/>
      <w:numFmt w:val="lowerLetter"/>
      <w:start w:val="7"/>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lowerLetter"/>
      <w:start w:val="1"/>
    </w:lvl>
    <w:lvl w:ilvl="1">
      <w:lvlJc w:val="left"/>
      <w:lvlText w:val="(%2)"/>
      <w:numFmt w:val="decimal"/>
      <w:start w:val="1"/>
    </w:lvl>
  </w:abstractNum>
  <w:abstractNum w:abstractNumId="53">
    <w:nsid w:val="11447B73"/>
    <w:multiLevelType w:val="hybridMultilevel"/>
    <w:lvl w:ilvl="0">
      <w:lvlJc w:val="left"/>
      <w:lvlText w:val="(%1)"/>
      <w:numFmt w:val="decimal"/>
      <w:start w:val="3"/>
    </w:lvl>
  </w:abstractNum>
  <w:abstractNum w:abstractNumId="54">
    <w:nsid w:val="42963E5A"/>
    <w:multiLevelType w:val="hybridMultilevel"/>
    <w:lvl w:ilvl="0">
      <w:lvlJc w:val="left"/>
      <w:lvlText w:val="%1"/>
      <w:numFmt w:val="decimal"/>
      <w:start w:val="2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upperLetter"/>
      <w:start w:val="3"/>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1)"/>
      <w:numFmt w:val="upperLetter"/>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1)"/>
      <w:numFmt w:val="lowerLetter"/>
      <w:start w:val="2"/>
    </w:lvl>
  </w:abstractNum>
  <w:abstractNum w:abstractNumId="69">
    <w:nsid w:val="6EB5BD4"/>
    <w:multiLevelType w:val="hybridMultilevel"/>
    <w:lvl w:ilvl="0">
      <w:lvlJc w:val="left"/>
      <w:lvlText w:val="(%1)"/>
      <w:numFmt w:val="upperLetter"/>
      <w:start w:val="1"/>
    </w:lvl>
  </w:abstractNum>
  <w:abstractNum w:abstractNumId="70">
    <w:nsid w:val="6F6DD9AC"/>
    <w:multiLevelType w:val="hybridMultilevel"/>
    <w:lvl w:ilvl="0">
      <w:lvlJc w:val="left"/>
      <w:lvlText w:val="(%1)"/>
      <w:numFmt w:val="lowerRoman"/>
      <w:start w:val="4"/>
    </w:lvl>
  </w:abstractNum>
  <w:abstractNum w:abstractNumId="71">
    <w:nsid w:val="94211F2"/>
    <w:multiLevelType w:val="hybridMultilevel"/>
    <w:lvl w:ilvl="0">
      <w:lvlJc w:val="left"/>
      <w:lvlText w:val="(%1)"/>
      <w:numFmt w:val="lowerRoman"/>
      <w:start w:val="1"/>
    </w:lvl>
  </w:abstractNum>
  <w:abstractNum w:abstractNumId="72">
    <w:nsid w:val="885E1B"/>
    <w:multiLevelType w:val="hybridMultilevel"/>
    <w:lvl w:ilvl="0">
      <w:lvlJc w:val="left"/>
      <w:lvlText w:val="(%1)"/>
      <w:numFmt w:val="lowerLetter"/>
      <w:start w:val="5"/>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1)"/>
      <w:numFmt w:val="lowerLetter"/>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1."/>
      <w:numFmt w:val="decimal"/>
      <w:start w:val="2"/>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lvl w:ilvl="1">
      <w:lvlJc w:val="left"/>
      <w:lvlText w:val="•"/>
      <w:numFmt w:val="bullet"/>
      <w:start w:val="1"/>
    </w:lvl>
  </w:abstractNum>
  <w:abstractNum w:abstractNumId="87">
    <w:nsid w:val="60EF0119"/>
    <w:multiLevelType w:val="hybridMultilevel"/>
    <w:lvl w:ilvl="0">
      <w:lvlJc w:val="left"/>
      <w:lvlText w:val="%1."/>
      <w:numFmt w:val="decimal"/>
      <w:start w:val="2"/>
    </w:lvl>
    <w:lvl w:ilvl="1">
      <w:lvlJc w:val="left"/>
      <w:lvlText w:val="•"/>
      <w:numFmt w:val="bullet"/>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1."/>
      <w:numFmt w:val="decimal"/>
      <w:start w:val="4"/>
    </w:lvl>
  </w:abstractNum>
  <w:abstractNum w:abstractNumId="90">
    <w:nsid w:val="49DA307D"/>
    <w:multiLevelType w:val="hybridMultilevel"/>
    <w:lvl w:ilvl="0">
      <w:lvlJc w:val="left"/>
      <w:lvlText w:val="%1."/>
      <w:numFmt w:val="decimal"/>
      <w:start w:val="5"/>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1."/>
      <w:numFmt w:val="decimal"/>
      <w:start w:val="6"/>
    </w:lvl>
  </w:abstractNum>
  <w:abstractNum w:abstractNumId="94">
    <w:nsid w:val="488AC1A"/>
    <w:multiLevelType w:val="hybridMultilevel"/>
    <w:lvl w:ilvl="0">
      <w:lvlJc w:val="left"/>
      <w:lvlText w:val="%1."/>
      <w:numFmt w:val="decimal"/>
      <w:start w:val="7"/>
    </w:lvl>
  </w:abstractNum>
  <w:abstractNum w:abstractNumId="95">
    <w:nsid w:val="5FB8011C"/>
    <w:multiLevelType w:val="hybridMultilevel"/>
    <w:lvl w:ilvl="0">
      <w:lvlJc w:val="left"/>
      <w:lvlText w:val="%1."/>
      <w:numFmt w:val="decimal"/>
      <w:start w:val="8"/>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09" Type="http://schemas.openxmlformats.org/officeDocument/2006/relationships/hyperlink" Target="http://www.sec.gov/Archives/edgar/data/1842279/000119312521347023/d270539dex21.htm" TargetMode="External"/><Relationship Id="rId110" Type="http://schemas.openxmlformats.org/officeDocument/2006/relationships/hyperlink" Target="http://www.sec.gov/Archives/edgar/data/0001842279/000119312521096722/d167128dex31.htm" TargetMode="External"/><Relationship Id="rId111" Type="http://schemas.openxmlformats.org/officeDocument/2006/relationships/hyperlink" Target="http://www.sec.gov/Archives/edgar/data/0001842279/000119312521073580/d118209dex41.htm" TargetMode="External"/><Relationship Id="rId112" Type="http://schemas.openxmlformats.org/officeDocument/2006/relationships/hyperlink" Target="http://www.sec.gov/Archives/edgar/data/0001842279/000119312521073580/d118209dex42.htm" TargetMode="External"/><Relationship Id="rId113" Type="http://schemas.openxmlformats.org/officeDocument/2006/relationships/hyperlink" Target="http://www.sec.gov/Archives/edgar/data/0001842279/000119312521073580/d118209dex43.htm" TargetMode="External"/><Relationship Id="rId114" Type="http://schemas.openxmlformats.org/officeDocument/2006/relationships/hyperlink" Target="http://www.sec.gov/Archives/edgar/data/0001842279/000119312521096722/d167128dex41.htm" TargetMode="External"/><Relationship Id="rId115" Type="http://schemas.openxmlformats.org/officeDocument/2006/relationships/hyperlink" Target="http://www.sec.gov/Archives/edgar/data/0001842279/000119312521347023/d270539dex102.htm" TargetMode="External"/><Relationship Id="rId116" Type="http://schemas.openxmlformats.org/officeDocument/2006/relationships/hyperlink" Target="http://www.sec.gov/Archives/edgar/data/0001842279/000119312521096722/d167128dex105.htm" TargetMode="External"/><Relationship Id="rId117" Type="http://schemas.openxmlformats.org/officeDocument/2006/relationships/hyperlink" Target="http://www.sec.gov/Archives/edgar/data/0001842279/000119312521073580/d118209dex106.htm" TargetMode="External"/><Relationship Id="rId118" Type="http://schemas.openxmlformats.org/officeDocument/2006/relationships/hyperlink" Target="http://www.sec.gov/Archives/edgar/data/0001842279/000119312521073580/d118209dex107.htm" TargetMode="External"/><Relationship Id="rId119" Type="http://schemas.openxmlformats.org/officeDocument/2006/relationships/hyperlink" Target="http://www.sec.gov/Archives/edgar/data/0001842279/000119312521096722/d167128dex104.htm" TargetMode="External"/><Relationship Id="rId120" Type="http://schemas.openxmlformats.org/officeDocument/2006/relationships/hyperlink" Target="http://www.sec.gov/Archives/edgar/data/0001842279/000119312521096722/d167128dex101.htm" TargetMode="External"/><Relationship Id="rId121" Type="http://schemas.openxmlformats.org/officeDocument/2006/relationships/hyperlink" Target="http://www.sec.gov/Archives/edgar/data/0001842279/000119312521096722/d167128dex103.htm" TargetMode="External"/><Relationship Id="rId122" Type="http://schemas.openxmlformats.org/officeDocument/2006/relationships/hyperlink" Target="http://www.sec.gov/Archives/edgar/data/0001842279/000119312521347023/d270539dex101.htm" TargetMode="External"/><Relationship Id="rId123" Type="http://schemas.openxmlformats.org/officeDocument/2006/relationships/hyperlink" Target="http://www.sec.gov/Archives/edgar/data/0001842279/000119312521347023/d27053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2022-03-09T15:56:32Z</dcterms:created>
  <dcterms:modified xsi:type="dcterms:W3CDTF">2022-03-09T15:56:32Z</dcterms:modified>
</cp:coreProperties>
</file>