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SCHEDULE 13D</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1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OPAL Fuels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675640</wp:posOffset>
            </wp:positionH>
            <wp:positionV relativeFrom="paragraph">
              <wp:posOffset>36195</wp:posOffset>
            </wp:positionV>
            <wp:extent cx="54775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77510" cy="17145"/>
                    </a:xfrm>
                    <a:prstGeom prst="rect">
                      <a:avLst/>
                    </a:prstGeom>
                    <a:noFill/>
                  </pic:spPr>
                </pic:pic>
              </a:graphicData>
            </a:graphic>
          </wp:anchor>
        </w:drawing>
      </w:r>
    </w:p>
    <w:p>
      <w:pPr>
        <w:spacing w:after="0" w:line="1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(Name of Issuer)</w:t>
      </w:r>
    </w:p>
    <w:p>
      <w:pPr>
        <w:spacing w:after="0" w:line="2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675640</wp:posOffset>
            </wp:positionH>
            <wp:positionV relativeFrom="paragraph">
              <wp:posOffset>67945</wp:posOffset>
            </wp:positionV>
            <wp:extent cx="54775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77510" cy="17145"/>
                    </a:xfrm>
                    <a:prstGeom prst="rect">
                      <a:avLst/>
                    </a:prstGeom>
                    <a:noFill/>
                  </pic:spPr>
                </pic:pic>
              </a:graphicData>
            </a:graphic>
          </wp:anchor>
        </w:drawing>
      </w:r>
    </w:p>
    <w:p>
      <w:pPr>
        <w:spacing w:after="0" w:line="1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68347P103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675640</wp:posOffset>
            </wp:positionH>
            <wp:positionV relativeFrom="paragraph">
              <wp:posOffset>67945</wp:posOffset>
            </wp:positionV>
            <wp:extent cx="54775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77510" cy="17145"/>
                    </a:xfrm>
                    <a:prstGeom prst="rect">
                      <a:avLst/>
                    </a:prstGeom>
                    <a:noFill/>
                  </pic:spPr>
                </pic:pic>
              </a:graphicData>
            </a:graphic>
          </wp:anchor>
        </w:drawing>
      </w:r>
    </w:p>
    <w:p>
      <w:pPr>
        <w:spacing w:after="0" w:line="1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(CUSIP Number)</w:t>
      </w:r>
    </w:p>
    <w:p>
      <w:pPr>
        <w:spacing w:after="0" w:line="2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Charles E. Sieving, Esq.</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Executive Vice President &amp; General Counsel</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NextEra Energy, Inc.</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700 Universe Boulevard</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Juno Beach, Florida 33408</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(561) 694-4000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675640</wp:posOffset>
            </wp:positionH>
            <wp:positionV relativeFrom="paragraph">
              <wp:posOffset>64770</wp:posOffset>
            </wp:positionV>
            <wp:extent cx="54775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77510" cy="1714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Authorized to Receive Notices and Communication)</w:t>
      </w:r>
    </w:p>
    <w:p>
      <w:pPr>
        <w:spacing w:after="0" w:line="2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675640</wp:posOffset>
            </wp:positionH>
            <wp:positionV relativeFrom="paragraph">
              <wp:posOffset>67945</wp:posOffset>
            </wp:positionV>
            <wp:extent cx="54775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77510" cy="17145"/>
                    </a:xfrm>
                    <a:prstGeom prst="rect">
                      <a:avLst/>
                    </a:prstGeom>
                    <a:noFill/>
                  </pic:spPr>
                </pic:pic>
              </a:graphicData>
            </a:graphic>
          </wp:anchor>
        </w:drawing>
      </w:r>
    </w:p>
    <w:p>
      <w:pPr>
        <w:spacing w:after="0" w:line="1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48" w:lineRule="exact"/>
        <w:rPr>
          <w:sz w:val="24"/>
          <w:szCs w:val="24"/>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If the filing person has previously filed a statement on Schedule 13G to report the acquisition that is the subject of this Schedule 13D, and is filing this schedule because of §§240.13d-1(e), 240.13d-1(f) or 240.13d-1(g), check the following box. [ ]</w:t>
      </w:r>
    </w:p>
    <w:p>
      <w:pPr>
        <w:spacing w:after="0" w:line="183" w:lineRule="exact"/>
        <w:rPr>
          <w:sz w:val="24"/>
          <w:szCs w:val="24"/>
          <w:color w:val="auto"/>
        </w:rPr>
      </w:pPr>
    </w:p>
    <w:p>
      <w:pPr>
        <w:jc w:val="both"/>
        <w:ind w:right="20"/>
        <w:spacing w:after="0" w:line="301" w:lineRule="auto"/>
        <w:rPr>
          <w:sz w:val="20"/>
          <w:szCs w:val="20"/>
          <w:color w:val="auto"/>
        </w:rPr>
      </w:pPr>
      <w:r>
        <w:rPr>
          <w:rFonts w:ascii="Times New Roman" w:cs="Times New Roman" w:eastAsia="Times New Roman" w:hAnsi="Times New Roman"/>
          <w:sz w:val="20"/>
          <w:szCs w:val="20"/>
          <w:i w:val="1"/>
          <w:iCs w:val="1"/>
          <w:color w:val="auto"/>
        </w:rPr>
        <w:t xml:space="preserve">Note. </w:t>
      </w:r>
      <w:r>
        <w:rPr>
          <w:rFonts w:ascii="Times New Roman" w:cs="Times New Roman" w:eastAsia="Times New Roman" w:hAnsi="Times New Roman"/>
          <w:sz w:val="20"/>
          <w:szCs w:val="20"/>
          <w:color w:val="auto"/>
        </w:rPr>
        <w:t>Schedules filed in paper format shall include a signed original and five copies of the schedule, including all exhibits.</w:t>
      </w:r>
      <w:r>
        <w:rPr>
          <w:rFonts w:ascii="Times New Roman" w:cs="Times New Roman" w:eastAsia="Times New Roman" w:hAnsi="Times New Roman"/>
          <w:sz w:val="20"/>
          <w:szCs w:val="20"/>
          <w:i w:val="1"/>
          <w:iCs w:val="1"/>
          <w:color w:val="auto"/>
        </w:rPr>
        <w:t xml:space="preserve"> See </w:t>
      </w:r>
      <w:r>
        <w:rPr>
          <w:rFonts w:ascii="Times New Roman" w:cs="Times New Roman" w:eastAsia="Times New Roman" w:hAnsi="Times New Roman"/>
          <w:sz w:val="20"/>
          <w:szCs w:val="20"/>
          <w:color w:val="auto"/>
        </w:rPr>
        <w:t>Rule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240.13d-7 for other parties to whom copies are to be sent.</w:t>
      </w:r>
    </w:p>
    <w:p>
      <w:pPr>
        <w:spacing w:after="0" w:line="170" w:lineRule="exact"/>
        <w:rPr>
          <w:sz w:val="24"/>
          <w:szCs w:val="24"/>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241300</wp:posOffset>
            </wp:positionV>
            <wp:extent cx="68408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0855" cy="17145"/>
                    </a:xfrm>
                    <a:prstGeom prst="rect">
                      <a:avLst/>
                    </a:prstGeom>
                    <a:noFill/>
                  </pic:spPr>
                </pic:pic>
              </a:graphicData>
            </a:graphic>
          </wp:anchor>
        </w:drawing>
      </w:r>
    </w:p>
    <w:p>
      <w:pPr>
        <w:sectPr>
          <w:pgSz w:w="11900" w:h="16838" w:orient="portrait"/>
          <w:cols w:equalWidth="0" w:num="1">
            <w:col w:w="10780"/>
          </w:cols>
          <w:pgMar w:left="560" w:top="801" w:right="559" w:bottom="1440" w:gutter="0" w:footer="0" w:header="0"/>
        </w:sectPr>
      </w:pPr>
    </w:p>
    <w:bookmarkStart w:id="1" w:name="page2"/>
    <w:bookmarkEnd w:id="1"/>
    <w:p>
      <w:pPr>
        <w:ind w:left="48"/>
        <w:spacing w:after="0"/>
        <w:tabs>
          <w:tab w:leader="none" w:pos="8367" w:val="left"/>
        </w:tabs>
        <w:rPr>
          <w:sz w:val="20"/>
          <w:szCs w:val="20"/>
          <w:color w:val="auto"/>
        </w:rPr>
      </w:pPr>
      <w:r>
        <w:rPr>
          <w:rFonts w:ascii="Times New Roman" w:cs="Times New Roman" w:eastAsia="Times New Roman" w:hAnsi="Times New Roman"/>
          <w:sz w:val="20"/>
          <w:szCs w:val="20"/>
          <w:b w:val="1"/>
          <w:bCs w:val="1"/>
          <w:color w:val="auto"/>
        </w:rPr>
        <w:t>CUSIP No. 68347P103</w:t>
      </w:r>
      <w:r>
        <w:rPr>
          <w:sz w:val="20"/>
          <w:szCs w:val="20"/>
          <w:color w:val="auto"/>
        </w:rPr>
        <w:tab/>
      </w:r>
      <w:r>
        <w:rPr>
          <w:rFonts w:ascii="Times New Roman" w:cs="Times New Roman" w:eastAsia="Times New Roman" w:hAnsi="Times New Roman"/>
          <w:sz w:val="19"/>
          <w:szCs w:val="19"/>
          <w:b w:val="1"/>
          <w:bCs w:val="1"/>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6840855" cy="8049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0855" cy="8049260"/>
                    </a:xfrm>
                    <a:prstGeom prst="rect">
                      <a:avLst/>
                    </a:prstGeom>
                    <a:noFill/>
                  </pic:spPr>
                </pic:pic>
              </a:graphicData>
            </a:graphic>
          </wp:anchor>
        </w:drawing>
      </w:r>
    </w:p>
    <w:p>
      <w:pPr>
        <w:spacing w:after="0" w:line="239" w:lineRule="exact"/>
        <w:rPr>
          <w:sz w:val="20"/>
          <w:szCs w:val="20"/>
          <w:color w:val="auto"/>
        </w:rPr>
      </w:pPr>
    </w:p>
    <w:p>
      <w:pPr>
        <w:ind w:left="908" w:hanging="527"/>
        <w:spacing w:after="0"/>
        <w:tabs>
          <w:tab w:leader="none" w:pos="908"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b w:val="1"/>
          <w:bCs w:val="1"/>
          <w:color w:val="auto"/>
        </w:rPr>
      </w:pPr>
    </w:p>
    <w:p>
      <w:pPr>
        <w:ind w:left="1548"/>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NextEra Energy, Inc.</w:t>
      </w:r>
    </w:p>
    <w:p>
      <w:pPr>
        <w:spacing w:after="0" w:line="236"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680" w:type="dxa"/>
            <w:vAlign w:val="bottom"/>
            <w:tcBorders>
              <w:top w:val="single" w:sz="8" w:color="auto"/>
            </w:tcBorders>
          </w:tcPr>
          <w:p>
            <w:pPr>
              <w:jc w:val="right"/>
              <w:ind w:right="101"/>
              <w:spacing w:after="0" w:line="216" w:lineRule="exact"/>
              <w:rPr>
                <w:sz w:val="20"/>
                <w:szCs w:val="20"/>
                <w:color w:val="auto"/>
              </w:rPr>
            </w:pPr>
            <w:r>
              <w:rPr>
                <w:rFonts w:ascii="Times New Roman" w:cs="Times New Roman" w:eastAsia="Times New Roman" w:hAnsi="Times New Roman"/>
                <w:sz w:val="20"/>
                <w:szCs w:val="20"/>
                <w:b w:val="1"/>
                <w:bCs w:val="1"/>
                <w:color w:val="auto"/>
              </w:rPr>
              <w:t>2</w:t>
            </w:r>
          </w:p>
        </w:tc>
        <w:tc>
          <w:tcPr>
            <w:tcW w:w="7420" w:type="dxa"/>
            <w:vAlign w:val="bottom"/>
            <w:tcBorders>
              <w:top w:val="single" w:sz="8" w:color="auto"/>
            </w:tcBorders>
          </w:tcPr>
          <w:p>
            <w:pPr>
              <w:ind w:left="220"/>
              <w:spacing w:after="0" w:line="216" w:lineRule="exact"/>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2680" w:type="dxa"/>
            <w:vAlign w:val="bottom"/>
            <w:tcBorders>
              <w:top w:val="single" w:sz="8" w:color="auto"/>
            </w:tcBorders>
          </w:tcPr>
          <w:p>
            <w:pPr>
              <w:ind w:left="1720"/>
              <w:spacing w:after="0" w:line="216"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0"/>
                <w:szCs w:val="20"/>
                <w:color w:val="auto"/>
              </w:rPr>
              <w:t>☐</w:t>
            </w:r>
          </w:p>
        </w:tc>
      </w:tr>
      <w:tr>
        <w:trPr>
          <w:trHeight w:val="334"/>
        </w:trPr>
        <w:tc>
          <w:tcPr>
            <w:tcW w:w="6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680" w:type="dxa"/>
            <w:vAlign w:val="bottom"/>
          </w:tcPr>
          <w:p>
            <w:pPr>
              <w:ind w:left="1720"/>
              <w:spacing w:after="0" w:line="230"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0"/>
                <w:szCs w:val="20"/>
                <w:color w:val="auto"/>
              </w:rPr>
              <w:t>☐</w:t>
            </w:r>
          </w:p>
        </w:tc>
      </w:tr>
    </w:tbl>
    <w:p>
      <w:pPr>
        <w:spacing w:after="0" w:line="197" w:lineRule="exact"/>
        <w:rPr>
          <w:sz w:val="20"/>
          <w:szCs w:val="20"/>
          <w:color w:val="auto"/>
        </w:rPr>
      </w:pPr>
    </w:p>
    <w:p>
      <w:pPr>
        <w:ind w:left="908" w:hanging="527"/>
        <w:spacing w:after="0"/>
        <w:tabs>
          <w:tab w:leader="none" w:pos="908"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SEC USE ONLY</w:t>
      </w:r>
    </w:p>
    <w:p>
      <w:pPr>
        <w:spacing w:after="0" w:line="256" w:lineRule="exact"/>
        <w:rPr>
          <w:sz w:val="20"/>
          <w:szCs w:val="20"/>
          <w:color w:val="auto"/>
        </w:rPr>
      </w:pPr>
    </w:p>
    <w:p>
      <w:pPr>
        <w:ind w:left="908" w:hanging="552"/>
        <w:spacing w:after="0"/>
        <w:tabs>
          <w:tab w:leader="none" w:pos="908"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SOURCE OF FUNDS (See Instructions)</w:t>
      </w:r>
    </w:p>
    <w:p>
      <w:pPr>
        <w:spacing w:after="0" w:line="225" w:lineRule="exact"/>
        <w:rPr>
          <w:rFonts w:ascii="Times New Roman" w:cs="Times New Roman" w:eastAsia="Times New Roman" w:hAnsi="Times New Roman"/>
          <w:sz w:val="20"/>
          <w:szCs w:val="20"/>
          <w:b w:val="1"/>
          <w:bCs w:val="1"/>
          <w:color w:val="auto"/>
        </w:rPr>
      </w:pPr>
    </w:p>
    <w:p>
      <w:pPr>
        <w:ind w:left="1508"/>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WC</w:t>
      </w:r>
    </w:p>
    <w:p>
      <w:pPr>
        <w:spacing w:after="0" w:line="236"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640" w:type="dxa"/>
            <w:vAlign w:val="bottom"/>
            <w:tcBorders>
              <w:top w:val="single" w:sz="8" w:color="auto"/>
            </w:tcBorders>
            <w:vMerge w:val="restart"/>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5</w:t>
            </w:r>
          </w:p>
        </w:tc>
        <w:tc>
          <w:tcPr>
            <w:tcW w:w="90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CHECK IF DISCLOSURE OF LEGAL PROCEEDINGS IS REQUIRED PURSUANT TO ITEMS 2(d) OR</w:t>
            </w:r>
          </w:p>
        </w:tc>
        <w:tc>
          <w:tcPr>
            <w:tcW w:w="1100" w:type="dxa"/>
            <w:vAlign w:val="bottom"/>
            <w:tcBorders>
              <w:top w:val="single" w:sz="8" w:color="auto"/>
            </w:tcBorders>
            <w:vMerge w:val="restart"/>
          </w:tcPr>
          <w:p>
            <w:pPr>
              <w:ind w:left="18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180"/>
        </w:trPr>
        <w:tc>
          <w:tcPr>
            <w:tcW w:w="640" w:type="dxa"/>
            <w:vAlign w:val="bottom"/>
            <w:vMerge w:val="continue"/>
          </w:tcPr>
          <w:p>
            <w:pPr>
              <w:spacing w:after="0"/>
              <w:rPr>
                <w:sz w:val="15"/>
                <w:szCs w:val="15"/>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2(e)</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640" w:type="dxa"/>
            <w:vAlign w:val="bottom"/>
          </w:tcPr>
          <w:p>
            <w:pPr>
              <w:spacing w:after="0"/>
              <w:rPr>
                <w:sz w:val="6"/>
                <w:szCs w:val="6"/>
                <w:color w:val="auto"/>
              </w:rPr>
            </w:pPr>
          </w:p>
        </w:tc>
        <w:tc>
          <w:tcPr>
            <w:tcW w:w="9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left="908" w:hanging="527"/>
        <w:spacing w:after="0"/>
        <w:tabs>
          <w:tab w:leader="none" w:pos="908"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CITIZENSHIP OR PLACE OF ORGANIZATION</w:t>
      </w:r>
    </w:p>
    <w:p>
      <w:pPr>
        <w:spacing w:after="0" w:line="220" w:lineRule="exact"/>
        <w:rPr>
          <w:rFonts w:ascii="Times New Roman" w:cs="Times New Roman" w:eastAsia="Times New Roman" w:hAnsi="Times New Roman"/>
          <w:sz w:val="20"/>
          <w:szCs w:val="20"/>
          <w:b w:val="1"/>
          <w:bCs w:val="1"/>
          <w:color w:val="auto"/>
        </w:rPr>
      </w:pPr>
    </w:p>
    <w:p>
      <w:pPr>
        <w:ind w:left="1508"/>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Florida</w:t>
      </w:r>
    </w:p>
    <w:p>
      <w:pPr>
        <w:spacing w:after="0" w:line="251" w:lineRule="exact"/>
        <w:rPr>
          <w:rFonts w:ascii="Times New Roman" w:cs="Times New Roman" w:eastAsia="Times New Roman" w:hAnsi="Times New Roman"/>
          <w:sz w:val="20"/>
          <w:szCs w:val="20"/>
          <w:b w:val="1"/>
          <w:bCs w:val="1"/>
          <w:color w:val="auto"/>
        </w:rPr>
      </w:pPr>
    </w:p>
    <w:p>
      <w:pPr>
        <w:ind w:left="2288"/>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7</w:t>
      </w:r>
      <w:r>
        <w:rPr>
          <w:rFonts w:ascii="Times New Roman" w:cs="Times New Roman" w:eastAsia="Times New Roman" w:hAnsi="Times New Roman"/>
          <w:sz w:val="19"/>
          <w:szCs w:val="19"/>
          <w:color w:val="auto"/>
        </w:rPr>
        <w:t>SOLE VOTING POWER</w:t>
      </w:r>
    </w:p>
    <w:p>
      <w:pPr>
        <w:spacing w:after="0" w:line="224" w:lineRule="exact"/>
        <w:rPr>
          <w:rFonts w:ascii="Times New Roman" w:cs="Times New Roman" w:eastAsia="Times New Roman" w:hAnsi="Times New Roman"/>
          <w:sz w:val="20"/>
          <w:szCs w:val="20"/>
          <w:b w:val="1"/>
          <w:bCs w:val="1"/>
          <w:color w:val="auto"/>
        </w:rPr>
      </w:pPr>
    </w:p>
    <w:p>
      <w:pPr>
        <w:ind w:left="3188"/>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-0-</w:t>
      </w:r>
    </w:p>
    <w:p>
      <w:pPr>
        <w:spacing w:after="0" w:line="231" w:lineRule="exact"/>
        <w:rPr>
          <w:sz w:val="20"/>
          <w:szCs w:val="20"/>
          <w:color w:val="auto"/>
        </w:rPr>
      </w:pPr>
    </w:p>
    <w:tbl>
      <w:tblPr>
        <w:tblLayout w:type="fixed"/>
        <w:tblInd w:w="8" w:type="dxa"/>
        <w:tblCellMar>
          <w:top w:w="0" w:type="dxa"/>
          <w:left w:w="0" w:type="dxa"/>
          <w:bottom w:w="0" w:type="dxa"/>
          <w:right w:w="0" w:type="dxa"/>
        </w:tblCellMar>
      </w:tblPr>
      <w:tr>
        <w:trPr>
          <w:trHeight w:val="289"/>
        </w:trPr>
        <w:tc>
          <w:tcPr>
            <w:tcW w:w="19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240" w:type="dxa"/>
            <w:vAlign w:val="bottom"/>
            <w:tcBorders>
              <w:top w:val="single" w:sz="8" w:color="auto"/>
            </w:tcBorders>
            <w:gridSpan w:val="2"/>
            <w:vMerge w:val="restart"/>
          </w:tcPr>
          <w:p>
            <w:pPr>
              <w:spacing w:after="0"/>
              <w:rPr>
                <w:sz w:val="24"/>
                <w:szCs w:val="24"/>
                <w:color w:val="auto"/>
              </w:rPr>
            </w:pPr>
          </w:p>
        </w:tc>
        <w:tc>
          <w:tcPr>
            <w:tcW w:w="40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8</w:t>
            </w:r>
          </w:p>
        </w:tc>
        <w:tc>
          <w:tcPr>
            <w:tcW w:w="100" w:type="dxa"/>
            <w:vAlign w:val="bottom"/>
            <w:tcBorders>
              <w:top w:val="single" w:sz="8" w:color="auto"/>
            </w:tcBorders>
          </w:tcPr>
          <w:p>
            <w:pPr>
              <w:spacing w:after="0"/>
              <w:rPr>
                <w:sz w:val="24"/>
                <w:szCs w:val="24"/>
                <w:color w:val="auto"/>
              </w:rPr>
            </w:pPr>
          </w:p>
        </w:tc>
        <w:tc>
          <w:tcPr>
            <w:tcW w:w="65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SHARED VOTING POWER</w:t>
            </w: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960" w:type="dxa"/>
            <w:vAlign w:val="bottom"/>
            <w:gridSpan w:val="4"/>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9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1640" w:type="dxa"/>
            <w:vAlign w:val="bottom"/>
            <w:gridSpan w:val="5"/>
          </w:tcPr>
          <w:p>
            <w:pPr>
              <w:jc w:val="center"/>
              <w:ind w:right="760"/>
              <w:spacing w:after="0"/>
              <w:rPr>
                <w:sz w:val="20"/>
                <w:szCs w:val="20"/>
                <w:color w:val="auto"/>
              </w:rPr>
            </w:pPr>
            <w:r>
              <w:rPr>
                <w:rFonts w:ascii="Times New Roman" w:cs="Times New Roman" w:eastAsia="Times New Roman" w:hAnsi="Times New Roman"/>
                <w:sz w:val="20"/>
                <w:szCs w:val="20"/>
                <w:color w:val="auto"/>
                <w:w w:val="99"/>
              </w:rPr>
              <w:t>SHARES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w w:val="96"/>
              </w:rPr>
              <w:t>2,158,547</w:t>
            </w:r>
            <w:r>
              <w:rPr>
                <w:rFonts w:ascii="Times New Roman" w:cs="Times New Roman" w:eastAsia="Times New Roman" w:hAnsi="Times New Roman"/>
                <w:sz w:val="22"/>
                <w:szCs w:val="22"/>
                <w:b w:val="1"/>
                <w:bCs w:val="1"/>
                <w:color w:val="0000EE"/>
                <w:w w:val="96"/>
              </w:rPr>
              <w:t>(1)</w:t>
            </w:r>
          </w:p>
        </w:tc>
        <w:tc>
          <w:tcPr>
            <w:tcW w:w="4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200" w:type="dxa"/>
            <w:vAlign w:val="bottom"/>
            <w:gridSpan w:val="6"/>
            <w:vMerge w:val="restart"/>
          </w:tcPr>
          <w:p>
            <w:pPr>
              <w:jc w:val="center"/>
              <w:ind w:right="200"/>
              <w:spacing w:after="0"/>
              <w:rPr>
                <w:sz w:val="20"/>
                <w:szCs w:val="20"/>
                <w:color w:val="auto"/>
              </w:rPr>
            </w:pPr>
            <w:r>
              <w:rPr>
                <w:rFonts w:ascii="Times New Roman" w:cs="Times New Roman" w:eastAsia="Times New Roman" w:hAnsi="Times New Roman"/>
                <w:sz w:val="20"/>
                <w:szCs w:val="20"/>
                <w:color w:val="auto"/>
                <w:w w:val="97"/>
              </w:rPr>
              <w:t>BENEFICIALLY</w:t>
            </w: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49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200" w:type="dxa"/>
            <w:vAlign w:val="bottom"/>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49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9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9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96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9</w:t>
            </w:r>
          </w:p>
        </w:tc>
        <w:tc>
          <w:tcPr>
            <w:tcW w:w="100" w:type="dxa"/>
            <w:vAlign w:val="bottom"/>
          </w:tcPr>
          <w:p>
            <w:pPr>
              <w:spacing w:after="0"/>
              <w:rPr>
                <w:sz w:val="6"/>
                <w:szCs w:val="6"/>
                <w:color w:val="auto"/>
              </w:rPr>
            </w:pPr>
          </w:p>
        </w:tc>
        <w:tc>
          <w:tcPr>
            <w:tcW w:w="658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auto"/>
              </w:rPr>
              <w:t>SOLE DISPOSITIVE POWER</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200" w:type="dxa"/>
            <w:vAlign w:val="bottom"/>
            <w:gridSpan w:val="6"/>
            <w:vMerge w:val="restart"/>
          </w:tcPr>
          <w:p>
            <w:pPr>
              <w:jc w:val="center"/>
              <w:ind w:right="220"/>
              <w:spacing w:after="0"/>
              <w:rPr>
                <w:sz w:val="20"/>
                <w:szCs w:val="20"/>
                <w:color w:val="auto"/>
              </w:rPr>
            </w:pPr>
            <w:r>
              <w:rPr>
                <w:rFonts w:ascii="Times New Roman" w:cs="Times New Roman" w:eastAsia="Times New Roman" w:hAnsi="Times New Roman"/>
                <w:sz w:val="20"/>
                <w:szCs w:val="20"/>
                <w:color w:val="auto"/>
                <w:w w:val="99"/>
              </w:rPr>
              <w:t>EACH REPORTING</w:t>
            </w:r>
          </w:p>
        </w:tc>
        <w:tc>
          <w:tcPr>
            <w:tcW w:w="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580" w:type="dxa"/>
            <w:vAlign w:val="bottom"/>
            <w:gridSpan w:val="3"/>
            <w:vMerge w:val="continue"/>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200" w:type="dxa"/>
            <w:vAlign w:val="bottom"/>
            <w:gridSpan w:val="6"/>
            <w:vMerge w:val="continue"/>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9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8"/>
        </w:trPr>
        <w:tc>
          <w:tcPr>
            <w:tcW w:w="2200" w:type="dxa"/>
            <w:vAlign w:val="bottom"/>
            <w:gridSpan w:val="6"/>
          </w:tcPr>
          <w:p>
            <w:pPr>
              <w:jc w:val="center"/>
              <w:ind w:right="220"/>
              <w:spacing w:after="0"/>
              <w:rPr>
                <w:sz w:val="20"/>
                <w:szCs w:val="20"/>
                <w:color w:val="auto"/>
              </w:rPr>
            </w:pPr>
            <w:r>
              <w:rPr>
                <w:rFonts w:ascii="Times New Roman" w:cs="Times New Roman" w:eastAsia="Times New Roman" w:hAnsi="Times New Roman"/>
                <w:sz w:val="20"/>
                <w:szCs w:val="20"/>
                <w:color w:val="auto"/>
              </w:rPr>
              <w:t>PERSON WITH</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-0-</w:t>
            </w:r>
          </w:p>
        </w:tc>
        <w:tc>
          <w:tcPr>
            <w:tcW w:w="26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9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10</w:t>
            </w:r>
          </w:p>
        </w:tc>
        <w:tc>
          <w:tcPr>
            <w:tcW w:w="100" w:type="dxa"/>
            <w:vAlign w:val="bottom"/>
          </w:tcPr>
          <w:p>
            <w:pPr>
              <w:spacing w:after="0"/>
              <w:rPr>
                <w:sz w:val="22"/>
                <w:szCs w:val="22"/>
                <w:color w:val="auto"/>
              </w:rPr>
            </w:pPr>
          </w:p>
        </w:tc>
        <w:tc>
          <w:tcPr>
            <w:tcW w:w="658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ind w:left="480"/>
              <w:spacing w:after="0"/>
              <w:rPr>
                <w:sz w:val="20"/>
                <w:szCs w:val="20"/>
                <w:color w:val="auto"/>
              </w:rPr>
            </w:pPr>
            <w:r>
              <w:rPr>
                <w:rFonts w:ascii="Times New Roman" w:cs="Times New Roman" w:eastAsia="Times New Roman" w:hAnsi="Times New Roman"/>
                <w:sz w:val="22"/>
                <w:szCs w:val="22"/>
                <w:b w:val="1"/>
                <w:bCs w:val="1"/>
                <w:color w:val="auto"/>
                <w:w w:val="96"/>
              </w:rPr>
              <w:t>2,158,547</w:t>
            </w:r>
            <w:r>
              <w:rPr>
                <w:rFonts w:ascii="Times New Roman" w:cs="Times New Roman" w:eastAsia="Times New Roman" w:hAnsi="Times New Roman"/>
                <w:sz w:val="22"/>
                <w:szCs w:val="22"/>
                <w:b w:val="1"/>
                <w:bCs w:val="1"/>
                <w:color w:val="0000EE"/>
                <w:w w:val="96"/>
              </w:rPr>
              <w:t>(1)</w:t>
            </w:r>
          </w:p>
        </w:tc>
        <w:tc>
          <w:tcPr>
            <w:tcW w:w="4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60" w:type="dxa"/>
            <w:vAlign w:val="bottom"/>
            <w:tcBorders>
              <w:top w:val="single" w:sz="8" w:color="0000EE"/>
              <w:bottom w:val="single" w:sz="8" w:color="auto"/>
            </w:tcBorders>
          </w:tcPr>
          <w:p>
            <w:pPr>
              <w:spacing w:after="0"/>
              <w:rPr>
                <w:sz w:val="22"/>
                <w:szCs w:val="22"/>
                <w:color w:val="auto"/>
              </w:rPr>
            </w:pPr>
          </w:p>
        </w:tc>
        <w:tc>
          <w:tcPr>
            <w:tcW w:w="49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00" w:type="dxa"/>
            <w:vAlign w:val="bottom"/>
            <w:tcBorders>
              <w:right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11</w:t>
            </w:r>
          </w:p>
        </w:tc>
        <w:tc>
          <w:tcPr>
            <w:tcW w:w="848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5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00" w:type="dxa"/>
            <w:vAlign w:val="bottom"/>
            <w:gridSpan w:val="7"/>
          </w:tcPr>
          <w:p>
            <w:pPr>
              <w:ind w:left="700"/>
              <w:spacing w:after="0"/>
              <w:rPr>
                <w:sz w:val="20"/>
                <w:szCs w:val="20"/>
                <w:color w:val="auto"/>
              </w:rPr>
            </w:pPr>
            <w:r>
              <w:rPr>
                <w:rFonts w:ascii="Times New Roman" w:cs="Times New Roman" w:eastAsia="Times New Roman" w:hAnsi="Times New Roman"/>
                <w:sz w:val="22"/>
                <w:szCs w:val="22"/>
                <w:b w:val="1"/>
                <w:bCs w:val="1"/>
                <w:color w:val="auto"/>
              </w:rPr>
              <w:t>2,158,547</w:t>
            </w:r>
            <w:r>
              <w:rPr>
                <w:rFonts w:ascii="Times New Roman" w:cs="Times New Roman" w:eastAsia="Times New Roman" w:hAnsi="Times New Roman"/>
                <w:sz w:val="22"/>
                <w:szCs w:val="22"/>
                <w:b w:val="1"/>
                <w:bCs w:val="1"/>
                <w:color w:val="0000EE"/>
              </w:rPr>
              <w:t>(1)</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0" w:type="dxa"/>
            <w:vAlign w:val="bottom"/>
            <w:tcBorders>
              <w:top w:val="single" w:sz="8" w:color="0000EE"/>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9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12</w:t>
            </w:r>
          </w:p>
        </w:tc>
        <w:tc>
          <w:tcPr>
            <w:tcW w:w="240" w:type="dxa"/>
            <w:vAlign w:val="bottom"/>
            <w:tcBorders>
              <w:right w:val="single" w:sz="8" w:color="auto"/>
            </w:tcBorders>
          </w:tcPr>
          <w:p>
            <w:pPr>
              <w:spacing w:after="0"/>
              <w:rPr>
                <w:sz w:val="17"/>
                <w:szCs w:val="17"/>
                <w:color w:val="auto"/>
              </w:rPr>
            </w:pPr>
          </w:p>
        </w:tc>
        <w:tc>
          <w:tcPr>
            <w:tcW w:w="8480" w:type="dxa"/>
            <w:vAlign w:val="bottom"/>
            <w:gridSpan w:val="10"/>
          </w:tcPr>
          <w:p>
            <w:pPr>
              <w:ind w:left="100"/>
              <w:spacing w:after="0" w:line="207" w:lineRule="exact"/>
              <w:rPr>
                <w:sz w:val="20"/>
                <w:szCs w:val="20"/>
                <w:color w:val="auto"/>
              </w:rPr>
            </w:pPr>
            <w:r>
              <w:rPr>
                <w:rFonts w:ascii="Times New Roman" w:cs="Times New Roman" w:eastAsia="Times New Roman" w:hAnsi="Times New Roman"/>
                <w:sz w:val="20"/>
                <w:szCs w:val="20"/>
                <w:color w:val="auto"/>
              </w:rPr>
              <w:t>CHECK IF THE AGGREGATE AMOUNT IN ROW (11) EXCLUDES CERTAIN SHARES (See</w:t>
            </w:r>
          </w:p>
        </w:tc>
        <w:tc>
          <w:tcPr>
            <w:tcW w:w="1500" w:type="dxa"/>
            <w:vAlign w:val="bottom"/>
            <w:vMerge w:val="restart"/>
          </w:tcPr>
          <w:p>
            <w:pPr>
              <w:ind w:left="58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180"/>
        </w:trPr>
        <w:tc>
          <w:tcPr>
            <w:tcW w:w="560" w:type="dxa"/>
            <w:vAlign w:val="bottom"/>
            <w:vMerge w:val="continue"/>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0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auto"/>
              </w:rPr>
              <w:t>Instructions)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56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9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0"/>
        </w:trPr>
        <w:tc>
          <w:tcPr>
            <w:tcW w:w="800" w:type="dxa"/>
            <w:vAlign w:val="bottom"/>
            <w:tcBorders>
              <w:bottom w:val="single" w:sz="8" w:color="auto"/>
              <w:right w:val="single" w:sz="8" w:color="auto"/>
            </w:tcBorders>
            <w:gridSpan w:val="2"/>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gridSpan w:val="2"/>
          </w:tcPr>
          <w:p>
            <w:pPr>
              <w:spacing w:after="0"/>
              <w:rPr>
                <w:sz w:val="24"/>
                <w:szCs w:val="24"/>
                <w:color w:val="auto"/>
              </w:rPr>
            </w:pPr>
          </w:p>
        </w:tc>
        <w:tc>
          <w:tcPr>
            <w:tcW w:w="2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00" w:type="dxa"/>
            <w:vAlign w:val="bottom"/>
            <w:tcBorders>
              <w:right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13</w:t>
            </w:r>
          </w:p>
        </w:tc>
        <w:tc>
          <w:tcPr>
            <w:tcW w:w="848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6"/>
        </w:trPr>
        <w:tc>
          <w:tcPr>
            <w:tcW w:w="5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400" w:type="dxa"/>
            <w:vAlign w:val="bottom"/>
            <w:gridSpan w:val="4"/>
          </w:tcPr>
          <w:p>
            <w:pPr>
              <w:ind w:left="700"/>
              <w:spacing w:after="0"/>
              <w:rPr>
                <w:sz w:val="20"/>
                <w:szCs w:val="20"/>
                <w:color w:val="auto"/>
              </w:rPr>
            </w:pPr>
            <w:r>
              <w:rPr>
                <w:rFonts w:ascii="Times New Roman" w:cs="Times New Roman" w:eastAsia="Times New Roman" w:hAnsi="Times New Roman"/>
                <w:sz w:val="20"/>
                <w:szCs w:val="20"/>
                <w:b w:val="1"/>
                <w:bCs w:val="1"/>
                <w:color w:val="auto"/>
                <w:w w:val="99"/>
              </w:rPr>
              <w:t>7.7%</w:t>
            </w:r>
            <w:r>
              <w:rPr>
                <w:rFonts w:ascii="Times New Roman" w:cs="Times New Roman" w:eastAsia="Times New Roman" w:hAnsi="Times New Roman"/>
                <w:sz w:val="20"/>
                <w:szCs w:val="20"/>
                <w:b w:val="1"/>
                <w:bCs w:val="1"/>
                <w:color w:val="0000EE"/>
                <w:w w:val="99"/>
              </w:rPr>
              <w:t>(2)</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200" w:type="dxa"/>
            <w:vAlign w:val="bottom"/>
            <w:tcBorders>
              <w:top w:val="single" w:sz="8" w:color="0000EE"/>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9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00" w:type="dxa"/>
            <w:vAlign w:val="bottom"/>
            <w:tcBorders>
              <w:right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14</w:t>
            </w:r>
          </w:p>
        </w:tc>
        <w:tc>
          <w:tcPr>
            <w:tcW w:w="848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TYPE OF REPORTING PERSON (See Instructions)</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400" w:type="dxa"/>
            <w:vAlign w:val="bottom"/>
            <w:gridSpan w:val="4"/>
          </w:tcPr>
          <w:p>
            <w:pPr>
              <w:ind w:left="700"/>
              <w:spacing w:after="0"/>
              <w:rPr>
                <w:sz w:val="20"/>
                <w:szCs w:val="20"/>
                <w:color w:val="auto"/>
              </w:rPr>
            </w:pPr>
            <w:r>
              <w:rPr>
                <w:rFonts w:ascii="Times New Roman" w:cs="Times New Roman" w:eastAsia="Times New Roman" w:hAnsi="Times New Roman"/>
                <w:sz w:val="20"/>
                <w:szCs w:val="20"/>
                <w:b w:val="1"/>
                <w:bCs w:val="1"/>
                <w:color w:val="auto"/>
              </w:rPr>
              <w:t>HC</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868" w:right="20" w:hanging="868"/>
        <w:spacing w:after="0" w:line="266" w:lineRule="auto"/>
        <w:tabs>
          <w:tab w:leader="none" w:pos="8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2,158,547 shares of Class A common stock, par value $0.0001 per share (“Class A Common Stock”), owned by Mendocino Capital, LLC, a wholly owned subsidiary of NextEra Energy, Inc., a publicly traded company with its common stock listed on the New York Stock Exchange under the symbol “NEE”.</w:t>
      </w:r>
    </w:p>
    <w:p>
      <w:pPr>
        <w:spacing w:after="0" w:line="189" w:lineRule="exact"/>
        <w:rPr>
          <w:sz w:val="20"/>
          <w:szCs w:val="20"/>
          <w:color w:val="auto"/>
        </w:rPr>
      </w:pPr>
    </w:p>
    <w:p>
      <w:pPr>
        <w:jc w:val="both"/>
        <w:ind w:left="868" w:right="20" w:hanging="868"/>
        <w:spacing w:after="0" w:line="266" w:lineRule="auto"/>
        <w:tabs>
          <w:tab w:leader="none" w:pos="8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used herein and in the rest of this Schedule 13D is calculated calculated based upon 27,975,260 shares of the Issuer’s Class A Common Stock outstanding as of November 11, 2023, as disclosed in the Issuer’s Quarterly Report on Form 10-Q filed with the Securities and Exchange Commission on November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68408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40855" cy="17145"/>
                    </a:xfrm>
                    <a:prstGeom prst="rect">
                      <a:avLst/>
                    </a:prstGeom>
                    <a:noFill/>
                  </pic:spPr>
                </pic:pic>
              </a:graphicData>
            </a:graphic>
          </wp:anchor>
        </w:drawing>
      </w:r>
    </w:p>
    <w:p>
      <w:pPr>
        <w:sectPr>
          <w:pgSz w:w="11900" w:h="16838" w:orient="portrait"/>
          <w:cols w:equalWidth="0" w:num="1">
            <w:col w:w="10788"/>
          </w:cols>
          <w:pgMar w:left="552" w:top="114" w:right="559" w:bottom="1440" w:gutter="0" w:footer="0" w:header="0"/>
        </w:sectPr>
      </w:pPr>
    </w:p>
    <w:bookmarkStart w:id="2" w:name="page3"/>
    <w:bookmarkEnd w:id="2"/>
    <w:p>
      <w:pPr>
        <w:ind w:left="48"/>
        <w:spacing w:after="0"/>
        <w:tabs>
          <w:tab w:leader="none" w:pos="8367" w:val="left"/>
        </w:tabs>
        <w:rPr>
          <w:sz w:val="20"/>
          <w:szCs w:val="20"/>
          <w:color w:val="auto"/>
        </w:rPr>
      </w:pPr>
      <w:r>
        <w:rPr>
          <w:rFonts w:ascii="Times New Roman" w:cs="Times New Roman" w:eastAsia="Times New Roman" w:hAnsi="Times New Roman"/>
          <w:sz w:val="20"/>
          <w:szCs w:val="20"/>
          <w:b w:val="1"/>
          <w:bCs w:val="1"/>
          <w:color w:val="auto"/>
        </w:rPr>
        <w:t>CUSIP No. 68347P103</w:t>
      </w:r>
      <w:r>
        <w:rPr>
          <w:sz w:val="20"/>
          <w:szCs w:val="20"/>
          <w:color w:val="auto"/>
        </w:rPr>
        <w:tab/>
      </w:r>
      <w:r>
        <w:rPr>
          <w:rFonts w:ascii="Times New Roman" w:cs="Times New Roman" w:eastAsia="Times New Roman" w:hAnsi="Times New Roman"/>
          <w:sz w:val="19"/>
          <w:szCs w:val="19"/>
          <w:b w:val="1"/>
          <w:bCs w:val="1"/>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170815</wp:posOffset>
            </wp:positionV>
            <wp:extent cx="6840855" cy="8049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0855" cy="8049260"/>
                    </a:xfrm>
                    <a:prstGeom prst="rect">
                      <a:avLst/>
                    </a:prstGeom>
                    <a:noFill/>
                  </pic:spPr>
                </pic:pic>
              </a:graphicData>
            </a:graphic>
          </wp:anchor>
        </w:drawing>
      </w:r>
    </w:p>
    <w:p>
      <w:pPr>
        <w:spacing w:after="0" w:line="253" w:lineRule="exact"/>
        <w:rPr>
          <w:sz w:val="20"/>
          <w:szCs w:val="20"/>
          <w:color w:val="auto"/>
        </w:rPr>
      </w:pPr>
    </w:p>
    <w:p>
      <w:pPr>
        <w:ind w:left="908" w:hanging="527"/>
        <w:spacing w:after="0"/>
        <w:tabs>
          <w:tab w:leader="none" w:pos="908"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b w:val="1"/>
          <w:bCs w:val="1"/>
          <w:color w:val="auto"/>
        </w:rPr>
      </w:pPr>
    </w:p>
    <w:p>
      <w:pPr>
        <w:ind w:left="1548"/>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Mendocino Capital, LLC</w:t>
      </w:r>
    </w:p>
    <w:p>
      <w:pPr>
        <w:spacing w:after="0" w:line="236"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680" w:type="dxa"/>
            <w:vAlign w:val="bottom"/>
            <w:tcBorders>
              <w:top w:val="single" w:sz="8" w:color="auto"/>
            </w:tcBorders>
          </w:tcPr>
          <w:p>
            <w:pPr>
              <w:jc w:val="right"/>
              <w:ind w:right="101"/>
              <w:spacing w:after="0" w:line="216" w:lineRule="exact"/>
              <w:rPr>
                <w:sz w:val="20"/>
                <w:szCs w:val="20"/>
                <w:color w:val="auto"/>
              </w:rPr>
            </w:pPr>
            <w:r>
              <w:rPr>
                <w:rFonts w:ascii="Times New Roman" w:cs="Times New Roman" w:eastAsia="Times New Roman" w:hAnsi="Times New Roman"/>
                <w:sz w:val="20"/>
                <w:szCs w:val="20"/>
                <w:b w:val="1"/>
                <w:bCs w:val="1"/>
                <w:color w:val="auto"/>
              </w:rPr>
              <w:t>2</w:t>
            </w:r>
          </w:p>
        </w:tc>
        <w:tc>
          <w:tcPr>
            <w:tcW w:w="7420" w:type="dxa"/>
            <w:vAlign w:val="bottom"/>
            <w:tcBorders>
              <w:top w:val="single" w:sz="8" w:color="auto"/>
            </w:tcBorders>
          </w:tcPr>
          <w:p>
            <w:pPr>
              <w:ind w:left="220"/>
              <w:spacing w:after="0" w:line="216" w:lineRule="exact"/>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2680" w:type="dxa"/>
            <w:vAlign w:val="bottom"/>
            <w:tcBorders>
              <w:top w:val="single" w:sz="8" w:color="auto"/>
            </w:tcBorders>
          </w:tcPr>
          <w:p>
            <w:pPr>
              <w:ind w:left="1720"/>
              <w:spacing w:after="0" w:line="216"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0"/>
                <w:szCs w:val="20"/>
                <w:color w:val="auto"/>
              </w:rPr>
              <w:t>☐</w:t>
            </w:r>
          </w:p>
        </w:tc>
      </w:tr>
      <w:tr>
        <w:trPr>
          <w:trHeight w:val="334"/>
        </w:trPr>
        <w:tc>
          <w:tcPr>
            <w:tcW w:w="6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680" w:type="dxa"/>
            <w:vAlign w:val="bottom"/>
          </w:tcPr>
          <w:p>
            <w:pPr>
              <w:ind w:left="1720"/>
              <w:spacing w:after="0" w:line="230"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0"/>
                <w:szCs w:val="20"/>
                <w:color w:val="auto"/>
              </w:rPr>
              <w:t>☐</w:t>
            </w:r>
          </w:p>
        </w:tc>
      </w:tr>
    </w:tbl>
    <w:p>
      <w:pPr>
        <w:spacing w:after="0" w:line="197" w:lineRule="exact"/>
        <w:rPr>
          <w:sz w:val="20"/>
          <w:szCs w:val="20"/>
          <w:color w:val="auto"/>
        </w:rPr>
      </w:pPr>
    </w:p>
    <w:p>
      <w:pPr>
        <w:ind w:left="908" w:hanging="527"/>
        <w:spacing w:after="0"/>
        <w:tabs>
          <w:tab w:leader="none" w:pos="908"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SEC USE ONLY</w:t>
      </w:r>
    </w:p>
    <w:p>
      <w:pPr>
        <w:spacing w:after="0" w:line="256" w:lineRule="exact"/>
        <w:rPr>
          <w:sz w:val="20"/>
          <w:szCs w:val="20"/>
          <w:color w:val="auto"/>
        </w:rPr>
      </w:pPr>
    </w:p>
    <w:p>
      <w:pPr>
        <w:ind w:left="908" w:hanging="552"/>
        <w:spacing w:after="0"/>
        <w:tabs>
          <w:tab w:leader="none" w:pos="908"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SOURCE OF FUNDS (See Instructions)</w:t>
      </w:r>
    </w:p>
    <w:p>
      <w:pPr>
        <w:spacing w:after="0" w:line="225" w:lineRule="exact"/>
        <w:rPr>
          <w:rFonts w:ascii="Times New Roman" w:cs="Times New Roman" w:eastAsia="Times New Roman" w:hAnsi="Times New Roman"/>
          <w:sz w:val="20"/>
          <w:szCs w:val="20"/>
          <w:b w:val="1"/>
          <w:bCs w:val="1"/>
          <w:color w:val="auto"/>
        </w:rPr>
      </w:pPr>
    </w:p>
    <w:p>
      <w:pPr>
        <w:ind w:left="1508"/>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WC</w:t>
      </w:r>
    </w:p>
    <w:p>
      <w:pPr>
        <w:spacing w:after="0" w:line="236"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640" w:type="dxa"/>
            <w:vAlign w:val="bottom"/>
            <w:tcBorders>
              <w:top w:val="single" w:sz="8" w:color="auto"/>
            </w:tcBorders>
            <w:vMerge w:val="restart"/>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5</w:t>
            </w:r>
          </w:p>
        </w:tc>
        <w:tc>
          <w:tcPr>
            <w:tcW w:w="90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CHECK IF DISCLOSURE OF LEGAL PROCEEDINGS IS REQUIRED PURSUANT TO ITEMS 2(d) OR</w:t>
            </w:r>
          </w:p>
        </w:tc>
        <w:tc>
          <w:tcPr>
            <w:tcW w:w="1100" w:type="dxa"/>
            <w:vAlign w:val="bottom"/>
            <w:tcBorders>
              <w:top w:val="single" w:sz="8" w:color="auto"/>
            </w:tcBorders>
            <w:vMerge w:val="restart"/>
          </w:tcPr>
          <w:p>
            <w:pPr>
              <w:ind w:left="18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180"/>
        </w:trPr>
        <w:tc>
          <w:tcPr>
            <w:tcW w:w="640" w:type="dxa"/>
            <w:vAlign w:val="bottom"/>
            <w:vMerge w:val="continue"/>
          </w:tcPr>
          <w:p>
            <w:pPr>
              <w:spacing w:after="0"/>
              <w:rPr>
                <w:sz w:val="15"/>
                <w:szCs w:val="15"/>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2(e)</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640" w:type="dxa"/>
            <w:vAlign w:val="bottom"/>
          </w:tcPr>
          <w:p>
            <w:pPr>
              <w:spacing w:after="0"/>
              <w:rPr>
                <w:sz w:val="6"/>
                <w:szCs w:val="6"/>
                <w:color w:val="auto"/>
              </w:rPr>
            </w:pPr>
          </w:p>
        </w:tc>
        <w:tc>
          <w:tcPr>
            <w:tcW w:w="9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left="908" w:hanging="527"/>
        <w:spacing w:after="0"/>
        <w:tabs>
          <w:tab w:leader="none" w:pos="908"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CITIZENSHIP OR PLACE OF ORGANIZATION</w:t>
      </w:r>
    </w:p>
    <w:p>
      <w:pPr>
        <w:spacing w:after="0" w:line="220" w:lineRule="exact"/>
        <w:rPr>
          <w:rFonts w:ascii="Times New Roman" w:cs="Times New Roman" w:eastAsia="Times New Roman" w:hAnsi="Times New Roman"/>
          <w:sz w:val="20"/>
          <w:szCs w:val="20"/>
          <w:b w:val="1"/>
          <w:bCs w:val="1"/>
          <w:color w:val="auto"/>
        </w:rPr>
      </w:pPr>
    </w:p>
    <w:p>
      <w:pPr>
        <w:ind w:left="1508"/>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Delaware</w:t>
      </w:r>
    </w:p>
    <w:p>
      <w:pPr>
        <w:spacing w:after="0" w:line="251" w:lineRule="exact"/>
        <w:rPr>
          <w:rFonts w:ascii="Times New Roman" w:cs="Times New Roman" w:eastAsia="Times New Roman" w:hAnsi="Times New Roman"/>
          <w:sz w:val="20"/>
          <w:szCs w:val="20"/>
          <w:b w:val="1"/>
          <w:bCs w:val="1"/>
          <w:color w:val="auto"/>
        </w:rPr>
      </w:pPr>
    </w:p>
    <w:p>
      <w:pPr>
        <w:ind w:left="2288"/>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7</w:t>
      </w:r>
      <w:r>
        <w:rPr>
          <w:rFonts w:ascii="Times New Roman" w:cs="Times New Roman" w:eastAsia="Times New Roman" w:hAnsi="Times New Roman"/>
          <w:sz w:val="19"/>
          <w:szCs w:val="19"/>
          <w:color w:val="auto"/>
        </w:rPr>
        <w:t>SOLE VOTING POWER</w:t>
      </w:r>
    </w:p>
    <w:p>
      <w:pPr>
        <w:spacing w:after="0" w:line="224" w:lineRule="exact"/>
        <w:rPr>
          <w:rFonts w:ascii="Times New Roman" w:cs="Times New Roman" w:eastAsia="Times New Roman" w:hAnsi="Times New Roman"/>
          <w:sz w:val="20"/>
          <w:szCs w:val="20"/>
          <w:b w:val="1"/>
          <w:bCs w:val="1"/>
          <w:color w:val="auto"/>
        </w:rPr>
      </w:pPr>
    </w:p>
    <w:p>
      <w:pPr>
        <w:ind w:left="3188"/>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-0-</w:t>
      </w:r>
    </w:p>
    <w:p>
      <w:pPr>
        <w:spacing w:after="0" w:line="231" w:lineRule="exact"/>
        <w:rPr>
          <w:sz w:val="20"/>
          <w:szCs w:val="20"/>
          <w:color w:val="auto"/>
        </w:rPr>
      </w:pPr>
    </w:p>
    <w:tbl>
      <w:tblPr>
        <w:tblLayout w:type="fixed"/>
        <w:tblInd w:w="8" w:type="dxa"/>
        <w:tblCellMar>
          <w:top w:w="0" w:type="dxa"/>
          <w:left w:w="0" w:type="dxa"/>
          <w:bottom w:w="0" w:type="dxa"/>
          <w:right w:w="0" w:type="dxa"/>
        </w:tblCellMar>
      </w:tblPr>
      <w:tr>
        <w:trPr>
          <w:trHeight w:val="289"/>
        </w:trPr>
        <w:tc>
          <w:tcPr>
            <w:tcW w:w="19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240" w:type="dxa"/>
            <w:vAlign w:val="bottom"/>
            <w:tcBorders>
              <w:top w:val="single" w:sz="8" w:color="auto"/>
            </w:tcBorders>
            <w:gridSpan w:val="2"/>
            <w:vMerge w:val="restart"/>
          </w:tcPr>
          <w:p>
            <w:pPr>
              <w:spacing w:after="0"/>
              <w:rPr>
                <w:sz w:val="24"/>
                <w:szCs w:val="24"/>
                <w:color w:val="auto"/>
              </w:rPr>
            </w:pPr>
          </w:p>
        </w:tc>
        <w:tc>
          <w:tcPr>
            <w:tcW w:w="40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8</w:t>
            </w:r>
          </w:p>
        </w:tc>
        <w:tc>
          <w:tcPr>
            <w:tcW w:w="100" w:type="dxa"/>
            <w:vAlign w:val="bottom"/>
            <w:tcBorders>
              <w:top w:val="single" w:sz="8" w:color="auto"/>
            </w:tcBorders>
          </w:tcPr>
          <w:p>
            <w:pPr>
              <w:spacing w:after="0"/>
              <w:rPr>
                <w:sz w:val="24"/>
                <w:szCs w:val="24"/>
                <w:color w:val="auto"/>
              </w:rPr>
            </w:pPr>
          </w:p>
        </w:tc>
        <w:tc>
          <w:tcPr>
            <w:tcW w:w="65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SHARED VOTING POWER</w:t>
            </w: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960" w:type="dxa"/>
            <w:vAlign w:val="bottom"/>
            <w:gridSpan w:val="4"/>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9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1640" w:type="dxa"/>
            <w:vAlign w:val="bottom"/>
            <w:gridSpan w:val="5"/>
          </w:tcPr>
          <w:p>
            <w:pPr>
              <w:jc w:val="center"/>
              <w:ind w:right="760"/>
              <w:spacing w:after="0"/>
              <w:rPr>
                <w:sz w:val="20"/>
                <w:szCs w:val="20"/>
                <w:color w:val="auto"/>
              </w:rPr>
            </w:pPr>
            <w:r>
              <w:rPr>
                <w:rFonts w:ascii="Times New Roman" w:cs="Times New Roman" w:eastAsia="Times New Roman" w:hAnsi="Times New Roman"/>
                <w:sz w:val="20"/>
                <w:szCs w:val="20"/>
                <w:color w:val="auto"/>
                <w:w w:val="99"/>
              </w:rPr>
              <w:t>SHARES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w w:val="96"/>
              </w:rPr>
              <w:t>2,158,547</w:t>
            </w:r>
            <w:r>
              <w:rPr>
                <w:rFonts w:ascii="Times New Roman" w:cs="Times New Roman" w:eastAsia="Times New Roman" w:hAnsi="Times New Roman"/>
                <w:sz w:val="22"/>
                <w:szCs w:val="22"/>
                <w:b w:val="1"/>
                <w:bCs w:val="1"/>
                <w:color w:val="0000EE"/>
                <w:w w:val="96"/>
              </w:rPr>
              <w:t>(1)</w:t>
            </w:r>
          </w:p>
        </w:tc>
        <w:tc>
          <w:tcPr>
            <w:tcW w:w="4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200" w:type="dxa"/>
            <w:vAlign w:val="bottom"/>
            <w:gridSpan w:val="6"/>
            <w:vMerge w:val="restart"/>
          </w:tcPr>
          <w:p>
            <w:pPr>
              <w:jc w:val="center"/>
              <w:ind w:right="200"/>
              <w:spacing w:after="0"/>
              <w:rPr>
                <w:sz w:val="20"/>
                <w:szCs w:val="20"/>
                <w:color w:val="auto"/>
              </w:rPr>
            </w:pPr>
            <w:r>
              <w:rPr>
                <w:rFonts w:ascii="Times New Roman" w:cs="Times New Roman" w:eastAsia="Times New Roman" w:hAnsi="Times New Roman"/>
                <w:sz w:val="20"/>
                <w:szCs w:val="20"/>
                <w:color w:val="auto"/>
                <w:w w:val="97"/>
              </w:rPr>
              <w:t>BENEFICIALLY</w:t>
            </w: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49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200" w:type="dxa"/>
            <w:vAlign w:val="bottom"/>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49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9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9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96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9</w:t>
            </w:r>
          </w:p>
        </w:tc>
        <w:tc>
          <w:tcPr>
            <w:tcW w:w="100" w:type="dxa"/>
            <w:vAlign w:val="bottom"/>
          </w:tcPr>
          <w:p>
            <w:pPr>
              <w:spacing w:after="0"/>
              <w:rPr>
                <w:sz w:val="6"/>
                <w:szCs w:val="6"/>
                <w:color w:val="auto"/>
              </w:rPr>
            </w:pPr>
          </w:p>
        </w:tc>
        <w:tc>
          <w:tcPr>
            <w:tcW w:w="658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auto"/>
              </w:rPr>
              <w:t>SOLE DISPOSITIVE POWER</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200" w:type="dxa"/>
            <w:vAlign w:val="bottom"/>
            <w:gridSpan w:val="6"/>
            <w:vMerge w:val="restart"/>
          </w:tcPr>
          <w:p>
            <w:pPr>
              <w:jc w:val="center"/>
              <w:ind w:right="220"/>
              <w:spacing w:after="0"/>
              <w:rPr>
                <w:sz w:val="20"/>
                <w:szCs w:val="20"/>
                <w:color w:val="auto"/>
              </w:rPr>
            </w:pPr>
            <w:r>
              <w:rPr>
                <w:rFonts w:ascii="Times New Roman" w:cs="Times New Roman" w:eastAsia="Times New Roman" w:hAnsi="Times New Roman"/>
                <w:sz w:val="20"/>
                <w:szCs w:val="20"/>
                <w:color w:val="auto"/>
                <w:w w:val="99"/>
              </w:rPr>
              <w:t>EACH REPORTING</w:t>
            </w:r>
          </w:p>
        </w:tc>
        <w:tc>
          <w:tcPr>
            <w:tcW w:w="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580" w:type="dxa"/>
            <w:vAlign w:val="bottom"/>
            <w:gridSpan w:val="3"/>
            <w:vMerge w:val="continue"/>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200" w:type="dxa"/>
            <w:vAlign w:val="bottom"/>
            <w:gridSpan w:val="6"/>
            <w:vMerge w:val="continue"/>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9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8"/>
        </w:trPr>
        <w:tc>
          <w:tcPr>
            <w:tcW w:w="2200" w:type="dxa"/>
            <w:vAlign w:val="bottom"/>
            <w:gridSpan w:val="6"/>
          </w:tcPr>
          <w:p>
            <w:pPr>
              <w:jc w:val="center"/>
              <w:ind w:right="220"/>
              <w:spacing w:after="0"/>
              <w:rPr>
                <w:sz w:val="20"/>
                <w:szCs w:val="20"/>
                <w:color w:val="auto"/>
              </w:rPr>
            </w:pPr>
            <w:r>
              <w:rPr>
                <w:rFonts w:ascii="Times New Roman" w:cs="Times New Roman" w:eastAsia="Times New Roman" w:hAnsi="Times New Roman"/>
                <w:sz w:val="20"/>
                <w:szCs w:val="20"/>
                <w:color w:val="auto"/>
              </w:rPr>
              <w:t>PERSON WITH</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-0-</w:t>
            </w:r>
          </w:p>
        </w:tc>
        <w:tc>
          <w:tcPr>
            <w:tcW w:w="26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9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10</w:t>
            </w:r>
          </w:p>
        </w:tc>
        <w:tc>
          <w:tcPr>
            <w:tcW w:w="100" w:type="dxa"/>
            <w:vAlign w:val="bottom"/>
          </w:tcPr>
          <w:p>
            <w:pPr>
              <w:spacing w:after="0"/>
              <w:rPr>
                <w:sz w:val="22"/>
                <w:szCs w:val="22"/>
                <w:color w:val="auto"/>
              </w:rPr>
            </w:pPr>
          </w:p>
        </w:tc>
        <w:tc>
          <w:tcPr>
            <w:tcW w:w="658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ind w:left="480"/>
              <w:spacing w:after="0"/>
              <w:rPr>
                <w:sz w:val="20"/>
                <w:szCs w:val="20"/>
                <w:color w:val="auto"/>
              </w:rPr>
            </w:pPr>
            <w:r>
              <w:rPr>
                <w:rFonts w:ascii="Times New Roman" w:cs="Times New Roman" w:eastAsia="Times New Roman" w:hAnsi="Times New Roman"/>
                <w:sz w:val="22"/>
                <w:szCs w:val="22"/>
                <w:b w:val="1"/>
                <w:bCs w:val="1"/>
                <w:color w:val="auto"/>
                <w:w w:val="96"/>
              </w:rPr>
              <w:t>2,158,547</w:t>
            </w:r>
            <w:r>
              <w:rPr>
                <w:rFonts w:ascii="Times New Roman" w:cs="Times New Roman" w:eastAsia="Times New Roman" w:hAnsi="Times New Roman"/>
                <w:sz w:val="22"/>
                <w:szCs w:val="22"/>
                <w:b w:val="1"/>
                <w:bCs w:val="1"/>
                <w:color w:val="0000EE"/>
                <w:w w:val="96"/>
              </w:rPr>
              <w:t>(1)</w:t>
            </w:r>
          </w:p>
        </w:tc>
        <w:tc>
          <w:tcPr>
            <w:tcW w:w="4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60" w:type="dxa"/>
            <w:vAlign w:val="bottom"/>
            <w:tcBorders>
              <w:top w:val="single" w:sz="8" w:color="0000EE"/>
              <w:bottom w:val="single" w:sz="8" w:color="auto"/>
            </w:tcBorders>
          </w:tcPr>
          <w:p>
            <w:pPr>
              <w:spacing w:after="0"/>
              <w:rPr>
                <w:sz w:val="22"/>
                <w:szCs w:val="22"/>
                <w:color w:val="auto"/>
              </w:rPr>
            </w:pPr>
          </w:p>
        </w:tc>
        <w:tc>
          <w:tcPr>
            <w:tcW w:w="49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00" w:type="dxa"/>
            <w:vAlign w:val="bottom"/>
            <w:tcBorders>
              <w:right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11</w:t>
            </w:r>
          </w:p>
        </w:tc>
        <w:tc>
          <w:tcPr>
            <w:tcW w:w="848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5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00" w:type="dxa"/>
            <w:vAlign w:val="bottom"/>
            <w:gridSpan w:val="7"/>
          </w:tcPr>
          <w:p>
            <w:pPr>
              <w:ind w:left="700"/>
              <w:spacing w:after="0"/>
              <w:rPr>
                <w:sz w:val="20"/>
                <w:szCs w:val="20"/>
                <w:color w:val="auto"/>
              </w:rPr>
            </w:pPr>
            <w:r>
              <w:rPr>
                <w:rFonts w:ascii="Times New Roman" w:cs="Times New Roman" w:eastAsia="Times New Roman" w:hAnsi="Times New Roman"/>
                <w:sz w:val="22"/>
                <w:szCs w:val="22"/>
                <w:b w:val="1"/>
                <w:bCs w:val="1"/>
                <w:color w:val="auto"/>
              </w:rPr>
              <w:t>2,158,547</w:t>
            </w:r>
            <w:r>
              <w:rPr>
                <w:rFonts w:ascii="Times New Roman" w:cs="Times New Roman" w:eastAsia="Times New Roman" w:hAnsi="Times New Roman"/>
                <w:sz w:val="22"/>
                <w:szCs w:val="22"/>
                <w:b w:val="1"/>
                <w:bCs w:val="1"/>
                <w:color w:val="0000EE"/>
              </w:rPr>
              <w:t>(1)</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0" w:type="dxa"/>
            <w:vAlign w:val="bottom"/>
            <w:tcBorders>
              <w:top w:val="single" w:sz="8" w:color="0000EE"/>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9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12</w:t>
            </w:r>
          </w:p>
        </w:tc>
        <w:tc>
          <w:tcPr>
            <w:tcW w:w="240" w:type="dxa"/>
            <w:vAlign w:val="bottom"/>
            <w:tcBorders>
              <w:right w:val="single" w:sz="8" w:color="auto"/>
            </w:tcBorders>
          </w:tcPr>
          <w:p>
            <w:pPr>
              <w:spacing w:after="0"/>
              <w:rPr>
                <w:sz w:val="17"/>
                <w:szCs w:val="17"/>
                <w:color w:val="auto"/>
              </w:rPr>
            </w:pPr>
          </w:p>
        </w:tc>
        <w:tc>
          <w:tcPr>
            <w:tcW w:w="8480" w:type="dxa"/>
            <w:vAlign w:val="bottom"/>
            <w:gridSpan w:val="10"/>
          </w:tcPr>
          <w:p>
            <w:pPr>
              <w:ind w:left="100"/>
              <w:spacing w:after="0" w:line="207" w:lineRule="exact"/>
              <w:rPr>
                <w:sz w:val="20"/>
                <w:szCs w:val="20"/>
                <w:color w:val="auto"/>
              </w:rPr>
            </w:pPr>
            <w:r>
              <w:rPr>
                <w:rFonts w:ascii="Times New Roman" w:cs="Times New Roman" w:eastAsia="Times New Roman" w:hAnsi="Times New Roman"/>
                <w:sz w:val="20"/>
                <w:szCs w:val="20"/>
                <w:color w:val="auto"/>
              </w:rPr>
              <w:t>CHECK IF THE AGGREGATE AMOUNT IN ROW (11) EXCLUDES CERTAIN SHARES (See</w:t>
            </w:r>
          </w:p>
        </w:tc>
        <w:tc>
          <w:tcPr>
            <w:tcW w:w="1500" w:type="dxa"/>
            <w:vAlign w:val="bottom"/>
            <w:vMerge w:val="restart"/>
          </w:tcPr>
          <w:p>
            <w:pPr>
              <w:ind w:left="58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180"/>
        </w:trPr>
        <w:tc>
          <w:tcPr>
            <w:tcW w:w="560" w:type="dxa"/>
            <w:vAlign w:val="bottom"/>
            <w:vMerge w:val="continue"/>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0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20"/>
                <w:szCs w:val="20"/>
                <w:color w:val="auto"/>
                <w:w w:val="96"/>
              </w:rPr>
              <w:t>Instructions)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56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9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0"/>
        </w:trPr>
        <w:tc>
          <w:tcPr>
            <w:tcW w:w="800" w:type="dxa"/>
            <w:vAlign w:val="bottom"/>
            <w:tcBorders>
              <w:bottom w:val="single" w:sz="8" w:color="auto"/>
              <w:right w:val="single" w:sz="8" w:color="auto"/>
            </w:tcBorders>
            <w:gridSpan w:val="2"/>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gridSpan w:val="2"/>
          </w:tcPr>
          <w:p>
            <w:pPr>
              <w:spacing w:after="0"/>
              <w:rPr>
                <w:sz w:val="24"/>
                <w:szCs w:val="24"/>
                <w:color w:val="auto"/>
              </w:rPr>
            </w:pPr>
          </w:p>
        </w:tc>
        <w:tc>
          <w:tcPr>
            <w:tcW w:w="2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00" w:type="dxa"/>
            <w:vAlign w:val="bottom"/>
            <w:tcBorders>
              <w:right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13</w:t>
            </w:r>
          </w:p>
        </w:tc>
        <w:tc>
          <w:tcPr>
            <w:tcW w:w="848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6"/>
        </w:trPr>
        <w:tc>
          <w:tcPr>
            <w:tcW w:w="5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400" w:type="dxa"/>
            <w:vAlign w:val="bottom"/>
            <w:gridSpan w:val="4"/>
          </w:tcPr>
          <w:p>
            <w:pPr>
              <w:ind w:left="700"/>
              <w:spacing w:after="0"/>
              <w:rPr>
                <w:sz w:val="20"/>
                <w:szCs w:val="20"/>
                <w:color w:val="auto"/>
              </w:rPr>
            </w:pPr>
            <w:r>
              <w:rPr>
                <w:rFonts w:ascii="Times New Roman" w:cs="Times New Roman" w:eastAsia="Times New Roman" w:hAnsi="Times New Roman"/>
                <w:sz w:val="20"/>
                <w:szCs w:val="20"/>
                <w:b w:val="1"/>
                <w:bCs w:val="1"/>
                <w:color w:val="auto"/>
                <w:w w:val="99"/>
              </w:rPr>
              <w:t>7.7%</w:t>
            </w:r>
            <w:r>
              <w:rPr>
                <w:rFonts w:ascii="Times New Roman" w:cs="Times New Roman" w:eastAsia="Times New Roman" w:hAnsi="Times New Roman"/>
                <w:sz w:val="20"/>
                <w:szCs w:val="20"/>
                <w:b w:val="1"/>
                <w:bCs w:val="1"/>
                <w:color w:val="0000EE"/>
                <w:w w:val="99"/>
              </w:rPr>
              <w:t>(2)</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200" w:type="dxa"/>
            <w:vAlign w:val="bottom"/>
            <w:tcBorders>
              <w:top w:val="single" w:sz="8" w:color="0000EE"/>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9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00" w:type="dxa"/>
            <w:vAlign w:val="bottom"/>
            <w:tcBorders>
              <w:right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14</w:t>
            </w:r>
          </w:p>
        </w:tc>
        <w:tc>
          <w:tcPr>
            <w:tcW w:w="848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TYPE OF REPORTING PERSON (See Instructions)</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400" w:type="dxa"/>
            <w:vAlign w:val="bottom"/>
            <w:gridSpan w:val="4"/>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OO</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868" w:right="20" w:hanging="868"/>
        <w:spacing w:after="0" w:line="282" w:lineRule="auto"/>
        <w:tabs>
          <w:tab w:leader="none" w:pos="8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2,158,547 shares of Class A Common Stock owned by Mendocino Capital, LLC, a wholly owned subsidiary of NextEra Energy, Inc., a publicly traded company with its common stock listed on the New York Stock Exchange under the symbol “NEE”.</w:t>
      </w:r>
    </w:p>
    <w:p>
      <w:pPr>
        <w:spacing w:after="0" w:line="200" w:lineRule="exact"/>
        <w:rPr>
          <w:sz w:val="20"/>
          <w:szCs w:val="20"/>
          <w:color w:val="auto"/>
        </w:rPr>
      </w:pPr>
    </w:p>
    <w:p>
      <w:pPr>
        <w:spacing w:after="0" w:line="205" w:lineRule="exact"/>
        <w:rPr>
          <w:sz w:val="20"/>
          <w:szCs w:val="20"/>
          <w:color w:val="auto"/>
        </w:rPr>
      </w:pPr>
    </w:p>
    <w:p>
      <w:pPr>
        <w:jc w:val="both"/>
        <w:ind w:left="868" w:right="20" w:hanging="868"/>
        <w:spacing w:after="0" w:line="266" w:lineRule="auto"/>
        <w:tabs>
          <w:tab w:leader="none" w:pos="8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used herein and in the rest of this Schedule 13D is calculated based upon 27,975,260 shares of the Issuer’s Class A Common Stock outstanding as of November 11, 2023, as disclosed in the Issuer’s Quarterly Report on Form 10-Q filed with the Securities and Exchange Commission on November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260350</wp:posOffset>
            </wp:positionV>
            <wp:extent cx="68408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0855" cy="17145"/>
                    </a:xfrm>
                    <a:prstGeom prst="rect">
                      <a:avLst/>
                    </a:prstGeom>
                    <a:noFill/>
                  </pic:spPr>
                </pic:pic>
              </a:graphicData>
            </a:graphic>
          </wp:anchor>
        </w:drawing>
      </w:r>
    </w:p>
    <w:p>
      <w:pPr>
        <w:sectPr>
          <w:pgSz w:w="11900" w:h="16838" w:orient="portrait"/>
          <w:cols w:equalWidth="0" w:num="1">
            <w:col w:w="10788"/>
          </w:cols>
          <w:pgMar w:left="552" w:top="114" w:right="559" w:bottom="925" w:gutter="0" w:footer="0" w:header="0"/>
        </w:sectPr>
      </w:pPr>
    </w:p>
    <w:bookmarkStart w:id="3" w:name="page4"/>
    <w:bookmarkEnd w:id="3"/>
    <w:p>
      <w:pPr>
        <w:ind w:left="40"/>
        <w:spacing w:after="0"/>
        <w:tabs>
          <w:tab w:leader="none" w:pos="8360" w:val="left"/>
        </w:tabs>
        <w:rPr>
          <w:sz w:val="20"/>
          <w:szCs w:val="20"/>
          <w:color w:val="auto"/>
        </w:rPr>
      </w:pPr>
      <w:r>
        <w:rPr>
          <w:rFonts w:ascii="Times New Roman" w:cs="Times New Roman" w:eastAsia="Times New Roman" w:hAnsi="Times New Roman"/>
          <w:sz w:val="20"/>
          <w:szCs w:val="20"/>
          <w:b w:val="1"/>
          <w:bCs w:val="1"/>
          <w:color w:val="auto"/>
        </w:rPr>
        <w:t>CUSIP No. 68347P103</w:t>
      </w:r>
      <w:r>
        <w:rPr>
          <w:sz w:val="20"/>
          <w:szCs w:val="20"/>
          <w:color w:val="auto"/>
        </w:rPr>
        <w:tab/>
      </w:r>
      <w:r>
        <w:rPr>
          <w:rFonts w:ascii="Times New Roman" w:cs="Times New Roman" w:eastAsia="Times New Roman" w:hAnsi="Times New Roman"/>
          <w:sz w:val="19"/>
          <w:szCs w:val="19"/>
          <w:b w:val="1"/>
          <w:bCs w:val="1"/>
          <w:color w:val="auto"/>
        </w:rPr>
        <w:t>SCHEDULE 13D</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220"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This Amendment No. 1 (“Amendment No. 1”) to Schedule 13D relates to the Class A common stock, $0.0001 par value per share (the “Class A Common Stock”), of OPAL Fuels Inc. (the “Issuer”), and amends and supplements the initial statement on Schedule 13D originally filed with the Securities and Exchange Commission (the “SEC”) by the Reporting Persons on August 1, 2022, (the “Original Schedule 13D,” and as amended by Amendment No. 1, the “Schedule 13D”). Capitalized terms used but not defined in this Amendment No. 1 shall have the same meanings ascribed to them in the Original Schedule 13D.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Identity and Background.</w:t>
      </w: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second and third paragraphs of Item 2 of the Schedule 13D are hereby amended and restated as follows:</w:t>
      </w:r>
    </w:p>
    <w:p>
      <w:pPr>
        <w:spacing w:after="0" w:line="256"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attached hereto lists the directors and executive officers of NEE (the “Related Parties”) and their respective principal occupation, address and citizenship.</w:t>
      </w:r>
    </w:p>
    <w:p>
      <w:pPr>
        <w:spacing w:after="0" w:line="17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0"/>
          <w:szCs w:val="20"/>
          <w:color w:val="auto"/>
        </w:rPr>
        <w:t>During the last five years, the Reporting Person has not, and, to the Reporting Person’s knowledge, none of the Related Parties has, (i) been convicted in a criminal proceeding of the type specified in Item 2(d) of Schedule 13D,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Interest in Securities of the Issuer.</w:t>
      </w: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Items 5(a) – (c) of the Schedule 13D are hereby amended and restated to read as follows:</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Items 5(a) and (b):</w:t>
      </w: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information set forth on the cover page of this Schedule 13D is incorporated herein.</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Item 5(c):</w:t>
      </w:r>
    </w:p>
    <w:p>
      <w:pPr>
        <w:spacing w:after="0" w:line="260"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20"/>
          <w:szCs w:val="20"/>
          <w:color w:val="auto"/>
        </w:rPr>
        <w:t>The Reporting Persons have sold 341,453 shares of Class A Common Stock in the following transactions during the past 60 days. All shares of Class A Common Stock reported below were sold by Mendocino in the open market.</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180" w:type="dxa"/>
            <w:vAlign w:val="bottom"/>
            <w:tcBorders>
              <w:top w:val="single" w:sz="8" w:color="auto"/>
              <w:left w:val="single" w:sz="8" w:color="auto"/>
              <w:bottom w:val="single" w:sz="8" w:color="auto"/>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20"/>
                <w:szCs w:val="20"/>
                <w:color w:val="auto"/>
              </w:rPr>
              <w:t>Date</w:t>
            </w:r>
          </w:p>
        </w:tc>
        <w:tc>
          <w:tcPr>
            <w:tcW w:w="3760" w:type="dxa"/>
            <w:vAlign w:val="bottom"/>
            <w:tcBorders>
              <w:top w:val="single" w:sz="8" w:color="auto"/>
              <w:bottom w:val="single" w:sz="8" w:color="auto"/>
              <w:right w:val="single" w:sz="8" w:color="auto"/>
            </w:tcBorders>
            <w:shd w:val="clear" w:color="auto" w:fill="E7E6E6"/>
          </w:tcPr>
          <w:p>
            <w:pPr>
              <w:ind w:left="940"/>
              <w:spacing w:after="0"/>
              <w:rPr>
                <w:sz w:val="20"/>
                <w:szCs w:val="20"/>
                <w:color w:val="auto"/>
              </w:rPr>
            </w:pPr>
            <w:r>
              <w:rPr>
                <w:rFonts w:ascii="Times New Roman" w:cs="Times New Roman" w:eastAsia="Times New Roman" w:hAnsi="Times New Roman"/>
                <w:sz w:val="20"/>
                <w:szCs w:val="20"/>
                <w:color w:val="auto"/>
              </w:rPr>
              <w:t>Number of Shares Sold</w:t>
            </w:r>
          </w:p>
        </w:tc>
        <w:tc>
          <w:tcPr>
            <w:tcW w:w="380" w:type="dxa"/>
            <w:vAlign w:val="bottom"/>
            <w:tcBorders>
              <w:top w:val="single" w:sz="8" w:color="auto"/>
              <w:bottom w:val="single" w:sz="8" w:color="auto"/>
            </w:tcBorders>
            <w:shd w:val="clear" w:color="auto" w:fill="E7E6E6"/>
          </w:tcPr>
          <w:p>
            <w:pPr>
              <w:spacing w:after="0"/>
              <w:rPr>
                <w:sz w:val="24"/>
                <w:szCs w:val="24"/>
                <w:color w:val="auto"/>
              </w:rPr>
            </w:pPr>
          </w:p>
        </w:tc>
        <w:tc>
          <w:tcPr>
            <w:tcW w:w="3460" w:type="dxa"/>
            <w:vAlign w:val="bottom"/>
            <w:tcBorders>
              <w:top w:val="single" w:sz="8" w:color="auto"/>
              <w:bottom w:val="single" w:sz="8" w:color="auto"/>
              <w:right w:val="single" w:sz="8" w:color="auto"/>
            </w:tcBorders>
            <w:shd w:val="clear" w:color="auto" w:fill="E7E6E6"/>
          </w:tcPr>
          <w:p>
            <w:pPr>
              <w:jc w:val="right"/>
              <w:ind w:right="1081"/>
              <w:spacing w:after="0"/>
              <w:rPr>
                <w:sz w:val="20"/>
                <w:szCs w:val="20"/>
                <w:color w:val="auto"/>
              </w:rPr>
            </w:pPr>
            <w:r>
              <w:rPr>
                <w:rFonts w:ascii="Times New Roman" w:cs="Times New Roman" w:eastAsia="Times New Roman" w:hAnsi="Times New Roman"/>
                <w:sz w:val="20"/>
                <w:szCs w:val="20"/>
                <w:color w:val="auto"/>
              </w:rPr>
              <w:t>Average Sale Price</w:t>
            </w:r>
          </w:p>
        </w:tc>
      </w:tr>
      <w:tr>
        <w:trPr>
          <w:trHeight w:val="250"/>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12/20/23</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52,621</w:t>
            </w:r>
          </w:p>
        </w:tc>
        <w:tc>
          <w:tcPr>
            <w:tcW w:w="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460" w:type="dxa"/>
            <w:vAlign w:val="bottom"/>
            <w:tcBorders>
              <w:bottom w:val="single" w:sz="8" w:color="auto"/>
              <w:right w:val="single" w:sz="8" w:color="auto"/>
            </w:tcBorders>
          </w:tcPr>
          <w:p>
            <w:pPr>
              <w:jc w:val="right"/>
              <w:ind w:right="2801"/>
              <w:spacing w:after="0"/>
              <w:rPr>
                <w:sz w:val="20"/>
                <w:szCs w:val="20"/>
                <w:color w:val="auto"/>
              </w:rPr>
            </w:pPr>
            <w:r>
              <w:rPr>
                <w:rFonts w:ascii="Times New Roman" w:cs="Times New Roman" w:eastAsia="Times New Roman" w:hAnsi="Times New Roman"/>
                <w:sz w:val="20"/>
                <w:szCs w:val="20"/>
                <w:color w:val="auto"/>
              </w:rPr>
              <w:t>5.43</w:t>
            </w:r>
          </w:p>
        </w:tc>
      </w:tr>
      <w:tr>
        <w:trPr>
          <w:trHeight w:val="250"/>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12/21/23</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48,830</w:t>
            </w:r>
          </w:p>
        </w:tc>
        <w:tc>
          <w:tcPr>
            <w:tcW w:w="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460" w:type="dxa"/>
            <w:vAlign w:val="bottom"/>
            <w:tcBorders>
              <w:bottom w:val="single" w:sz="8" w:color="auto"/>
              <w:right w:val="single" w:sz="8" w:color="auto"/>
            </w:tcBorders>
          </w:tcPr>
          <w:p>
            <w:pPr>
              <w:jc w:val="right"/>
              <w:ind w:right="2801"/>
              <w:spacing w:after="0"/>
              <w:rPr>
                <w:sz w:val="20"/>
                <w:szCs w:val="20"/>
                <w:color w:val="auto"/>
              </w:rPr>
            </w:pPr>
            <w:r>
              <w:rPr>
                <w:rFonts w:ascii="Times New Roman" w:cs="Times New Roman" w:eastAsia="Times New Roman" w:hAnsi="Times New Roman"/>
                <w:sz w:val="20"/>
                <w:szCs w:val="20"/>
                <w:color w:val="auto"/>
              </w:rPr>
              <w:t>5.39</w:t>
            </w:r>
          </w:p>
        </w:tc>
      </w:tr>
      <w:tr>
        <w:trPr>
          <w:trHeight w:val="250"/>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12/22/23</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67,098</w:t>
            </w:r>
          </w:p>
        </w:tc>
        <w:tc>
          <w:tcPr>
            <w:tcW w:w="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460" w:type="dxa"/>
            <w:vAlign w:val="bottom"/>
            <w:tcBorders>
              <w:bottom w:val="single" w:sz="8" w:color="auto"/>
              <w:right w:val="single" w:sz="8" w:color="auto"/>
            </w:tcBorders>
          </w:tcPr>
          <w:p>
            <w:pPr>
              <w:jc w:val="right"/>
              <w:ind w:right="2801"/>
              <w:spacing w:after="0"/>
              <w:rPr>
                <w:sz w:val="20"/>
                <w:szCs w:val="20"/>
                <w:color w:val="auto"/>
              </w:rPr>
            </w:pPr>
            <w:r>
              <w:rPr>
                <w:rFonts w:ascii="Times New Roman" w:cs="Times New Roman" w:eastAsia="Times New Roman" w:hAnsi="Times New Roman"/>
                <w:sz w:val="20"/>
                <w:szCs w:val="20"/>
                <w:color w:val="auto"/>
              </w:rPr>
              <w:t>5.46</w:t>
            </w:r>
          </w:p>
        </w:tc>
      </w:tr>
      <w:tr>
        <w:trPr>
          <w:trHeight w:val="250"/>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12/26/23</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52,755</w:t>
            </w:r>
          </w:p>
        </w:tc>
        <w:tc>
          <w:tcPr>
            <w:tcW w:w="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460" w:type="dxa"/>
            <w:vAlign w:val="bottom"/>
            <w:tcBorders>
              <w:bottom w:val="single" w:sz="8" w:color="auto"/>
              <w:right w:val="single" w:sz="8" w:color="auto"/>
            </w:tcBorders>
          </w:tcPr>
          <w:p>
            <w:pPr>
              <w:jc w:val="right"/>
              <w:ind w:right="2801"/>
              <w:spacing w:after="0"/>
              <w:rPr>
                <w:sz w:val="20"/>
                <w:szCs w:val="20"/>
                <w:color w:val="auto"/>
              </w:rPr>
            </w:pPr>
            <w:r>
              <w:rPr>
                <w:rFonts w:ascii="Times New Roman" w:cs="Times New Roman" w:eastAsia="Times New Roman" w:hAnsi="Times New Roman"/>
                <w:sz w:val="20"/>
                <w:szCs w:val="20"/>
                <w:color w:val="auto"/>
              </w:rPr>
              <w:t>5.43</w:t>
            </w:r>
          </w:p>
        </w:tc>
      </w:tr>
      <w:tr>
        <w:trPr>
          <w:trHeight w:val="250"/>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12/27/23</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28,696</w:t>
            </w:r>
          </w:p>
        </w:tc>
        <w:tc>
          <w:tcPr>
            <w:tcW w:w="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460" w:type="dxa"/>
            <w:vAlign w:val="bottom"/>
            <w:tcBorders>
              <w:bottom w:val="single" w:sz="8" w:color="auto"/>
              <w:right w:val="single" w:sz="8" w:color="auto"/>
            </w:tcBorders>
          </w:tcPr>
          <w:p>
            <w:pPr>
              <w:jc w:val="right"/>
              <w:ind w:right="2801"/>
              <w:spacing w:after="0"/>
              <w:rPr>
                <w:sz w:val="20"/>
                <w:szCs w:val="20"/>
                <w:color w:val="auto"/>
              </w:rPr>
            </w:pPr>
            <w:r>
              <w:rPr>
                <w:rFonts w:ascii="Times New Roman" w:cs="Times New Roman" w:eastAsia="Times New Roman" w:hAnsi="Times New Roman"/>
                <w:sz w:val="20"/>
                <w:szCs w:val="20"/>
                <w:color w:val="auto"/>
              </w:rPr>
              <w:t>5.63</w:t>
            </w:r>
          </w:p>
        </w:tc>
      </w:tr>
      <w:tr>
        <w:trPr>
          <w:trHeight w:val="250"/>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12/28/23</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9,278</w:t>
            </w:r>
          </w:p>
        </w:tc>
        <w:tc>
          <w:tcPr>
            <w:tcW w:w="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460" w:type="dxa"/>
            <w:vAlign w:val="bottom"/>
            <w:tcBorders>
              <w:bottom w:val="single" w:sz="8" w:color="auto"/>
              <w:right w:val="single" w:sz="8" w:color="auto"/>
            </w:tcBorders>
          </w:tcPr>
          <w:p>
            <w:pPr>
              <w:jc w:val="right"/>
              <w:ind w:right="2801"/>
              <w:spacing w:after="0"/>
              <w:rPr>
                <w:sz w:val="20"/>
                <w:szCs w:val="20"/>
                <w:color w:val="auto"/>
              </w:rPr>
            </w:pPr>
            <w:r>
              <w:rPr>
                <w:rFonts w:ascii="Times New Roman" w:cs="Times New Roman" w:eastAsia="Times New Roman" w:hAnsi="Times New Roman"/>
                <w:sz w:val="20"/>
                <w:szCs w:val="20"/>
                <w:color w:val="auto"/>
              </w:rPr>
              <w:t>5.70</w:t>
            </w:r>
          </w:p>
        </w:tc>
      </w:tr>
      <w:tr>
        <w:trPr>
          <w:trHeight w:val="250"/>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12/29/23</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65,667</w:t>
            </w:r>
          </w:p>
        </w:tc>
        <w:tc>
          <w:tcPr>
            <w:tcW w:w="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460" w:type="dxa"/>
            <w:vAlign w:val="bottom"/>
            <w:tcBorders>
              <w:bottom w:val="single" w:sz="8" w:color="auto"/>
              <w:right w:val="single" w:sz="8" w:color="auto"/>
            </w:tcBorders>
          </w:tcPr>
          <w:p>
            <w:pPr>
              <w:jc w:val="right"/>
              <w:ind w:right="2801"/>
              <w:spacing w:after="0"/>
              <w:rPr>
                <w:sz w:val="20"/>
                <w:szCs w:val="20"/>
                <w:color w:val="auto"/>
              </w:rPr>
            </w:pPr>
            <w:r>
              <w:rPr>
                <w:rFonts w:ascii="Times New Roman" w:cs="Times New Roman" w:eastAsia="Times New Roman" w:hAnsi="Times New Roman"/>
                <w:sz w:val="20"/>
                <w:szCs w:val="20"/>
                <w:color w:val="auto"/>
              </w:rPr>
              <w:t>5.48</w:t>
            </w:r>
          </w:p>
        </w:tc>
      </w:tr>
      <w:tr>
        <w:trPr>
          <w:trHeight w:val="250"/>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01/02/24</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6,505</w:t>
            </w:r>
          </w:p>
        </w:tc>
        <w:tc>
          <w:tcPr>
            <w:tcW w:w="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460" w:type="dxa"/>
            <w:vAlign w:val="bottom"/>
            <w:tcBorders>
              <w:bottom w:val="single" w:sz="8" w:color="auto"/>
              <w:right w:val="single" w:sz="8" w:color="auto"/>
            </w:tcBorders>
          </w:tcPr>
          <w:p>
            <w:pPr>
              <w:jc w:val="right"/>
              <w:ind w:right="2801"/>
              <w:spacing w:after="0"/>
              <w:rPr>
                <w:sz w:val="20"/>
                <w:szCs w:val="20"/>
                <w:color w:val="auto"/>
              </w:rPr>
            </w:pPr>
            <w:r>
              <w:rPr>
                <w:rFonts w:ascii="Times New Roman" w:cs="Times New Roman" w:eastAsia="Times New Roman" w:hAnsi="Times New Roman"/>
                <w:sz w:val="20"/>
                <w:szCs w:val="20"/>
                <w:color w:val="auto"/>
              </w:rPr>
              <w:t>5.36</w:t>
            </w:r>
          </w:p>
        </w:tc>
      </w:tr>
      <w:tr>
        <w:trPr>
          <w:trHeight w:val="250"/>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01/03/24</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9,203</w:t>
            </w:r>
          </w:p>
        </w:tc>
        <w:tc>
          <w:tcPr>
            <w:tcW w:w="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460" w:type="dxa"/>
            <w:vAlign w:val="bottom"/>
            <w:tcBorders>
              <w:bottom w:val="single" w:sz="8" w:color="auto"/>
              <w:right w:val="single" w:sz="8" w:color="auto"/>
            </w:tcBorders>
          </w:tcPr>
          <w:p>
            <w:pPr>
              <w:jc w:val="right"/>
              <w:ind w:right="2801"/>
              <w:spacing w:after="0"/>
              <w:rPr>
                <w:sz w:val="20"/>
                <w:szCs w:val="20"/>
                <w:color w:val="auto"/>
              </w:rPr>
            </w:pPr>
            <w:r>
              <w:rPr>
                <w:rFonts w:ascii="Times New Roman" w:cs="Times New Roman" w:eastAsia="Times New Roman" w:hAnsi="Times New Roman"/>
                <w:sz w:val="20"/>
                <w:szCs w:val="20"/>
                <w:color w:val="auto"/>
              </w:rPr>
              <w:t>5.34</w:t>
            </w:r>
          </w:p>
        </w:tc>
      </w:tr>
      <w:tr>
        <w:trPr>
          <w:trHeight w:val="250"/>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01/04/24</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800</w:t>
            </w:r>
          </w:p>
        </w:tc>
        <w:tc>
          <w:tcPr>
            <w:tcW w:w="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460" w:type="dxa"/>
            <w:vAlign w:val="bottom"/>
            <w:tcBorders>
              <w:bottom w:val="single" w:sz="8" w:color="auto"/>
              <w:right w:val="single" w:sz="8" w:color="auto"/>
            </w:tcBorders>
          </w:tcPr>
          <w:p>
            <w:pPr>
              <w:jc w:val="right"/>
              <w:ind w:right="2801"/>
              <w:spacing w:after="0"/>
              <w:rPr>
                <w:sz w:val="20"/>
                <w:szCs w:val="20"/>
                <w:color w:val="auto"/>
              </w:rPr>
            </w:pPr>
            <w:r>
              <w:rPr>
                <w:rFonts w:ascii="Times New Roman" w:cs="Times New Roman" w:eastAsia="Times New Roman" w:hAnsi="Times New Roman"/>
                <w:sz w:val="20"/>
                <w:szCs w:val="20"/>
                <w:color w:val="auto"/>
              </w:rPr>
              <w:t>5.30</w:t>
            </w:r>
          </w:p>
        </w:tc>
      </w:tr>
      <w:tr>
        <w:trPr>
          <w:trHeight w:val="682"/>
        </w:trPr>
        <w:tc>
          <w:tcPr>
            <w:tcW w:w="31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0780"/>
          </w:cols>
          <w:pgMar w:left="560" w:top="114" w:right="5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4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After reasonable inquiry and to the best of each of the undersigned knowledge and belief, each of the undersigned certifies that the information set forth in this statement is true, complete and correct.</w:t>
      </w:r>
    </w:p>
    <w:p>
      <w:pPr>
        <w:spacing w:after="0" w:line="200" w:lineRule="exact"/>
        <w:rPr>
          <w:sz w:val="20"/>
          <w:szCs w:val="20"/>
          <w:color w:val="auto"/>
        </w:rPr>
      </w:pPr>
    </w:p>
    <w:p>
      <w:pPr>
        <w:ind w:left="640"/>
        <w:spacing w:after="0"/>
        <w:tabs>
          <w:tab w:leader="none" w:pos="16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January 5, 2024</w:t>
      </w:r>
    </w:p>
    <w:p>
      <w:pPr>
        <w:spacing w:after="0" w:line="25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b w:val="1"/>
          <w:bCs w:val="1"/>
          <w:color w:val="auto"/>
        </w:rPr>
        <w:t>NEXTERA ENERGY, INC.</w:t>
      </w:r>
    </w:p>
    <w:p>
      <w:pPr>
        <w:spacing w:after="0" w:line="260" w:lineRule="exact"/>
        <w:rPr>
          <w:sz w:val="20"/>
          <w:szCs w:val="20"/>
          <w:color w:val="auto"/>
        </w:rPr>
      </w:pPr>
    </w:p>
    <w:p>
      <w:pPr>
        <w:ind w:left="5320"/>
        <w:spacing w:after="0"/>
        <w:tabs>
          <w:tab w:leader="none" w:pos="6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Mark Hickson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13970</wp:posOffset>
            </wp:positionV>
            <wp:extent cx="2863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277" w:lineRule="exact"/>
        <w:rPr>
          <w:sz w:val="20"/>
          <w:szCs w:val="20"/>
          <w:color w:val="auto"/>
        </w:rPr>
      </w:pPr>
    </w:p>
    <w:p>
      <w:pPr>
        <w:ind w:left="5320"/>
        <w:spacing w:after="0"/>
        <w:tabs>
          <w:tab w:leader="none" w:pos="62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Mark Hickson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13970</wp:posOffset>
            </wp:positionV>
            <wp:extent cx="2863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27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Executive Vice President, Corporate Development and</w:t>
      </w:r>
    </w:p>
    <w:p>
      <w:pPr>
        <w:spacing w:after="0" w:line="28" w:lineRule="exact"/>
        <w:rPr>
          <w:sz w:val="20"/>
          <w:szCs w:val="20"/>
          <w:color w:val="auto"/>
        </w:rPr>
      </w:pPr>
    </w:p>
    <w:p>
      <w:pPr>
        <w:ind w:left="5320"/>
        <w:spacing w:after="0"/>
        <w:tabs>
          <w:tab w:leader="none" w:pos="62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4445</wp:posOffset>
            </wp:positionV>
            <wp:extent cx="2863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b w:val="1"/>
          <w:bCs w:val="1"/>
          <w:color w:val="auto"/>
        </w:rPr>
        <w:t>MENDOCINO CAPITAL, LLC</w:t>
      </w:r>
    </w:p>
    <w:p>
      <w:pPr>
        <w:spacing w:after="0" w:line="260" w:lineRule="exact"/>
        <w:rPr>
          <w:sz w:val="20"/>
          <w:szCs w:val="20"/>
          <w:color w:val="auto"/>
        </w:rPr>
      </w:pPr>
    </w:p>
    <w:p>
      <w:pPr>
        <w:ind w:left="5320"/>
        <w:spacing w:after="0"/>
        <w:tabs>
          <w:tab w:leader="none" w:pos="6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Mark Hickson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13970</wp:posOffset>
            </wp:positionV>
            <wp:extent cx="2863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263" w:lineRule="exact"/>
        <w:rPr>
          <w:sz w:val="20"/>
          <w:szCs w:val="20"/>
          <w:color w:val="auto"/>
        </w:rPr>
      </w:pPr>
    </w:p>
    <w:p>
      <w:pPr>
        <w:ind w:left="5320"/>
        <w:spacing w:after="0"/>
        <w:tabs>
          <w:tab w:leader="none" w:pos="62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Mark Hickson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22860</wp:posOffset>
            </wp:positionV>
            <wp:extent cx="2863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ind w:left="5320"/>
        <w:spacing w:after="0" w:line="226" w:lineRule="auto"/>
        <w:tabs>
          <w:tab w:leader="none" w:pos="6240" w:val="left"/>
        </w:tabs>
        <w:rPr>
          <w:sz w:val="20"/>
          <w:szCs w:val="20"/>
          <w:color w:val="auto"/>
        </w:rPr>
      </w:pPr>
      <w:r>
        <w:rPr>
          <w:rFonts w:ascii="Times New Roman" w:cs="Times New Roman" w:eastAsia="Times New Roman" w:hAnsi="Times New Roman"/>
          <w:sz w:val="40"/>
          <w:szCs w:val="40"/>
          <w:color w:val="auto"/>
          <w:vertAlign w:val="superscript"/>
        </w:rPr>
        <w:t>Title:</w:t>
      </w:r>
      <w:r>
        <w:rPr>
          <w:sz w:val="20"/>
          <w:szCs w:val="20"/>
          <w:color w:val="auto"/>
        </w:rPr>
        <w:tab/>
      </w:r>
      <w:r>
        <w:rPr>
          <w:rFonts w:ascii="Times New Roman" w:cs="Times New Roman" w:eastAsia="Times New Roman" w:hAnsi="Times New Roman"/>
          <w:sz w:val="20"/>
          <w:szCs w:val="20"/>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81915</wp:posOffset>
            </wp:positionV>
            <wp:extent cx="2863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ATTENTION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Intentional misstatements or omissions of fact constitute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278765</wp:posOffset>
            </wp:positionV>
            <wp:extent cx="68408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40855" cy="17145"/>
                    </a:xfrm>
                    <a:prstGeom prst="rect">
                      <a:avLst/>
                    </a:prstGeom>
                    <a:noFill/>
                  </pic:spPr>
                </pic:pic>
              </a:graphicData>
            </a:graphic>
          </wp:anchor>
        </w:drawing>
      </w:r>
    </w:p>
    <w:p>
      <w:pPr>
        <w:sectPr>
          <w:pgSz w:w="11900" w:h="16838" w:orient="portrait"/>
          <w:cols w:equalWidth="0" w:num="1">
            <w:col w:w="10780"/>
          </w:cols>
          <w:pgMar w:left="560" w:top="338" w:right="5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JOINT FILING AGREEMENT</w:t>
      </w:r>
    </w:p>
    <w:p>
      <w:pPr>
        <w:spacing w:after="0" w:line="260"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20"/>
          <w:szCs w:val="20"/>
          <w:color w:val="auto"/>
        </w:rPr>
        <w:t>We, the signatories of the statement to which this Joint Filing Agreement is attached, hereby agree that such statement is filed, and any amendments thereto filed by any or all of us, will be filed, on behalf of each of us.</w:t>
      </w:r>
    </w:p>
    <w:p>
      <w:pPr>
        <w:spacing w:after="0" w:line="173" w:lineRule="exact"/>
        <w:rPr>
          <w:sz w:val="20"/>
          <w:szCs w:val="20"/>
          <w:color w:val="auto"/>
        </w:rPr>
      </w:pPr>
    </w:p>
    <w:p>
      <w:pPr>
        <w:ind w:left="640"/>
        <w:spacing w:after="0"/>
        <w:tabs>
          <w:tab w:leader="none" w:pos="16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January 5, 2024</w:t>
      </w:r>
    </w:p>
    <w:p>
      <w:pPr>
        <w:spacing w:after="0" w:line="200" w:lineRule="exact"/>
        <w:rPr>
          <w:sz w:val="20"/>
          <w:szCs w:val="20"/>
          <w:color w:val="auto"/>
        </w:rPr>
      </w:pPr>
    </w:p>
    <w:p>
      <w:pPr>
        <w:spacing w:after="0" w:line="30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b w:val="1"/>
          <w:bCs w:val="1"/>
          <w:color w:val="auto"/>
        </w:rPr>
        <w:t>NEXTERA ENERGY, INC.</w:t>
      </w:r>
    </w:p>
    <w:p>
      <w:pPr>
        <w:spacing w:after="0" w:line="260" w:lineRule="exact"/>
        <w:rPr>
          <w:sz w:val="20"/>
          <w:szCs w:val="20"/>
          <w:color w:val="auto"/>
        </w:rPr>
      </w:pPr>
    </w:p>
    <w:p>
      <w:pPr>
        <w:ind w:left="5320"/>
        <w:spacing w:after="0"/>
        <w:tabs>
          <w:tab w:leader="none" w:pos="6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Mark Hickson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13970</wp:posOffset>
            </wp:positionV>
            <wp:extent cx="2863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263" w:lineRule="exact"/>
        <w:rPr>
          <w:sz w:val="20"/>
          <w:szCs w:val="20"/>
          <w:color w:val="auto"/>
        </w:rPr>
      </w:pPr>
    </w:p>
    <w:p>
      <w:pPr>
        <w:ind w:left="5320"/>
        <w:spacing w:after="0"/>
        <w:tabs>
          <w:tab w:leader="none" w:pos="62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Mark Hickson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22860</wp:posOffset>
            </wp:positionV>
            <wp:extent cx="2863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27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Executive Vice President, Corporate Development and</w:t>
      </w:r>
    </w:p>
    <w:p>
      <w:pPr>
        <w:spacing w:after="0" w:line="28" w:lineRule="exact"/>
        <w:rPr>
          <w:sz w:val="20"/>
          <w:szCs w:val="20"/>
          <w:color w:val="auto"/>
        </w:rPr>
      </w:pPr>
    </w:p>
    <w:p>
      <w:pPr>
        <w:ind w:left="5320"/>
        <w:spacing w:after="0"/>
        <w:tabs>
          <w:tab w:leader="none" w:pos="62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13335</wp:posOffset>
            </wp:positionV>
            <wp:extent cx="2863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b w:val="1"/>
          <w:bCs w:val="1"/>
          <w:color w:val="auto"/>
        </w:rPr>
        <w:t>MENDOCINO CAPITAL, LLC</w:t>
      </w:r>
    </w:p>
    <w:p>
      <w:pPr>
        <w:spacing w:after="0" w:line="260" w:lineRule="exact"/>
        <w:rPr>
          <w:sz w:val="20"/>
          <w:szCs w:val="20"/>
          <w:color w:val="auto"/>
        </w:rPr>
      </w:pPr>
    </w:p>
    <w:p>
      <w:pPr>
        <w:ind w:left="5320"/>
        <w:spacing w:after="0"/>
        <w:tabs>
          <w:tab w:leader="none" w:pos="6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Mark Hickson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13970</wp:posOffset>
            </wp:positionV>
            <wp:extent cx="2863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277" w:lineRule="exact"/>
        <w:rPr>
          <w:sz w:val="20"/>
          <w:szCs w:val="20"/>
          <w:color w:val="auto"/>
        </w:rPr>
      </w:pPr>
    </w:p>
    <w:p>
      <w:pPr>
        <w:ind w:left="5320"/>
        <w:spacing w:after="0"/>
        <w:tabs>
          <w:tab w:leader="none" w:pos="62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Mark Hickson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13970</wp:posOffset>
            </wp:positionV>
            <wp:extent cx="2863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6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w:t>
      </w:r>
    </w:p>
    <w:p>
      <w:pPr>
        <w:ind w:left="6260"/>
        <w:spacing w:after="0"/>
        <w:rPr>
          <w:sz w:val="20"/>
          <w:szCs w:val="20"/>
          <w:color w:val="auto"/>
        </w:rPr>
      </w:pPr>
      <w:r>
        <w:rPr>
          <w:rFonts w:ascii="Times New Roman" w:cs="Times New Roman" w:eastAsia="Times New Roman" w:hAnsi="Times New Roman"/>
          <w:sz w:val="20"/>
          <w:szCs w:val="20"/>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0</wp:posOffset>
            </wp:positionV>
            <wp:extent cx="2863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6321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1071880</wp:posOffset>
            </wp:positionV>
            <wp:extent cx="68408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40855" cy="17145"/>
                    </a:xfrm>
                    <a:prstGeom prst="rect">
                      <a:avLst/>
                    </a:prstGeom>
                    <a:noFill/>
                  </pic:spPr>
                </pic:pic>
              </a:graphicData>
            </a:graphic>
          </wp:anchor>
        </w:drawing>
      </w:r>
    </w:p>
    <w:p>
      <w:pPr>
        <w:sectPr>
          <w:pgSz w:w="11900" w:h="16838" w:orient="portrait"/>
          <w:cols w:equalWidth="0" w:num="1">
            <w:col w:w="10760"/>
          </w:cols>
          <w:pgMar w:left="560" w:top="126" w:right="5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26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name, present principal occupation or employment and citizenship of each of the directors and executive officers of NEE are set forth below. The business address of each individual is c/o NextEra Energy, Inc., 700 Universe Boulevard, Juno Beach, Florida 33408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Director of NEE</w:t>
            </w:r>
          </w:p>
        </w:tc>
        <w:tc>
          <w:tcPr>
            <w:tcW w:w="280" w:type="dxa"/>
            <w:vAlign w:val="bottom"/>
          </w:tcPr>
          <w:p>
            <w:pPr>
              <w:spacing w:after="0"/>
              <w:rPr>
                <w:sz w:val="20"/>
                <w:szCs w:val="20"/>
                <w:color w:val="auto"/>
              </w:rPr>
            </w:pPr>
          </w:p>
        </w:tc>
        <w:tc>
          <w:tcPr>
            <w:tcW w:w="648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Principal Occupation or Employment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Citizenship</w:t>
            </w:r>
          </w:p>
        </w:tc>
      </w:tr>
      <w:tr>
        <w:trPr>
          <w:trHeight w:val="184"/>
        </w:trPr>
        <w:tc>
          <w:tcPr>
            <w:tcW w:w="20" w:type="dxa"/>
            <w:vAlign w:val="bottom"/>
          </w:tcPr>
          <w:p>
            <w:pPr>
              <w:spacing w:after="0"/>
              <w:rPr>
                <w:sz w:val="16"/>
                <w:szCs w:val="16"/>
                <w:color w:val="auto"/>
              </w:rPr>
            </w:pPr>
          </w:p>
        </w:tc>
        <w:tc>
          <w:tcPr>
            <w:tcW w:w="224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Nicole S. Arnaboldi</w:t>
            </w:r>
          </w:p>
        </w:tc>
        <w:tc>
          <w:tcPr>
            <w:tcW w:w="280" w:type="dxa"/>
            <w:vAlign w:val="bottom"/>
          </w:tcPr>
          <w:p>
            <w:pPr>
              <w:spacing w:after="0"/>
              <w:rPr>
                <w:sz w:val="16"/>
                <w:szCs w:val="16"/>
                <w:color w:val="auto"/>
              </w:rPr>
            </w:pPr>
          </w:p>
        </w:tc>
        <w:tc>
          <w:tcPr>
            <w:tcW w:w="620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Partner at Oak Hill Capital Management</w:t>
            </w:r>
          </w:p>
        </w:tc>
        <w:tc>
          <w:tcPr>
            <w:tcW w:w="280" w:type="dxa"/>
            <w:vAlign w:val="bottom"/>
          </w:tcPr>
          <w:p>
            <w:pPr>
              <w:spacing w:after="0"/>
              <w:rPr>
                <w:sz w:val="16"/>
                <w:szCs w:val="16"/>
                <w:color w:val="auto"/>
              </w:rPr>
            </w:pPr>
          </w:p>
        </w:tc>
        <w:tc>
          <w:tcPr>
            <w:tcW w:w="176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Sherry S. Barrat</w:t>
            </w:r>
          </w:p>
        </w:tc>
        <w:tc>
          <w:tcPr>
            <w:tcW w:w="6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Retired Vice Chairman of Northern Trust Corporation</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L. Camaren</w:t>
            </w:r>
          </w:p>
        </w:tc>
        <w:tc>
          <w:tcPr>
            <w:tcW w:w="6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Private investor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3"/>
        </w:trPr>
        <w:tc>
          <w:tcPr>
            <w:tcW w:w="22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Kenneth B. Dunn</w:t>
            </w:r>
          </w:p>
        </w:tc>
        <w:tc>
          <w:tcPr>
            <w:tcW w:w="6760" w:type="dxa"/>
            <w:vAlign w:val="bottom"/>
            <w:gridSpan w:val="3"/>
          </w:tcPr>
          <w:p>
            <w:pPr>
              <w:ind w:left="280"/>
              <w:spacing w:after="0" w:line="202" w:lineRule="exact"/>
              <w:rPr>
                <w:sz w:val="20"/>
                <w:szCs w:val="20"/>
                <w:color w:val="auto"/>
              </w:rPr>
            </w:pPr>
            <w:r>
              <w:rPr>
                <w:rFonts w:ascii="Times New Roman" w:cs="Times New Roman" w:eastAsia="Times New Roman" w:hAnsi="Times New Roman"/>
                <w:sz w:val="18"/>
                <w:szCs w:val="18"/>
                <w:color w:val="auto"/>
              </w:rPr>
              <w:t>Emeritus Professor of Financial Economics at the David A. Tepper School of</w:t>
            </w:r>
          </w:p>
        </w:tc>
        <w:tc>
          <w:tcPr>
            <w:tcW w:w="17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United States</w:t>
            </w:r>
          </w:p>
        </w:tc>
      </w:tr>
      <w:tr>
        <w:trPr>
          <w:trHeight w:val="203"/>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760" w:type="dxa"/>
            <w:vAlign w:val="bottom"/>
            <w:gridSpan w:val="3"/>
          </w:tcPr>
          <w:p>
            <w:pPr>
              <w:ind w:left="280"/>
              <w:spacing w:after="0" w:line="202" w:lineRule="exact"/>
              <w:rPr>
                <w:sz w:val="20"/>
                <w:szCs w:val="20"/>
                <w:color w:val="auto"/>
              </w:rPr>
            </w:pPr>
            <w:r>
              <w:rPr>
                <w:rFonts w:ascii="Times New Roman" w:cs="Times New Roman" w:eastAsia="Times New Roman" w:hAnsi="Times New Roman"/>
                <w:sz w:val="18"/>
                <w:szCs w:val="18"/>
                <w:color w:val="auto"/>
              </w:rPr>
              <w:t>Business at Carnegie Mellon University</w:t>
            </w:r>
          </w:p>
        </w:tc>
        <w:tc>
          <w:tcPr>
            <w:tcW w:w="1760" w:type="dxa"/>
            <w:vAlign w:val="bottom"/>
          </w:tcPr>
          <w:p>
            <w:pPr>
              <w:spacing w:after="0"/>
              <w:rPr>
                <w:sz w:val="17"/>
                <w:szCs w:val="17"/>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Naren K. Gursahaney</w:t>
            </w:r>
          </w:p>
        </w:tc>
        <w:tc>
          <w:tcPr>
            <w:tcW w:w="6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Retired President and CEO of The ADT Corporation</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Kirk S. Hachigian</w:t>
            </w:r>
          </w:p>
        </w:tc>
        <w:tc>
          <w:tcPr>
            <w:tcW w:w="6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Retired Chairman of the Board of JELD-WEN Holding, Inc.</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Maria Henry</w:t>
            </w:r>
          </w:p>
        </w:tc>
        <w:tc>
          <w:tcPr>
            <w:tcW w:w="6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Retired Chief Financial Officer of Kimberly-Clark Corporation</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 Ketchum</w:t>
            </w:r>
          </w:p>
        </w:tc>
        <w:tc>
          <w:tcPr>
            <w:tcW w:w="6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Chairman, President and Chief Executive Officer of NEE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3"/>
        </w:trPr>
        <w:tc>
          <w:tcPr>
            <w:tcW w:w="22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Amy B. Lane</w:t>
            </w:r>
          </w:p>
        </w:tc>
        <w:tc>
          <w:tcPr>
            <w:tcW w:w="6760" w:type="dxa"/>
            <w:vAlign w:val="bottom"/>
            <w:gridSpan w:val="3"/>
          </w:tcPr>
          <w:p>
            <w:pPr>
              <w:ind w:left="280"/>
              <w:spacing w:after="0" w:line="202" w:lineRule="exact"/>
              <w:rPr>
                <w:sz w:val="20"/>
                <w:szCs w:val="20"/>
                <w:color w:val="auto"/>
              </w:rPr>
            </w:pPr>
            <w:r>
              <w:rPr>
                <w:rFonts w:ascii="Times New Roman" w:cs="Times New Roman" w:eastAsia="Times New Roman" w:hAnsi="Times New Roman"/>
                <w:sz w:val="18"/>
                <w:szCs w:val="18"/>
                <w:color w:val="auto"/>
              </w:rPr>
              <w:t>Retired Managing Director and Group Leader of Global Retailing Investment</w:t>
            </w:r>
          </w:p>
        </w:tc>
        <w:tc>
          <w:tcPr>
            <w:tcW w:w="17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United States</w:t>
            </w:r>
          </w:p>
        </w:tc>
      </w:tr>
      <w:tr>
        <w:trPr>
          <w:trHeight w:val="203"/>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760" w:type="dxa"/>
            <w:vAlign w:val="bottom"/>
            <w:gridSpan w:val="3"/>
          </w:tcPr>
          <w:p>
            <w:pPr>
              <w:ind w:left="280"/>
              <w:spacing w:after="0" w:line="202" w:lineRule="exact"/>
              <w:rPr>
                <w:sz w:val="20"/>
                <w:szCs w:val="20"/>
                <w:color w:val="auto"/>
              </w:rPr>
            </w:pPr>
            <w:r>
              <w:rPr>
                <w:rFonts w:ascii="Times New Roman" w:cs="Times New Roman" w:eastAsia="Times New Roman" w:hAnsi="Times New Roman"/>
                <w:sz w:val="18"/>
                <w:szCs w:val="18"/>
                <w:color w:val="auto"/>
              </w:rPr>
              <w:t>Banking Group of Merrill Lynch &amp; Co., Inc.</w:t>
            </w:r>
          </w:p>
        </w:tc>
        <w:tc>
          <w:tcPr>
            <w:tcW w:w="1760" w:type="dxa"/>
            <w:vAlign w:val="bottom"/>
          </w:tcPr>
          <w:p>
            <w:pPr>
              <w:spacing w:after="0"/>
              <w:rPr>
                <w:sz w:val="17"/>
                <w:szCs w:val="17"/>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 Porges</w:t>
            </w:r>
          </w:p>
        </w:tc>
        <w:tc>
          <w:tcPr>
            <w:tcW w:w="6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Retired Chairman of the Board of Equitrans Midstream Corporation</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 Stahlkopf</w:t>
            </w:r>
          </w:p>
        </w:tc>
        <w:tc>
          <w:tcPr>
            <w:tcW w:w="6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Executive Vice President and Chief Legal Officer of Cisco Systems, Inc.</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Arthur Stall</w:t>
            </w:r>
          </w:p>
        </w:tc>
        <w:tc>
          <w:tcPr>
            <w:tcW w:w="6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Retired President of NextEra Energy’s nuclear division</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2"/>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Darryl L. Wilson</w:t>
            </w:r>
          </w:p>
        </w:tc>
        <w:tc>
          <w:tcPr>
            <w:tcW w:w="6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Retired Vice President, Commercial of GE Power, a business of GE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3"/>
        </w:trPr>
        <w:tc>
          <w:tcPr>
            <w:tcW w:w="20" w:type="dxa"/>
            <w:vAlign w:val="bottom"/>
          </w:tcPr>
          <w:p>
            <w:pPr>
              <w:spacing w:after="0"/>
              <w:rPr>
                <w:sz w:val="17"/>
                <w:szCs w:val="17"/>
                <w:color w:val="auto"/>
              </w:rPr>
            </w:pPr>
          </w:p>
        </w:tc>
        <w:tc>
          <w:tcPr>
            <w:tcW w:w="224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9"/>
              </w:rPr>
              <w:t>Name of Executive Officer of</w:t>
            </w:r>
          </w:p>
        </w:tc>
        <w:tc>
          <w:tcPr>
            <w:tcW w:w="28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NEE</w:t>
            </w:r>
          </w:p>
        </w:tc>
        <w:tc>
          <w:tcPr>
            <w:tcW w:w="280" w:type="dxa"/>
            <w:vAlign w:val="bottom"/>
          </w:tcPr>
          <w:p>
            <w:pPr>
              <w:spacing w:after="0"/>
              <w:rPr>
                <w:sz w:val="20"/>
                <w:szCs w:val="20"/>
                <w:color w:val="auto"/>
              </w:rPr>
            </w:pPr>
          </w:p>
        </w:tc>
        <w:tc>
          <w:tcPr>
            <w:tcW w:w="648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Principal Occupation or Employment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Citizenship</w:t>
            </w:r>
          </w:p>
        </w:tc>
      </w:tr>
      <w:tr>
        <w:trPr>
          <w:trHeight w:val="184"/>
        </w:trPr>
        <w:tc>
          <w:tcPr>
            <w:tcW w:w="20" w:type="dxa"/>
            <w:vAlign w:val="bottom"/>
          </w:tcPr>
          <w:p>
            <w:pPr>
              <w:spacing w:after="0"/>
              <w:rPr>
                <w:sz w:val="16"/>
                <w:szCs w:val="16"/>
                <w:color w:val="auto"/>
              </w:rPr>
            </w:pPr>
          </w:p>
        </w:tc>
        <w:tc>
          <w:tcPr>
            <w:tcW w:w="224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T. Kirk Crews</w:t>
            </w:r>
          </w:p>
        </w:tc>
        <w:tc>
          <w:tcPr>
            <w:tcW w:w="280" w:type="dxa"/>
            <w:vAlign w:val="bottom"/>
          </w:tcPr>
          <w:p>
            <w:pPr>
              <w:spacing w:after="0"/>
              <w:rPr>
                <w:sz w:val="16"/>
                <w:szCs w:val="16"/>
                <w:color w:val="auto"/>
              </w:rPr>
            </w:pPr>
          </w:p>
        </w:tc>
        <w:tc>
          <w:tcPr>
            <w:tcW w:w="620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Executive Vice President, Finance and Chief Financial Officer of NEE</w:t>
            </w:r>
          </w:p>
        </w:tc>
        <w:tc>
          <w:tcPr>
            <w:tcW w:w="280" w:type="dxa"/>
            <w:vAlign w:val="bottom"/>
          </w:tcPr>
          <w:p>
            <w:pPr>
              <w:spacing w:after="0"/>
              <w:rPr>
                <w:sz w:val="16"/>
                <w:szCs w:val="16"/>
                <w:color w:val="auto"/>
              </w:rPr>
            </w:pPr>
          </w:p>
        </w:tc>
        <w:tc>
          <w:tcPr>
            <w:tcW w:w="176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Nicole Daggs</w:t>
            </w:r>
          </w:p>
        </w:tc>
        <w:tc>
          <w:tcPr>
            <w:tcW w:w="6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Executive Vice President, Human Resources and Corporate Services of NEE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Dunne</w:t>
            </w:r>
          </w:p>
        </w:tc>
        <w:tc>
          <w:tcPr>
            <w:tcW w:w="6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Treasurer and Assistant Secretary of NEE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E. Hickson</w:t>
            </w:r>
          </w:p>
        </w:tc>
        <w:tc>
          <w:tcPr>
            <w:tcW w:w="6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Executive Vice President, Corporate Development and Strategy of NEE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 Ketchum</w:t>
            </w:r>
          </w:p>
        </w:tc>
        <w:tc>
          <w:tcPr>
            <w:tcW w:w="6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Chairman, President and Chief Executive Officer of NEE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Rebecca J. Kujawa</w:t>
            </w:r>
          </w:p>
        </w:tc>
        <w:tc>
          <w:tcPr>
            <w:tcW w:w="6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President and CEO of NextEra Energy Resources, LLC</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Lemasney</w:t>
            </w:r>
          </w:p>
        </w:tc>
        <w:tc>
          <w:tcPr>
            <w:tcW w:w="6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Executive Vice President, Power Generation Division of NEE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 May</w:t>
            </w:r>
          </w:p>
        </w:tc>
        <w:tc>
          <w:tcPr>
            <w:tcW w:w="6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Vice President, Controller and Chief Accounting Officer of NEE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Armando Pimentel</w:t>
            </w:r>
          </w:p>
        </w:tc>
        <w:tc>
          <w:tcPr>
            <w:tcW w:w="6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President and CEO, Florida Power &amp; Light Company</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3"/>
        </w:trPr>
        <w:tc>
          <w:tcPr>
            <w:tcW w:w="22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Ronald R. Reagan</w:t>
            </w:r>
          </w:p>
        </w:tc>
        <w:tc>
          <w:tcPr>
            <w:tcW w:w="6760" w:type="dxa"/>
            <w:vAlign w:val="bottom"/>
            <w:gridSpan w:val="3"/>
          </w:tcPr>
          <w:p>
            <w:pPr>
              <w:ind w:left="280"/>
              <w:spacing w:after="0" w:line="202" w:lineRule="exact"/>
              <w:rPr>
                <w:sz w:val="20"/>
                <w:szCs w:val="20"/>
                <w:color w:val="auto"/>
              </w:rPr>
            </w:pPr>
            <w:r>
              <w:rPr>
                <w:rFonts w:ascii="Times New Roman" w:cs="Times New Roman" w:eastAsia="Times New Roman" w:hAnsi="Times New Roman"/>
                <w:sz w:val="18"/>
                <w:szCs w:val="18"/>
                <w:color w:val="auto"/>
              </w:rPr>
              <w:t>Executive Vice President, Engineering, Construction and Integrated Supply Chain of</w:t>
            </w:r>
          </w:p>
        </w:tc>
        <w:tc>
          <w:tcPr>
            <w:tcW w:w="17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United States</w:t>
            </w:r>
          </w:p>
        </w:tc>
      </w:tr>
      <w:tr>
        <w:trPr>
          <w:trHeight w:val="203"/>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760" w:type="dxa"/>
            <w:vAlign w:val="bottom"/>
            <w:gridSpan w:val="3"/>
          </w:tcPr>
          <w:p>
            <w:pPr>
              <w:ind w:left="280"/>
              <w:spacing w:after="0" w:line="202" w:lineRule="exact"/>
              <w:rPr>
                <w:sz w:val="20"/>
                <w:szCs w:val="20"/>
                <w:color w:val="auto"/>
              </w:rPr>
            </w:pPr>
            <w:r>
              <w:rPr>
                <w:rFonts w:ascii="Times New Roman" w:cs="Times New Roman" w:eastAsia="Times New Roman" w:hAnsi="Times New Roman"/>
                <w:sz w:val="18"/>
                <w:szCs w:val="18"/>
                <w:color w:val="auto"/>
              </w:rPr>
              <w:t>NEE</w:t>
            </w:r>
          </w:p>
        </w:tc>
        <w:tc>
          <w:tcPr>
            <w:tcW w:w="1760" w:type="dxa"/>
            <w:vAlign w:val="bottom"/>
          </w:tcPr>
          <w:p>
            <w:pPr>
              <w:spacing w:after="0"/>
              <w:rPr>
                <w:sz w:val="17"/>
                <w:szCs w:val="17"/>
                <w:color w:val="auto"/>
              </w:rPr>
            </w:pP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E. Sieving</w:t>
            </w:r>
          </w:p>
        </w:tc>
        <w:tc>
          <w:tcPr>
            <w:tcW w:w="6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Executive Vice President &amp; General Counsel of NEE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r>
    </w:tbl>
    <w:p>
      <w:pPr>
        <w:spacing w:after="0" w:line="1" w:lineRule="exact"/>
        <w:rPr>
          <w:sz w:val="20"/>
          <w:szCs w:val="20"/>
          <w:color w:val="auto"/>
        </w:rPr>
      </w:pPr>
    </w:p>
    <w:sectPr>
      <w:pgSz w:w="11900" w:h="16838" w:orient="portrait"/>
      <w:cols w:equalWidth="0" w:num="1">
        <w:col w:w="10780"/>
      </w:cols>
      <w:pgMar w:left="560" w:top="35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4"/>
      <w:numFmt w:val="bullet"/>
      <w:start w:val="1"/>
    </w:lvl>
  </w:abstractNum>
  <w:abstractNum w:abstractNumId="3">
    <w:nsid w:val="7545E146"/>
    <w:multiLevelType w:val="hybridMultilevel"/>
    <w:lvl w:ilvl="0">
      <w:lvlJc w:val="left"/>
      <w:lvlText w:val="6"/>
      <w:numFmt w:val="bullet"/>
      <w:start w:val="1"/>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1"/>
      <w:numFmt w:val="bullet"/>
      <w:start w:val="1"/>
    </w:lvl>
  </w:abstractNum>
  <w:abstractNum w:abstractNumId="7">
    <w:nsid w:val="4DB127F8"/>
    <w:multiLevelType w:val="hybridMultilevel"/>
    <w:lvl w:ilvl="0">
      <w:lvlJc w:val="left"/>
      <w:lvlText w:val="3"/>
      <w:numFmt w:val="bullet"/>
      <w:start w:val="1"/>
    </w:lvl>
  </w:abstractNum>
  <w:abstractNum w:abstractNumId="8">
    <w:nsid w:val="216231B"/>
    <w:multiLevelType w:val="hybridMultilevel"/>
    <w:lvl w:ilvl="0">
      <w:lvlJc w:val="left"/>
      <w:lvlText w:val="4"/>
      <w:numFmt w:val="bullet"/>
      <w:start w:val="1"/>
    </w:lvl>
  </w:abstractNum>
  <w:abstractNum w:abstractNumId="9">
    <w:nsid w:val="1F16E9E8"/>
    <w:multiLevelType w:val="hybridMultilevel"/>
    <w:lvl w:ilvl="0">
      <w:lvlJc w:val="left"/>
      <w:lvlText w:val="6"/>
      <w:numFmt w:val="bullet"/>
      <w:start w:val="1"/>
    </w:lvl>
  </w:abstractNum>
  <w:abstractNum w:abstractNumId="10">
    <w:nsid w:val="1190CDE7"/>
    <w:multiLevelType w:val="hybridMultilevel"/>
    <w:lvl w:ilvl="0">
      <w:lvlJc w:val="left"/>
      <w:lvlText w:val="1"/>
      <w:numFmt w:val="bullet"/>
      <w:start w:val="1"/>
    </w:lvl>
  </w:abstractNum>
  <w:abstractNum w:abstractNumId="11">
    <w:nsid w:val="66EF438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2024-01-05T15:54:57Z</dcterms:created>
  <dcterms:modified xsi:type="dcterms:W3CDTF">2024-01-05T15:54:57Z</dcterms:modified>
</cp:coreProperties>
</file>