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4"/>
        <w:spacing w:after="0"/>
        <w:rPr>
          <w:sz w:val="20"/>
          <w:szCs w:val="20"/>
          <w:color w:val="auto"/>
        </w:rPr>
      </w:pPr>
      <w:r>
        <w:rPr>
          <w:rFonts w:ascii="Arial" w:cs="Arial" w:eastAsia="Arial" w:hAnsi="Arial"/>
          <w:sz w:val="16"/>
          <w:szCs w:val="16"/>
          <w:b w:val="1"/>
          <w:bCs w:val="1"/>
          <w:color w:val="auto"/>
        </w:rPr>
        <w:t>Filed by ArcLight Clean Transition Corp. II pursuant to</w:t>
      </w:r>
    </w:p>
    <w:p>
      <w:pPr>
        <w:spacing w:after="0" w:line="50" w:lineRule="exact"/>
        <w:rPr>
          <w:sz w:val="24"/>
          <w:szCs w:val="24"/>
          <w:color w:val="auto"/>
        </w:rPr>
      </w:pPr>
    </w:p>
    <w:p>
      <w:pPr>
        <w:ind w:left="7844"/>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7804"/>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7764"/>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61163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announced today?</w:t>
      </w:r>
    </w:p>
    <w:p>
      <w:pPr>
        <w:spacing w:after="0" w:line="134" w:lineRule="exact"/>
        <w:rPr>
          <w:rFonts w:ascii="Arial" w:cs="Arial" w:eastAsia="Arial" w:hAnsi="Arial"/>
          <w:sz w:val="18"/>
          <w:szCs w:val="18"/>
          <w:b w:val="1"/>
          <w:bCs w:val="1"/>
          <w:color w:val="auto"/>
        </w:rPr>
      </w:pPr>
    </w:p>
    <w:p>
      <w:pPr>
        <w:ind w:left="964" w:right="14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OPAL Fuels is combining with ArcLight Clean Transition Corp. II, commencing a review and approval process that, when complete, will result in OPAL Fuels becoming a public company listing our stock on Nasdaq.</w:t>
      </w:r>
    </w:p>
    <w:p>
      <w:pPr>
        <w:spacing w:after="0" w:line="75" w:lineRule="exact"/>
        <w:rPr>
          <w:rFonts w:ascii="Arial" w:cs="Arial" w:eastAsia="Arial" w:hAnsi="Arial"/>
          <w:sz w:val="18"/>
          <w:szCs w:val="18"/>
          <w:color w:val="auto"/>
        </w:rPr>
      </w:pPr>
    </w:p>
    <w:p>
      <w:pPr>
        <w:ind w:left="964" w:right="46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event provides significant financial resources to fund our accelerated growth and scale our waste-to-energy, vertically integrated renewable fuels platform.</w:t>
      </w:r>
    </w:p>
    <w:p>
      <w:pPr>
        <w:spacing w:after="0" w:line="75" w:lineRule="exact"/>
        <w:rPr>
          <w:rFonts w:ascii="Arial" w:cs="Arial" w:eastAsia="Arial" w:hAnsi="Arial"/>
          <w:sz w:val="18"/>
          <w:szCs w:val="18"/>
          <w:color w:val="auto"/>
        </w:rPr>
      </w:pPr>
    </w:p>
    <w:p>
      <w:pPr>
        <w:ind w:left="964" w:right="12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As a public company, we will be ideally positioned to meet the fast-growing demand for renewable fuels and expand the role of ultra low-carbon renewable natural gas across the transportation sector.</w:t>
      </w:r>
    </w:p>
    <w:p>
      <w:pPr>
        <w:spacing w:after="0" w:line="75" w:lineRule="exact"/>
        <w:rPr>
          <w:rFonts w:ascii="Arial" w:cs="Arial" w:eastAsia="Arial" w:hAnsi="Arial"/>
          <w:sz w:val="18"/>
          <w:szCs w:val="18"/>
          <w:color w:val="auto"/>
        </w:rPr>
      </w:pPr>
    </w:p>
    <w:p>
      <w:pPr>
        <w:ind w:left="964" w:right="34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We will continue to operate under the OPAL Fuels name and manage our business the way we do today. It’s business as usual at OPAL Fuels.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Who is ArcLight Clean Transition Corp. II?</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ArcLight Clean Transition Corp. II is a Nasdaq-listed special purpose acquisition company (SPAC).</w:t>
      </w:r>
    </w:p>
    <w:p>
      <w:pPr>
        <w:spacing w:after="0" w:line="130" w:lineRule="exact"/>
        <w:rPr>
          <w:rFonts w:ascii="Arial" w:cs="Arial" w:eastAsia="Arial" w:hAnsi="Arial"/>
          <w:sz w:val="18"/>
          <w:szCs w:val="18"/>
          <w:color w:val="auto"/>
        </w:rPr>
      </w:pPr>
    </w:p>
    <w:p>
      <w:pPr>
        <w:ind w:left="964" w:right="4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ArcLight Clean Transition Corp. II has recognized OPAL Fuels growth potential and our ability to deliver the renewable fuel solutions that are desperately needed to address sustainability and to fuel vehicles for a cleaner today and tomorrow.</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We share a commitment to scaling a purpose-driven business that drives change on a broad scale.</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terms of the transaction?</w:t>
      </w:r>
    </w:p>
    <w:p>
      <w:pPr>
        <w:spacing w:after="0" w:line="134" w:lineRule="exact"/>
        <w:rPr>
          <w:rFonts w:ascii="Arial" w:cs="Arial" w:eastAsia="Arial" w:hAnsi="Arial"/>
          <w:sz w:val="18"/>
          <w:szCs w:val="18"/>
          <w:b w:val="1"/>
          <w:bCs w:val="1"/>
          <w:color w:val="auto"/>
        </w:rPr>
      </w:pPr>
    </w:p>
    <w:p>
      <w:pPr>
        <w:ind w:left="964" w:right="140" w:hanging="424"/>
        <w:spacing w:after="0" w:line="259"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OPAL Fuels expects to raise gross proceeds of approximately $536 million through the business combination, including $311 million of cash held by ArcLight Clean Transition Corp. II, assuming no redemptions, and a $125 million fully committed PIPE (Private Investment in Public Equity), anchored by NextEra Energy, Inc., Electron Capital Partners, Gunvor Group, Wellington Management and Adage Capital Management, with participation by ArcLight affiliates.</w:t>
      </w:r>
    </w:p>
    <w:p>
      <w:pPr>
        <w:spacing w:after="0" w:line="92" w:lineRule="exact"/>
        <w:rPr>
          <w:rFonts w:ascii="Arial" w:cs="Arial" w:eastAsia="Arial" w:hAnsi="Arial"/>
          <w:sz w:val="18"/>
          <w:szCs w:val="18"/>
          <w:color w:val="auto"/>
        </w:rPr>
      </w:pPr>
    </w:p>
    <w:p>
      <w:pPr>
        <w:ind w:left="964" w:right="22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Additionally, affiliates of NextEra Energy have made a commitment for up to a $100 million preferred equity investment in OPAL Fuels and have entered into a purchase and sale agreement for the majority of OPAL Fuels environmental attributes.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FORTISTAR will continue to be the majority shareholder.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transaction values the combined company at an implied pro-forma enterprise value of $1.75 billion.</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Why did OPAL Fuels decide to go the SPAC route?</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SPAC route provides OPAL Fuels with an efficient way to raise significant capital and enter the public markets.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event provides financial resources to fund our growth and scale our renewable fuels platform.</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Did you consider an IPO?</w:t>
      </w:r>
    </w:p>
    <w:p>
      <w:pPr>
        <w:spacing w:after="0" w:line="134" w:lineRule="exact"/>
        <w:rPr>
          <w:rFonts w:ascii="Arial" w:cs="Arial" w:eastAsia="Arial" w:hAnsi="Arial"/>
          <w:sz w:val="18"/>
          <w:szCs w:val="18"/>
          <w:b w:val="1"/>
          <w:bCs w:val="1"/>
          <w:color w:val="auto"/>
        </w:rPr>
      </w:pPr>
    </w:p>
    <w:p>
      <w:pPr>
        <w:ind w:left="964" w:right="36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OPAL Fuels evaluated many opportunities to support the company’s growth and execute on our mission. This approach to entering the public markets made the most sense strategically for our company.</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deal expected to close / when will OPAL Fuels become public?</w:t>
      </w:r>
    </w:p>
    <w:p>
      <w:pPr>
        <w:spacing w:after="0" w:line="134" w:lineRule="exact"/>
        <w:rPr>
          <w:rFonts w:ascii="Arial" w:cs="Arial" w:eastAsia="Arial" w:hAnsi="Arial"/>
          <w:sz w:val="18"/>
          <w:szCs w:val="18"/>
          <w:b w:val="1"/>
          <w:bCs w:val="1"/>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transaction is currently expected to close in the second quarter of 2022.</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29" w:right="439" w:bottom="1440" w:gutter="0" w:footer="0" w:header="0"/>
        </w:sectPr>
      </w:pPr>
    </w:p>
    <w:bookmarkStart w:id="1" w:name="page2"/>
    <w:bookmarkEnd w:id="1"/>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1163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11630" cy="454025"/>
                    </a:xfrm>
                    <a:prstGeom prst="rect">
                      <a:avLst/>
                    </a:prstGeom>
                    <a:noFill/>
                  </pic:spPr>
                </pic:pic>
              </a:graphicData>
            </a:graphic>
          </wp:anchor>
        </w:drawing>
        <w:t>Will anything change with OPAL Fuels leadership?</w:t>
      </w:r>
    </w:p>
    <w:p>
      <w:pPr>
        <w:spacing w:after="0" w:line="134" w:lineRule="exact"/>
        <w:rPr>
          <w:rFonts w:ascii="Arial" w:cs="Arial" w:eastAsia="Arial" w:hAnsi="Arial"/>
          <w:sz w:val="18"/>
          <w:szCs w:val="18"/>
          <w:b w:val="1"/>
          <w:bCs w:val="1"/>
          <w:color w:val="auto"/>
        </w:rPr>
      </w:pPr>
    </w:p>
    <w:p>
      <w:pPr>
        <w:ind w:left="964" w:right="40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OPAL Fuels leadership will remain intact, with Adam Comora and Jonathan Maurer continuing as co-Chief Executive Officers of the combined company.</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OPAL Fuels’ current executive team will continue to lead the combined company.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Board of Directors of the combined company will also include outside independent directors.</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this mean for me as an employee of OPAL Fuels?</w:t>
      </w:r>
    </w:p>
    <w:p>
      <w:pPr>
        <w:spacing w:after="0" w:line="134" w:lineRule="exact"/>
        <w:rPr>
          <w:rFonts w:ascii="Arial" w:cs="Arial" w:eastAsia="Arial" w:hAnsi="Arial"/>
          <w:sz w:val="18"/>
          <w:szCs w:val="18"/>
          <w:b w:val="1"/>
          <w:bCs w:val="1"/>
          <w:color w:val="auto"/>
        </w:rPr>
      </w:pPr>
    </w:p>
    <w:p>
      <w:pPr>
        <w:ind w:left="964" w:right="44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will continue to operate under the OPAL Fuels name and we do not anticipate any meaningful changes to our team or how we do business.</w:t>
      </w:r>
    </w:p>
    <w:p>
      <w:pPr>
        <w:spacing w:after="0" w:line="75" w:lineRule="exact"/>
        <w:rPr>
          <w:rFonts w:ascii="Arial" w:cs="Arial" w:eastAsia="Arial" w:hAnsi="Arial"/>
          <w:sz w:val="18"/>
          <w:szCs w:val="18"/>
          <w:color w:val="auto"/>
        </w:rPr>
      </w:pPr>
    </w:p>
    <w:p>
      <w:pPr>
        <w:ind w:left="964" w:right="680" w:hanging="424"/>
        <w:spacing w:after="0" w:line="308" w:lineRule="auto"/>
        <w:tabs>
          <w:tab w:leader="none" w:pos="964" w:val="left"/>
        </w:tabs>
        <w:numPr>
          <w:ilvl w:val="1"/>
          <w:numId w:val="2"/>
        </w:numPr>
        <w:rPr>
          <w:rFonts w:ascii="Arial" w:cs="Arial" w:eastAsia="Arial" w:hAnsi="Arial"/>
          <w:sz w:val="17"/>
          <w:szCs w:val="17"/>
          <w:color w:val="auto"/>
        </w:rPr>
      </w:pPr>
      <w:r>
        <w:rPr>
          <w:rFonts w:ascii="Arial" w:cs="Arial" w:eastAsia="Arial" w:hAnsi="Arial"/>
          <w:sz w:val="17"/>
          <w:szCs w:val="17"/>
          <w:color w:val="auto"/>
        </w:rPr>
        <w:t>However, as we enter this new chapter, there are some rules we must all follow. There will be new reporting requirements, certain restrictions on financial trading, and the SEC has strict guidelines governing external communications.</w:t>
      </w:r>
    </w:p>
    <w:p>
      <w:pPr>
        <w:spacing w:after="0" w:line="51" w:lineRule="exact"/>
        <w:rPr>
          <w:rFonts w:ascii="Arial" w:cs="Arial" w:eastAsia="Arial" w:hAnsi="Arial"/>
          <w:sz w:val="17"/>
          <w:szCs w:val="17"/>
          <w:color w:val="auto"/>
        </w:rPr>
      </w:pPr>
    </w:p>
    <w:p>
      <w:pPr>
        <w:ind w:left="964" w:right="38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avoid delays or any other repercussions the SEC might impose if we do not adhere to these rules, we must avoid speaking publicly about this process and our business metrics and financials.</w:t>
      </w:r>
    </w:p>
    <w:p>
      <w:pPr>
        <w:spacing w:after="0" w:line="75" w:lineRule="exact"/>
        <w:rPr>
          <w:rFonts w:ascii="Arial" w:cs="Arial" w:eastAsia="Arial" w:hAnsi="Arial"/>
          <w:sz w:val="18"/>
          <w:szCs w:val="18"/>
          <w:color w:val="auto"/>
        </w:rPr>
      </w:pPr>
    </w:p>
    <w:p>
      <w:pPr>
        <w:ind w:left="964" w:hanging="424"/>
        <w:spacing w:after="0" w:line="263"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Accordingly, you must refrain from making statements about our company or our performance in open forums (e.g., online, to friends, on Facebook, Twitter, LinkedIn, via email, to existing or prospective customers, etc.). This means you cannot share or promote anything other than what OPAL Fuels puts on our channels.</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someone from outside OPAL Fuels asks me about this transaction or Opal Fuels’ performance?</w:t>
      </w:r>
    </w:p>
    <w:p>
      <w:pPr>
        <w:spacing w:after="0" w:line="134" w:lineRule="exact"/>
        <w:rPr>
          <w:rFonts w:ascii="Arial" w:cs="Arial" w:eastAsia="Arial" w:hAnsi="Arial"/>
          <w:sz w:val="18"/>
          <w:szCs w:val="18"/>
          <w:b w:val="1"/>
          <w:bCs w:val="1"/>
          <w:color w:val="auto"/>
        </w:rPr>
      </w:pPr>
    </w:p>
    <w:p>
      <w:pPr>
        <w:ind w:left="964" w:right="44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You may not discuss or comment externally on the transaction or the financial or operational health of the business or how it impacts projects on which you are working.</w:t>
      </w:r>
    </w:p>
    <w:p>
      <w:pPr>
        <w:spacing w:after="0" w:line="75" w:lineRule="exact"/>
        <w:rPr>
          <w:rFonts w:ascii="Arial" w:cs="Arial" w:eastAsia="Arial" w:hAnsi="Arial"/>
          <w:sz w:val="18"/>
          <w:szCs w:val="18"/>
          <w:color w:val="auto"/>
        </w:rPr>
      </w:pPr>
    </w:p>
    <w:p>
      <w:pPr>
        <w:ind w:left="964" w:right="40" w:hanging="424"/>
        <w:spacing w:after="0" w:line="263"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someone asks you about OPAL Fuels plans to go public or its company fundamentals, the best response is to say “I cannot comment.” If pushed further, you should say something like, “I can’t speak to that, but I would be happy to connect you with the appropriate team members,” and share the request with Jason Stewart.</w:t>
      </w:r>
    </w:p>
    <w:p>
      <w:pPr>
        <w:spacing w:after="0" w:line="89" w:lineRule="exact"/>
        <w:rPr>
          <w:rFonts w:ascii="Arial" w:cs="Arial" w:eastAsia="Arial" w:hAnsi="Arial"/>
          <w:sz w:val="18"/>
          <w:szCs w:val="18"/>
          <w:color w:val="auto"/>
        </w:rPr>
      </w:pPr>
    </w:p>
    <w:p>
      <w:pPr>
        <w:ind w:left="964" w:right="22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Should you receive any press inquiries, please forward details of the inquiry to Jason Stewart, &lt;jstewart@opalfuels.com&gt;, who can help handle media requests appropriately during this sensitive time.</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this benefit me as an employee of OPAL Fuels?</w:t>
      </w:r>
    </w:p>
    <w:p>
      <w:pPr>
        <w:spacing w:after="0" w:line="134" w:lineRule="exact"/>
        <w:rPr>
          <w:rFonts w:ascii="Arial" w:cs="Arial" w:eastAsia="Arial" w:hAnsi="Arial"/>
          <w:sz w:val="18"/>
          <w:szCs w:val="18"/>
          <w:b w:val="1"/>
          <w:bCs w:val="1"/>
          <w:color w:val="auto"/>
        </w:rPr>
      </w:pPr>
    </w:p>
    <w:p>
      <w:pPr>
        <w:ind w:left="964" w:right="30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Going public will unlock new and exciting opportunities for all of us, as well as provide new resources that will support our vision and mission.</w:t>
      </w:r>
    </w:p>
    <w:p>
      <w:pPr>
        <w:spacing w:after="0" w:line="75" w:lineRule="exact"/>
        <w:rPr>
          <w:rFonts w:ascii="Arial" w:cs="Arial" w:eastAsia="Arial" w:hAnsi="Arial"/>
          <w:sz w:val="18"/>
          <w:szCs w:val="18"/>
          <w:color w:val="auto"/>
        </w:rPr>
      </w:pPr>
    </w:p>
    <w:p>
      <w:pPr>
        <w:ind w:left="964" w:right="26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We hope our employees will take pride in our collective efforts as we kick off the next chapter in our journey to expand the role of ultra low-carbon renewable natural gas across the transportation sector.</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What is insider trading?</w:t>
      </w:r>
    </w:p>
    <w:p>
      <w:pPr>
        <w:spacing w:after="0" w:line="134" w:lineRule="exact"/>
        <w:rPr>
          <w:rFonts w:ascii="Arial" w:cs="Arial" w:eastAsia="Arial" w:hAnsi="Arial"/>
          <w:sz w:val="18"/>
          <w:szCs w:val="18"/>
          <w:b w:val="1"/>
          <w:bCs w:val="1"/>
          <w:color w:val="auto"/>
        </w:rPr>
      </w:pPr>
    </w:p>
    <w:p>
      <w:pPr>
        <w:ind w:left="964" w:right="60" w:hanging="424"/>
        <w:spacing w:after="0" w:line="279" w:lineRule="auto"/>
        <w:tabs>
          <w:tab w:leader="none" w:pos="964" w:val="left"/>
        </w:tabs>
        <w:numPr>
          <w:ilvl w:val="1"/>
          <w:numId w:val="2"/>
        </w:numPr>
        <w:rPr>
          <w:rFonts w:ascii="Arial" w:cs="Arial" w:eastAsia="Arial" w:hAnsi="Arial"/>
          <w:sz w:val="17"/>
          <w:szCs w:val="17"/>
          <w:color w:val="auto"/>
        </w:rPr>
      </w:pPr>
      <w:r>
        <w:rPr>
          <w:rFonts w:ascii="Arial" w:cs="Arial" w:eastAsia="Arial" w:hAnsi="Arial"/>
          <w:sz w:val="17"/>
          <w:szCs w:val="17"/>
          <w:color w:val="auto"/>
        </w:rPr>
        <w:t>Securities laws prohibit directors, officers, employees, and others who are aware of material nonpublic information about a company from trading on that information. Disclosing material nonpublic information to others who then trade on it is also against the law, and both the person who discloses the information and the person who trades on it is liable. These illegal activities are commonly referred to as insider trading, and are serious potential felonies with significant penalties (both jail time and monetary penalties).</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1134" w:right="479" w:bottom="1440" w:gutter="0" w:footer="0" w:header="0"/>
        </w:sectPr>
      </w:pPr>
    </w:p>
    <w:bookmarkStart w:id="2" w:name="page3"/>
    <w:bookmarkEnd w:id="2"/>
    <w:p>
      <w:pPr>
        <w:ind w:left="960" w:hanging="424"/>
        <w:spacing w:after="0" w:line="275"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11630"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454025"/>
                    </a:xfrm>
                    <a:prstGeom prst="rect">
                      <a:avLst/>
                    </a:prstGeom>
                    <a:noFill/>
                  </pic:spPr>
                </pic:pic>
              </a:graphicData>
            </a:graphic>
          </wp:anchor>
        </w:drawing>
        <w:t>Material nonpublic information is any information about a company that has not been widely disseminated to the general public and that would be important to investors who are deciding whether to trade its securities. A few non-exhaustive examples of non-public information that could be considered material include significant contracts, financial forecasts or earnings estimates, major management changes, proposed product launches, information about new markets a company may enter, proposed mergers, acquisitions, or dispositions, major litigation, securities offerings, stock splits, or repurchases of company securities.</w:t>
      </w:r>
    </w:p>
    <w:p>
      <w:pPr>
        <w:spacing w:after="0" w:line="81" w:lineRule="exact"/>
        <w:rPr>
          <w:rFonts w:ascii="Arial" w:cs="Arial" w:eastAsia="Arial" w:hAnsi="Arial"/>
          <w:sz w:val="17"/>
          <w:szCs w:val="17"/>
          <w:color w:val="auto"/>
        </w:rPr>
      </w:pPr>
    </w:p>
    <w:p>
      <w:pPr>
        <w:ind w:left="960" w:right="1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Please inquire with John Coghlin, OPAL Fuel’s General Counsel, if you have any questions about whether information you possess would constitute material non-public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138" w:right="4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11630"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454025"/>
                    </a:xfrm>
                    <a:prstGeom prst="rect">
                      <a:avLst/>
                    </a:prstGeom>
                    <a:noFill/>
                  </pic:spPr>
                </pic:pic>
              </a:graphicData>
            </a:graphic>
          </wp:anchor>
        </w:drawing>
        <w:t>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6"/>
          <w:szCs w:val="16"/>
          <w:color w:val="auto"/>
        </w:rPr>
        <w:t>After the registration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1138"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61163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454025"/>
                    </a:xfrm>
                    <a:prstGeom prst="rect">
                      <a:avLst/>
                    </a:prstGeom>
                    <a:noFill/>
                  </pic:spPr>
                </pic:pic>
              </a:graphicData>
            </a:graphic>
          </wp:anchor>
        </w:drawing>
        <w:t>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0980"/>
      </w:cols>
      <w:pgMar w:left="440" w:top="113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
      <w:numFmt w:val="bullet"/>
      <w:start w:val="1"/>
    </w:lvl>
  </w:abstractNum>
  <w:abstractNum w:abstractNumId="1">
    <w:nsid w:val="74B0DC51"/>
    <w:multiLevelType w:val="hybridMultilevel"/>
    <w:lvl w:ilvl="0">
      <w:lvlJc w:val="left"/>
      <w:lvlText w:val="%1."/>
      <w:numFmt w:val="decimal"/>
      <w:start w:val="7"/>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2021-12-02T15:53:29Z</dcterms:created>
  <dcterms:modified xsi:type="dcterms:W3CDTF">2021-12-02T15:53:29Z</dcterms:modified>
</cp:coreProperties>
</file>