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59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59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Dols Scott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Scott 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Dols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05/20/2024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11,192</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ind w:left="2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5.0568</w:t>
            </w:r>
            <w:r>
              <w:rPr>
                <w:rFonts w:ascii="Times New Roman" w:cs="Times New Roman" w:eastAsia="Times New Roman" w:hAnsi="Times New Roman"/>
                <w:sz w:val="22"/>
                <w:szCs w:val="22"/>
                <w:color w:val="008000"/>
                <w:w w:val="92"/>
                <w:vertAlign w:val="superscript"/>
              </w:rPr>
              <w:t>(1)</w:t>
            </w: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34,823</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 Dtd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11/13/2020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$4.95 and $5.10. The reporting person undertakes to the Issuer or the Staff of the Securities and Exchange Commission, upon request, full information regarding the number of shares purchased at each separate price within the range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919"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2024-05-22T16:27:46Z</dcterms:created>
  <dcterms:modified xsi:type="dcterms:W3CDTF">2024-05-22T16:27:46Z</dcterms:modified>
</cp:coreProperties>
</file>