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center"/>
        <w:rPr/>
      </w:pPr>
      <w:r>
        <w:rPr/>
      </w:r>
    </w:p>
    <w:p>
      <w:pPr>
        <w:pStyle w:val="TextBody"/>
        <w:bidi w:val="0"/>
        <w:spacing w:lineRule="auto" w:line="276" w:before="0" w:after="0"/>
        <w:jc w:val="center"/>
        <w:rPr/>
      </w:pPr>
      <w:r>
        <w:rPr>
          <w:rFonts w:ascii="Times New Roman;sans-serif" w:hAnsi="Times New Roman;sans-serif"/>
          <w:b w:val="false"/>
          <w:color w:val="000000"/>
          <w:sz w:val="20"/>
        </w:rPr>
        <w:t>Registrant's telephone number, including area code</w:t>
      </w:r>
      <w:r>
        <w:rPr>
          <w:rFonts w:ascii="Times New Roman;sans-serif" w:hAnsi="Times New Roman;sans-serif"/>
          <w:b/>
          <w:color w:val="000000"/>
          <w:sz w:val="20"/>
        </w:rPr>
        <w:t xml:space="preserve">: (914) 705-4000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68" w:before="0" w:after="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before="0" w:after="0"/>
        <w:jc w:val="left"/>
        <w:rPr/>
      </w:pPr>
      <w:r>
        <w:rPr/>
      </w:r>
    </w:p>
    <w:p>
      <w:pPr>
        <w:pStyle w:val="TextBody"/>
        <w:bidi w:val="0"/>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 </w:t>
      </w:r>
    </w:p>
    <w:p>
      <w:pPr>
        <w:pStyle w:val="TextBody"/>
        <w:bidi w:val="0"/>
        <w:spacing w:before="0" w:after="0"/>
        <w:jc w:val="left"/>
        <w:rPr/>
      </w:pPr>
      <w:r>
        <w:rPr/>
      </w:r>
    </w:p>
    <w:p>
      <w:pPr>
        <w:pStyle w:val="TextBody"/>
        <w:bidi w:val="0"/>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43535"/>
                <wp:effectExtent l="0" t="0" r="0" b="0"/>
                <wp:wrapNone/>
                <wp:docPr id="1" name="Frame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53" w:after="283"/>
        <w:jc w:val="righ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Act).     Yes   ☐     No  </w:t>
      </w:r>
      <w:r>
        <w:rPr>
          <w:color w:val="000000"/>
        </w:rPr>
        <w: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voting and non-voting common equity held by non-affiliates of the registrant on June 28, 2024, the last business day of the registrant’s most recently completed second fiscal quarter, was approximately $107,075,893 based on the closing price of the registrant's Class A common stock on The Nasdaq Capital Market on that date. </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March 13, 2025</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a total of 28,429,477 shares of Class A common stock, par value $0.0001 per share, 71,500,000 shares of Class B common stock, par value $0.0001 per share and 72,899,037 shares of Class D common stock, par value $0.0001 per share were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43535"/>
                <wp:effectExtent l="0" t="0" r="0" b="0"/>
                <wp:wrapNone/>
                <wp:docPr id="2" name="Frame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
        <w:gridCol w:w="287"/>
        <w:gridCol w:w="289"/>
        <w:gridCol w:w="2923"/>
        <w:gridCol w:w="2910"/>
        <w:gridCol w:w="2926"/>
        <w:gridCol w:w="158"/>
        <w:gridCol w:w="158"/>
        <w:gridCol w:w="22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9">
              <w:r>
                <w:rPr>
                  <w:rStyle w:val="InternetLink"/>
                  <w:rFonts w:ascii="Times New Roman;sans-serif" w:hAnsi="Times New Roman;sans-serif"/>
                  <w:b w:val="false"/>
                  <w:color w:val="0000FF"/>
                  <w:sz w:val="20"/>
                  <w:u w:val="single"/>
                </w:rPr>
                <w:t>Business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9">
              <w:r>
                <w:rPr>
                  <w:rStyle w:val="InternetLink"/>
                  <w:rFonts w:ascii="Times New Roman;sans-serif" w:hAnsi="Times New Roman;sans-serif"/>
                  <w:b w:val="false"/>
                  <w:color w:val="0000FF"/>
                  <w:sz w:val="20"/>
                  <w:u w:val="single"/>
                </w:rPr>
                <w:t>2</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2">
              <w:r>
                <w:rPr>
                  <w:rStyle w:val="InternetLink"/>
                  <w:rFonts w:ascii="Times New Roman;sans-serif" w:hAnsi="Times New Roman;sans-serif"/>
                  <w:b w:val="false"/>
                  <w:color w:val="0000FF"/>
                  <w:sz w:val="20"/>
                  <w:u w:val="single"/>
                </w:rPr>
                <w:t>Risk Factors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2">
              <w:r>
                <w:rPr>
                  <w:rStyle w:val="InternetLink"/>
                  <w:rFonts w:ascii="Times New Roman;sans-serif" w:hAnsi="Times New Roman;sans-serif"/>
                  <w:b w:val="false"/>
                  <w:color w:val="0000FF"/>
                  <w:sz w:val="20"/>
                  <w:u w:val="single"/>
                </w:rPr>
                <w:t>17</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5">
              <w:r>
                <w:rPr>
                  <w:rStyle w:val="InternetLink"/>
                  <w:rFonts w:ascii="Times New Roman;sans-serif" w:hAnsi="Times New Roman;sans-serif"/>
                  <w:b w:val="false"/>
                  <w:color w:val="0000FF"/>
                  <w:sz w:val="20"/>
                  <w:u w:val="single"/>
                </w:rPr>
                <w:t>Unresolved Staff Comments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5">
              <w:r>
                <w:rPr>
                  <w:rStyle w:val="InternetLink"/>
                  <w:rFonts w:ascii="Times New Roman;sans-serif" w:hAnsi="Times New Roman;sans-serif"/>
                  <w:b w:val="false"/>
                  <w:color w:val="0000FF"/>
                  <w:sz w:val="20"/>
                  <w:u w:val="single"/>
                </w:rPr>
                <w:t>50</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8">
              <w:r>
                <w:rPr>
                  <w:rStyle w:val="InternetLink"/>
                  <w:rFonts w:ascii="Times New Roman;sans-serif" w:hAnsi="Times New Roman;sans-serif"/>
                  <w:b w:val="false"/>
                  <w:color w:val="0000FF"/>
                  <w:sz w:val="20"/>
                  <w:u w:val="single"/>
                </w:rPr>
                <w:t>Cybersecurity</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28">
              <w:r>
                <w:rPr>
                  <w:rStyle w:val="InternetLink"/>
                  <w:rFonts w:ascii="Times New Roman;sans-serif" w:hAnsi="Times New Roman;sans-serif"/>
                  <w:b w:val="false"/>
                  <w:color w:val="0000FF"/>
                  <w:sz w:val="20"/>
                  <w:u w:val="single"/>
                </w:rPr>
                <w:t>53</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1">
              <w:r>
                <w:rPr>
                  <w:rStyle w:val="InternetLink"/>
                  <w:rFonts w:ascii="Times New Roman;sans-serif" w:hAnsi="Times New Roman;sans-serif"/>
                  <w:b w:val="false"/>
                  <w:color w:val="0000FF"/>
                  <w:sz w:val="20"/>
                  <w:u w:val="single"/>
                </w:rPr>
                <w:t>Properties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1">
              <w:r>
                <w:rPr>
                  <w:rStyle w:val="InternetLink"/>
                  <w:rFonts w:ascii="Times New Roman;sans-serif" w:hAnsi="Times New Roman;sans-serif"/>
                  <w:b w:val="false"/>
                  <w:color w:val="0000FF"/>
                  <w:sz w:val="20"/>
                  <w:u w:val="single"/>
                </w:rPr>
                <w:t>50</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4">
              <w:r>
                <w:rPr>
                  <w:rStyle w:val="InternetLink"/>
                  <w:rFonts w:ascii="Times New Roman;sans-serif" w:hAnsi="Times New Roman;sans-serif"/>
                  <w:b w:val="false"/>
                  <w:color w:val="0000FF"/>
                  <w:sz w:val="20"/>
                  <w:u w:val="singl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4">
              <w:r>
                <w:rPr>
                  <w:rStyle w:val="InternetLink"/>
                  <w:rFonts w:ascii="Times New Roman;sans-serif" w:hAnsi="Times New Roman;sans-serif"/>
                  <w:b w:val="false"/>
                  <w:color w:val="0000FF"/>
                  <w:sz w:val="20"/>
                  <w:u w:val="single"/>
                </w:rPr>
                <w:t>51</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7">
              <w:r>
                <w:rPr>
                  <w:rStyle w:val="InternetLink"/>
                  <w:rFonts w:ascii="Times New Roman;sans-serif" w:hAnsi="Times New Roman;sans-serif"/>
                  <w:b w:val="false"/>
                  <w:color w:val="000080"/>
                  <w:sz w:val="20"/>
                  <w:u w:val="single"/>
                </w:rPr>
                <w:t>Mine Safety Disclosure</w:t>
              </w:r>
            </w:hyperlink>
            <w:hyperlink w:anchor="i54c71b1fe5304504affd19c3c5153010_37">
              <w:r>
                <w:rPr>
                  <w:rStyle w:val="InternetLink"/>
                  <w:rFonts w:ascii="Times New Roman;sans-serif" w:hAnsi="Times New Roman;sans-serif"/>
                  <w:b w:val="false"/>
                  <w:color w:val="000080"/>
                  <w:sz w:val="20"/>
                  <w:u w:val="single"/>
                </w:rPr>
                <w:t>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37">
              <w:r>
                <w:rPr>
                  <w:rStyle w:val="InternetLink"/>
                  <w:rFonts w:ascii="Times New Roman;sans-serif" w:hAnsi="Times New Roman;sans-serif"/>
                  <w:b w:val="false"/>
                  <w:color w:val="0000FF"/>
                  <w:sz w:val="20"/>
                  <w:u w:val="single"/>
                </w:rPr>
                <w:t>52</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3">
              <w:r>
                <w:rPr>
                  <w:rStyle w:val="InternetLink"/>
                  <w:rFonts w:ascii="Times New Roman;sans-serif" w:hAnsi="Times New Roman;sans-serif"/>
                  <w:b w:val="false"/>
                  <w:color w:val="0000FF"/>
                  <w:sz w:val="20"/>
                  <w:u w:val="single"/>
                </w:rPr>
                <w:t>52</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6">
              <w:r>
                <w:rPr>
                  <w:rStyle w:val="InternetLink"/>
                  <w:rFonts w:ascii="Times New Roman;sans-serif" w:hAnsi="Times New Roman;sans-serif"/>
                  <w:b w:val="false"/>
                  <w:color w:val="0000FF"/>
                  <w:sz w:val="20"/>
                  <w:u w:val="single"/>
                </w:rPr>
                <w:t>[Reserved]</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6">
              <w:r>
                <w:rPr>
                  <w:rStyle w:val="InternetLink"/>
                  <w:rFonts w:ascii="Times New Roman;sans-serif" w:hAnsi="Times New Roman;sans-serif"/>
                  <w:b w:val="false"/>
                  <w:color w:val="0000FF"/>
                  <w:sz w:val="20"/>
                  <w:u w:val="single"/>
                </w:rPr>
                <w:t>52</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49">
              <w:r>
                <w:rPr>
                  <w:rStyle w:val="InternetLink"/>
                  <w:rFonts w:ascii="Times New Roman;sans-serif" w:hAnsi="Times New Roman;sans-serif"/>
                  <w:b w:val="false"/>
                  <w:color w:val="0000FF"/>
                  <w:sz w:val="20"/>
                  <w:u w:val="single"/>
                </w:rPr>
                <w:t>53</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64">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64">
              <w:r>
                <w:rPr>
                  <w:rStyle w:val="InternetLink"/>
                  <w:rFonts w:ascii="Times New Roman;sans-serif" w:hAnsi="Times New Roman;sans-serif"/>
                  <w:b w:val="false"/>
                  <w:color w:val="0000FF"/>
                  <w:sz w:val="20"/>
                  <w:u w:val="single"/>
                </w:rPr>
                <w:t>70</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67">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67">
              <w:r>
                <w:rPr>
                  <w:rStyle w:val="InternetLink"/>
                  <w:rFonts w:ascii="Times New Roman;sans-serif" w:hAnsi="Times New Roman;sans-serif"/>
                  <w:b w:val="false"/>
                  <w:color w:val="0000FF"/>
                  <w:sz w:val="20"/>
                  <w:u w:val="single"/>
                </w:rPr>
                <w:t>71</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0">
              <w:r>
                <w:rPr>
                  <w:rStyle w:val="InternetLink"/>
                  <w:rFonts w:ascii="Times New Roman;sans-serif" w:hAnsi="Times New Roman;sans-serif"/>
                  <w:b w:val="false"/>
                  <w:color w:val="0000FF"/>
                  <w:sz w:val="20"/>
                  <w:u w:val="single"/>
                </w:rPr>
                <w:t>71</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3">
              <w:r>
                <w:rPr>
                  <w:rStyle w:val="InternetLink"/>
                  <w:rFonts w:ascii="Times New Roman;sans-serif" w:hAnsi="Times New Roman;sans-serif"/>
                  <w:b w:val="false"/>
                  <w:color w:val="0000FF"/>
                  <w:sz w:val="20"/>
                  <w:u w:val="single"/>
                </w:rPr>
                <w:t>Controls and Procedures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3">
              <w:r>
                <w:rPr>
                  <w:rStyle w:val="InternetLink"/>
                  <w:rFonts w:ascii="Times New Roman;sans-serif" w:hAnsi="Times New Roman;sans-serif"/>
                  <w:b w:val="false"/>
                  <w:color w:val="0000FF"/>
                  <w:sz w:val="20"/>
                  <w:u w:val="single"/>
                </w:rPr>
                <w:t>71</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6">
              <w:r>
                <w:rPr>
                  <w:rStyle w:val="InternetLink"/>
                  <w:rFonts w:ascii="Times New Roman;sans-serif" w:hAnsi="Times New Roman;sans-serif"/>
                  <w:b w:val="false"/>
                  <w:color w:val="0000FF"/>
                  <w:sz w:val="20"/>
                  <w:u w:val="single"/>
                </w:rPr>
                <w:t>Other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6">
              <w:r>
                <w:rPr>
                  <w:rStyle w:val="InternetLink"/>
                  <w:rFonts w:ascii="Times New Roman;sans-serif" w:hAnsi="Times New Roman;sans-serif"/>
                  <w:b w:val="false"/>
                  <w:color w:val="0000FF"/>
                  <w:sz w:val="20"/>
                  <w:u w:val="single"/>
                </w:rPr>
                <w:t>71</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9">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79">
              <w:r>
                <w:rPr>
                  <w:rStyle w:val="InternetLink"/>
                  <w:rFonts w:ascii="Times New Roman;sans-serif" w:hAnsi="Times New Roman;sans-serif"/>
                  <w:b w:val="false"/>
                  <w:color w:val="0000FF"/>
                  <w:sz w:val="20"/>
                  <w:u w:val="single"/>
                </w:rPr>
                <w:t>72</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85">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85">
              <w:r>
                <w:rPr>
                  <w:rStyle w:val="InternetLink"/>
                  <w:rFonts w:ascii="Times New Roman;sans-serif" w:hAnsi="Times New Roman;sans-serif"/>
                  <w:b w:val="false"/>
                  <w:color w:val="0000FF"/>
                  <w:sz w:val="20"/>
                  <w:u w:val="single"/>
                </w:rPr>
                <w:t>72</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88">
              <w:r>
                <w:rPr>
                  <w:rStyle w:val="InternetLink"/>
                  <w:rFonts w:ascii="Times New Roman;sans-serif" w:hAnsi="Times New Roman;sans-serif"/>
                  <w:b w:val="false"/>
                  <w:color w:val="0000FF"/>
                  <w:sz w:val="20"/>
                  <w:u w:val="single"/>
                </w:rPr>
                <w:t>Executive Compensation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88">
              <w:r>
                <w:rPr>
                  <w:rStyle w:val="InternetLink"/>
                  <w:rFonts w:ascii="Times New Roman;sans-serif" w:hAnsi="Times New Roman;sans-serif"/>
                  <w:b w:val="false"/>
                  <w:color w:val="0000FF"/>
                  <w:sz w:val="20"/>
                  <w:u w:val="single"/>
                </w:rPr>
                <w:t>73</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1">
              <w:r>
                <w:rPr>
                  <w:rStyle w:val="InternetLink"/>
                  <w:rFonts w:ascii="Times New Roman;sans-serif" w:hAnsi="Times New Roman;sans-serif"/>
                  <w:b w:val="false"/>
                  <w:color w:val="0000FF"/>
                  <w:sz w:val="20"/>
                  <w:u w:val="single"/>
                </w:rPr>
                <w:t>73</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4">
              <w:r>
                <w:rPr>
                  <w:rStyle w:val="InternetLink"/>
                  <w:rFonts w:ascii="Times New Roman;sans-serif" w:hAnsi="Times New Roman;sans-serif"/>
                  <w:b w:val="false"/>
                  <w:color w:val="0000FF"/>
                  <w:sz w:val="20"/>
                  <w:u w:val="single"/>
                </w:rPr>
                <w:t>73</w:t>
              </w:r>
            </w:hyperlink>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7">
              <w:r>
                <w:rPr>
                  <w:rStyle w:val="InternetLink"/>
                  <w:rFonts w:ascii="Times New Roman;sans-serif" w:hAnsi="Times New Roman;sans-serif"/>
                  <w:b w:val="false"/>
                  <w:color w:val="0000FF"/>
                  <w:sz w:val="20"/>
                  <w:u w:val="single"/>
                </w:rPr>
                <w:t>Principal Accountant Fees and Services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97">
              <w:r>
                <w:rPr>
                  <w:rStyle w:val="InternetLink"/>
                  <w:rFonts w:ascii="Times New Roman;sans-serif" w:hAnsi="Times New Roman;sans-serif"/>
                  <w:b w:val="false"/>
                  <w:color w:val="0000FF"/>
                  <w:sz w:val="20"/>
                  <w:u w:val="single"/>
                </w:rPr>
                <w:t>73</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00">
              <w:r>
                <w:rPr>
                  <w:rStyle w:val="InternetLink"/>
                  <w:rFonts w:ascii="Times New Roman;sans-serif" w:hAnsi="Times New Roman;sans-serif"/>
                  <w:b w:val="false"/>
                  <w:color w:val="000080"/>
                  <w:sz w:val="20"/>
                  <w:u w:val="single"/>
                </w:rPr>
                <w:t>Exhibit</w:t>
              </w:r>
            </w:hyperlink>
            <w:hyperlink w:anchor="i54c71b1fe5304504affd19c3c5153010_100">
              <w:r>
                <w:rPr>
                  <w:rStyle w:val="InternetLink"/>
                  <w:rFonts w:ascii="Times New Roman;sans-serif" w:hAnsi="Times New Roman;sans-serif"/>
                  <w:b w:val="false"/>
                  <w:color w:val="000080"/>
                  <w:sz w:val="20"/>
                  <w:u w:val="single"/>
                </w:rPr>
                <w:t>s</w:t>
              </w:r>
            </w:hyperlink>
            <w:hyperlink w:anchor="i54c71b1fe5304504affd19c3c5153010_100">
              <w:r>
                <w:rPr>
                  <w:rStyle w:val="InternetLink"/>
                  <w:rFonts w:ascii="Times New Roman;sans-serif" w:hAnsi="Times New Roman;sans-serif"/>
                  <w:b w:val="false"/>
                  <w:color w:val="000080"/>
                  <w:sz w:val="20"/>
                  <w:u w:val="single"/>
                </w:rPr>
                <w:t xml:space="preserve"> and Financial Statement Schedules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00">
              <w:r>
                <w:rPr>
                  <w:rStyle w:val="InternetLink"/>
                  <w:rFonts w:ascii="Times New Roman;sans-serif" w:hAnsi="Times New Roman;sans-serif"/>
                  <w:b w:val="false"/>
                  <w:color w:val="0000FF"/>
                  <w:sz w:val="20"/>
                  <w:u w:val="single"/>
                </w:rPr>
                <w:t>73</w:t>
              </w:r>
            </w:hyperlink>
          </w:p>
        </w:tc>
      </w:tr>
      <w:tr>
        <w:trPr/>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03">
              <w:r>
                <w:rPr>
                  <w:rStyle w:val="InternetLink"/>
                  <w:rFonts w:ascii="Times New Roman;sans-serif" w:hAnsi="Times New Roman;sans-serif"/>
                  <w:b w:val="false"/>
                  <w:color w:val="0000FF"/>
                  <w:sz w:val="20"/>
                  <w:u w:val="single"/>
                </w:rPr>
                <w:t>Signatures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03">
              <w:r>
                <w:rPr>
                  <w:rStyle w:val="InternetLink"/>
                  <w:rFonts w:ascii="Times New Roman;sans-serif" w:hAnsi="Times New Roman;sans-serif"/>
                  <w:b w:val="false"/>
                  <w:color w:val="0000FF"/>
                  <w:sz w:val="20"/>
                  <w:u w:val="single"/>
                </w:rPr>
                <w:t>78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Annual Report on Form 10-K (this “Form 10-K” or “Annual Report”) to “we,” “us,” “our,” “OPAL Fuels,” “OPAL,” the “Company” and similar terms all refer to OPAL Fuels Inc. and its subsidiaries, unless otherwise stated or the context otherwise requires.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glossary of terms (the “Glossary”) that should be used as a reference when reading this Annual Report can be found immediately prior to Item 1A.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that are used in this Annual Report are either defined when they are first used or in the Glossary.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dollar amounts are stated in United States (“U.S.”) dollars unless otherwise stated.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43535"/>
                <wp:effectExtent l="0" t="0" r="0" b="0"/>
                <wp:wrapNone/>
                <wp:docPr id="3" name="Frame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AND RISK FACTOR SUMMARY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grow and manage growth profitably, and maintain relationships with customers and suppliers;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and sell equity or equity-linked securities or obtain or amend debt financing;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effect of legal, tax and regulatory changes;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other factors detailed under the section entitled “Risk Factors.”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43535"/>
                <wp:effectExtent l="0" t="0" r="0" b="0"/>
                <wp:wrapNone/>
                <wp:docPr id="4" name="Frame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a leading provider of RNG to the heavy and medium-duty commercial vehicle market in the U.S. We support these objectives through a multi-pronged strategy of:</w:t>
      </w:r>
    </w:p>
    <w:p>
      <w:pPr>
        <w:pStyle w:val="TextBody"/>
        <w:bidi w:val="0"/>
        <w:spacing w:lineRule="auto" w:line="288" w:before="0" w:after="200"/>
        <w:ind w:left="0" w:right="0" w:firstLine="360"/>
        <w:jc w:val="both"/>
        <w:rPr/>
      </w:pPr>
      <w:r>
        <w:rPr>
          <w:color w:val="000000"/>
        </w:rPr>
        <w:t>•</w:t>
      </w:r>
      <w:r>
        <w:rPr>
          <w:rFonts w:ascii="Times New Roman;sans-serif" w:hAnsi="Times New Roman;sans-serif"/>
          <w:b/>
          <w:i/>
          <w:color w:val="000000"/>
          <w:sz w:val="20"/>
        </w:rPr>
        <w:t xml:space="preserve">Promoting the reduction of methane and GHG emissions and expanding the use of renewable fuels to displace fossil-based fuels: </w:t>
      </w:r>
      <w:r>
        <w:rPr>
          <w:rFonts w:ascii="Times New Roman;sans-serif" w:hAnsi="Times New Roman;sans-serif"/>
          <w:b w:val="false"/>
          <w:color w:val="000000"/>
          <w:sz w:val="20"/>
        </w:rPr>
        <w:t>We share the renewable fuel industry’s commitment to</w:t>
      </w:r>
      <w:r>
        <w:rPr>
          <w:color w:val="000000"/>
        </w:rPr>
        <w:t xml:space="preserve"> </w:t>
      </w:r>
      <w:r>
        <w:rPr>
          <w:rFonts w:ascii="Times New Roman;sans-serif" w:hAnsi="Times New Roman;sans-serif"/>
          <w:b w:val="false"/>
          <w:color w:val="000000"/>
          <w:sz w:val="20"/>
        </w:rPr>
        <w:t>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extBody"/>
        <w:bidi w:val="0"/>
        <w:spacing w:lineRule="auto" w:line="288" w:before="0" w:after="200"/>
        <w:ind w:left="0" w:right="0" w:firstLine="360"/>
        <w:jc w:val="both"/>
        <w:rPr/>
      </w:pPr>
      <w:r>
        <w:rPr>
          <w:color w:val="000000"/>
        </w:rPr>
        <w:t>•</w:t>
      </w:r>
      <w:r>
        <w:rPr>
          <w:rFonts w:ascii="Times New Roman;sans-serif" w:hAnsi="Times New Roman;sans-serif"/>
          <w:b/>
          <w:i/>
          <w:color w:val="000000"/>
          <w:sz w:val="20"/>
        </w:rPr>
        <w:t xml:space="preserve">Expanding our industry position as a full-service partner for development opportunities, including through strategic transactions: </w:t>
      </w:r>
      <w:r>
        <w:rPr>
          <w:rFonts w:ascii="Times New Roman;sans-serif" w:hAnsi="Times New Roman;sans-serif"/>
          <w:b w:val="false"/>
          <w:color w:val="000000"/>
          <w:sz w:val="20"/>
        </w:rPr>
        <w:t>Throughout our over twenty years of biogas conversion</w:t>
      </w:r>
      <w:r>
        <w:rPr>
          <w:color w:val="000000"/>
        </w:rPr>
        <w:t xml:space="preserve"> </w:t>
      </w:r>
      <w:r>
        <w:rPr>
          <w:rFonts w:ascii="Times New Roman;sans-serif" w:hAnsi="Times New Roman;sans-serif"/>
          <w:b w:val="false"/>
          <w:color w:val="000000"/>
          <w:sz w:val="20"/>
        </w:rPr>
        <w:t>experience, we have developed the full range of biogas conversion project related capabilities from landfill gas collection system expertise, to engineering, construction, management and operations, through environmental health and safety ("EHS") oversight and Environmental Attributes management. Our full suite of capabilities allows us to serve as a multi-project partner, including through strategic transactions.</w:t>
      </w:r>
    </w:p>
    <w:p>
      <w:pPr>
        <w:pStyle w:val="TextBody"/>
        <w:bidi w:val="0"/>
        <w:spacing w:lineRule="auto" w:line="288" w:before="0" w:after="200"/>
        <w:ind w:left="0" w:right="0" w:firstLine="360"/>
        <w:jc w:val="both"/>
        <w:rPr/>
      </w:pPr>
      <w:r>
        <w:rPr>
          <w:color w:val="000000"/>
        </w:rPr>
        <w:t>•</w:t>
      </w:r>
      <w:r>
        <w:rPr>
          <w:rFonts w:ascii="Times New Roman;sans-serif" w:hAnsi="Times New Roman;sans-serif"/>
          <w:b/>
          <w:i/>
          <w:color w:val="000000"/>
          <w:sz w:val="20"/>
        </w:rPr>
        <w:t xml:space="preserve">Expanding our capabilities to new feedstock sources and technologies: </w:t>
      </w:r>
      <w:r>
        <w:rPr>
          <w:rFonts w:ascii="Times New Roman;sans-serif" w:hAnsi="Times New Roman;sans-serif"/>
          <w:b w:val="false"/>
          <w:color w:val="000000"/>
          <w:sz w:val="20"/>
        </w:rPr>
        <w:t>We believe we will be</w:t>
      </w:r>
      <w:r>
        <w:rPr>
          <w:color w:val="000000"/>
        </w:rPr>
        <w:t xml:space="preserve"> </w:t>
      </w:r>
      <w:r>
        <w:rPr>
          <w:rFonts w:ascii="Times New Roman;sans-serif" w:hAnsi="Times New Roman;sans-serif"/>
          <w:b w:val="false"/>
          <w:color w:val="000000"/>
          <w:sz w:val="20"/>
        </w:rPr>
        <w:t>able to enter new markets for our products. With our experience and industry expertise, we believe we are well-positioned to take advantage of opportunities to meet the clean energy needs of other industries looking to use renewable energy in their operations both domestic and internationally. We are actively reviewing opportunities beyond our core LFG and dairy RNG business. Specifically, we intend to diversify our project portfolio beyond landfill biogas through the expansion into additional methane producing assets.</w:t>
      </w:r>
    </w:p>
    <w:p>
      <w:pPr>
        <w:pStyle w:val="TextBody"/>
        <w:bidi w:val="0"/>
        <w:spacing w:lineRule="auto" w:line="288" w:before="0" w:after="200"/>
        <w:ind w:left="0" w:right="0" w:firstLine="360"/>
        <w:jc w:val="both"/>
        <w:rPr/>
      </w:pPr>
      <w:r>
        <w:rPr>
          <w:color w:val="000000"/>
        </w:rPr>
        <w:t>•</w:t>
      </w:r>
      <w:r>
        <w:rPr>
          <w:rFonts w:ascii="Times New Roman;sans-serif" w:hAnsi="Times New Roman;sans-serif"/>
          <w:b/>
          <w:i/>
          <w:color w:val="000000"/>
          <w:sz w:val="20"/>
        </w:rPr>
        <w:t xml:space="preserve">Empowering our customers to achieve their sustainability and carbon reduction objectives: </w:t>
      </w:r>
      <w:r>
        <w:rPr>
          <w:rFonts w:ascii="Times New Roman;sans-serif" w:hAnsi="Times New Roman;sans-serif"/>
          <w:b w:val="false"/>
          <w:color w:val="000000"/>
          <w:sz w:val="20"/>
        </w:rPr>
        <w:t>We are well positioned to empower our customers to achieve their sustainability and</w:t>
      </w:r>
      <w:r>
        <w:rPr>
          <w:color w:val="000000"/>
        </w:rPr>
        <w:t xml:space="preserve"> </w:t>
      </w:r>
      <w:r>
        <w:rPr>
          <w:rFonts w:ascii="Times New Roman;sans-serif" w:hAnsi="Times New Roman;sans-serif"/>
          <w:b w:val="false"/>
          <w:color w:val="000000"/>
          <w:sz w:val="20"/>
        </w:rPr>
        <w:t xml:space="preserve">carbon reduction goals, by, for example, reducing GHG emissions from their commercial transportation activities, at a cost to customers that is competitive to other fuels, like diesel. We also assist our customers in their transition to cleaner transportation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fuels by helping them obtain federal, state and local tax credits, grants and incentives, vehicle financing, and facilitating customer selection of vehicle specifications to meet their needs.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Vertical Integration of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 and Project Expertise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Access to Development Opportunities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relationships throughout the industry supply chain including technology and equipment providers, feedstock owners and RNG off-takers. We believe the strong reputation we have attained and our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We actively seek to extend the term of our contracts at project sites and views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positive relationships with the owners and managers of host landfills and dairy farms as a contributing factor to our ability to extend contract terms as they come due.</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Large and Diverse Project Portfolio</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EHS and Compliance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pStyle w:val="TextBody"/>
        <w:bidi w:val="0"/>
        <w:spacing w:lineRule="auto" w:line="288" w:before="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Capture and Conversion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and will continue to support growth through development and acquisitions.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Dispensing and Monetization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dispensed 74 million gasoline gallon equivalent ("GGEs") of RNG to the transportation market, generating corresponding Environmental Attributes, utilizing our current network of Fueling Stations across the United States.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Hydrogen Fuel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coming years, we believe we will be able to provide hydrogen fuel to vehicle fleets by constructing and servicing hydrogen fueling stations as well as providing RNG for hydrogen production. </w:t>
      </w:r>
    </w:p>
    <w:p>
      <w:pPr>
        <w:pStyle w:val="TextBody"/>
        <w:bidi w:val="0"/>
        <w:spacing w:lineRule="auto" w:line="288" w:before="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How We Generate Revenue</w:t>
      </w:r>
    </w:p>
    <w:p>
      <w:pPr>
        <w:pStyle w:val="TextBody"/>
        <w:bidi w:val="0"/>
        <w:spacing w:lineRule="auto" w:line="288" w:before="0" w:after="200"/>
        <w:ind w:left="0" w:right="0" w:firstLine="360"/>
        <w:jc w:val="both"/>
        <w:rPr/>
      </w:pPr>
      <w:r>
        <w:rPr>
          <w:rFonts w:ascii="Times New Roman;sans-serif" w:hAnsi="Times New Roman;sans-serif"/>
          <w:b/>
          <w:i/>
          <w:color w:val="000000"/>
          <w:sz w:val="20"/>
        </w:rPr>
        <w:t xml:space="preserve">Overview. </w:t>
      </w:r>
      <w:r>
        <w:rPr>
          <w:rFonts w:ascii="Times New Roman;sans-serif" w:hAnsi="Times New Roman;sans-serif"/>
          <w:b w:val="false"/>
          <w:color w:val="000000"/>
          <w:sz w:val="20"/>
        </w:rPr>
        <w:t>Our revenues are driven principally from the sale of Environmental Attributes that are</w:t>
      </w:r>
      <w:r>
        <w:rPr>
          <w:color w:val="000000"/>
        </w:rPr>
        <w:t xml:space="preserve"> </w:t>
      </w:r>
      <w:r>
        <w:rPr>
          <w:rFonts w:ascii="Times New Roman;sans-serif" w:hAnsi="Times New Roman;sans-serif"/>
          <w:b w:val="false"/>
          <w:color w:val="000000"/>
          <w:sz w:val="20"/>
        </w:rPr>
        <w:t>generated from dispensing RNG as transportation fuel for 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pStyle w:val="TextBody"/>
        <w:bidi w:val="0"/>
        <w:spacing w:lineRule="auto" w:line="288" w:before="0" w:after="200"/>
        <w:ind w:left="0" w:right="0" w:firstLine="360"/>
        <w:jc w:val="both"/>
        <w:rPr/>
      </w:pPr>
      <w:r>
        <w:rPr>
          <w:rFonts w:ascii="Times New Roman;sans-serif" w:hAnsi="Times New Roman;sans-serif"/>
          <w:b/>
          <w:i/>
          <w:color w:val="000000"/>
          <w:sz w:val="20"/>
        </w:rPr>
        <w:t xml:space="preserve">Environmental Attributes. </w:t>
      </w:r>
      <w:r>
        <w:rPr>
          <w:rFonts w:ascii="Times New Roman;sans-serif" w:hAnsi="Times New Roman;sans-serif"/>
          <w:b w:val="false"/>
          <w:color w:val="000000"/>
          <w:sz w:val="20"/>
        </w:rPr>
        <w:t>Currently, our Environmental Attributes revenue stream is primarily</w:t>
      </w:r>
      <w:r>
        <w:rPr>
          <w:color w:val="000000"/>
        </w:rPr>
        <w:t xml:space="preserve"> </w:t>
      </w:r>
      <w:r>
        <w:rPr>
          <w:rFonts w:ascii="Times New Roman;sans-serif" w:hAnsi="Times New Roman;sans-serif"/>
          <w:b w:val="false"/>
          <w:color w:val="000000"/>
          <w:sz w:val="20"/>
        </w:rPr>
        <w:t xml:space="preserve">comprised of RINs, LCFS credits, ISCC Carbon 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w:t>
      </w:r>
      <w:r>
        <w:rPr>
          <w:rFonts w:ascii="Times New Roman;sans-serif" w:hAnsi="Times New Roman;sans-serif"/>
          <w:b w:val="false"/>
          <w:i/>
          <w:color w:val="000000"/>
          <w:sz w:val="20"/>
        </w:rPr>
        <w:t>"Biogas RNG Market Opportunity".</w:t>
      </w:r>
    </w:p>
    <w:p>
      <w:pPr>
        <w:pStyle w:val="TextBody"/>
        <w:bidi w:val="0"/>
        <w:spacing w:lineRule="auto" w:line="288" w:before="0" w:after="200"/>
        <w:ind w:left="0" w:right="0" w:firstLine="360"/>
        <w:jc w:val="both"/>
        <w:rPr/>
      </w:pPr>
      <w:r>
        <w:rPr>
          <w:rFonts w:ascii="Times New Roman;sans-serif" w:hAnsi="Times New Roman;sans-serif"/>
          <w:b/>
          <w:i/>
          <w:color w:val="000000"/>
          <w:sz w:val="20"/>
        </w:rPr>
        <w:t xml:space="preserve">Power Purchase Agreements. </w:t>
      </w:r>
      <w:r>
        <w:rPr>
          <w:rFonts w:ascii="Times New Roman;sans-serif" w:hAnsi="Times New Roman;sans-serif"/>
          <w:b w:val="false"/>
          <w:color w:val="000000"/>
          <w:sz w:val="20"/>
        </w:rPr>
        <w:t>Our Renewable Power projects have associated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pStyle w:val="TextBody"/>
        <w:bidi w:val="0"/>
        <w:spacing w:lineRule="auto" w:line="288" w:before="0" w:after="200"/>
        <w:ind w:left="0" w:right="0" w:firstLine="360"/>
        <w:jc w:val="both"/>
        <w:rPr/>
      </w:pPr>
      <w:r>
        <w:rPr>
          <w:rFonts w:ascii="Times New Roman;sans-serif" w:hAnsi="Times New Roman;sans-serif"/>
          <w:b/>
          <w:i/>
          <w:color w:val="000000"/>
          <w:sz w:val="20"/>
        </w:rPr>
        <w:t xml:space="preserve">Fueling Station Construction and Services. </w:t>
      </w:r>
      <w:r>
        <w:rPr>
          <w:rFonts w:ascii="Times New Roman;sans-serif" w:hAnsi="Times New Roman;sans-serif"/>
          <w:b w:val="false"/>
          <w:color w:val="000000"/>
          <w:sz w:val="20"/>
        </w:rPr>
        <w:t>We have significant experience in the engineering, design,</w:t>
      </w:r>
      <w:r>
        <w:rPr>
          <w:color w:val="000000"/>
        </w:rPr>
        <w:t xml:space="preserve"> </w:t>
      </w:r>
      <w:r>
        <w:rPr>
          <w:rFonts w:ascii="Times New Roman;sans-serif" w:hAnsi="Times New Roman;sans-serif"/>
          <w:b w:val="false"/>
          <w:color w:val="000000"/>
          <w:sz w:val="20"/>
        </w:rPr>
        <w:t>construction and operation of Fueling Stations that dispense RNG. We use a combination of custom designed and off-the-shelf equipment to build these stations. We also perform in-house manufacturing and modularized portable CNG compressor packages for smaller dispensing stations, utilizing our patented technology that allows faster and 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pStyle w:val="TextBody"/>
        <w:bidi w:val="0"/>
        <w:spacing w:lineRule="auto" w:line="288" w:before="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Biogas Conversion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a Biogas Conversion Project includes two phases: (i) biogas collection, and (ii) processing and purifying biogas.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carbon dioxide from the methane molecules. Further treatment of the biogas is often required to remove residual nitrogen and/or oxygen to meet pipeline specifications.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biogas capture and conversion project is not within close proximity to a pipeline, the RNG is transported by road using tube trailers to a gas injection point. This is referred to as a virtual pipeline.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Biogas RNG Market Opportunity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 of Landfill Gas Sources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 provides a high degree of visibility into the long-term volumes of RNG capable of being generated at each of these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Using proven biogas purification technology, biogas can be processed on-site to remove impurities, and used at around 50% methane to generate Renewable Power. Biogas can be further processed and upgraded to remove carbon dioxide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 of Livestock Sources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Livestock is the top agricultural source of GHG worldwide, according to the EPA. Livestock waste, particularly from dairies, produces methane that can be converted to RNG and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produced from livestock farms can be significantly higher than dispensing revenue from RNG produced from landfills due to state-level low-carbon fuel incentives for these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view dairy farms as a significant opportunity for us to expand our RNG business. Processing biogas from dairy farms requires similar expertise and capabilities as processing biogas from landfills.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Highly Fragmented Market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343 million standard cubic feet of LFG per day. Based on our industry experience, technical knowledge and analysis we believe many of these sites are potentially economically viable for RNG project acquisitions.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Well-Established Regulatory Framework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the California Air Resources Board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it is estimated that RNG production in the United States can only cover about 1.5% of the U.S. heavy- and medium-duty vehicles fuel market. RNG production is projected to increase by 2027, bringing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sharply increased the required volume of the D3 RINs in recent years, with the current D3 RIN RVO level encouraging growth in the industry.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Benefits Incentivize Switching to RNG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tbl>
      <w:tblPr>
        <w:tblW w:w="10205" w:type="dxa"/>
        <w:jc w:val="center"/>
        <w:tblInd w:w="0" w:type="dxa"/>
        <w:tblLayout w:type="fixed"/>
        <w:tblCellMar>
          <w:top w:w="28" w:type="dxa"/>
          <w:left w:w="28" w:type="dxa"/>
          <w:bottom w:w="28" w:type="dxa"/>
          <w:right w:w="28" w:type="dxa"/>
        </w:tblCellMar>
      </w:tblPr>
      <w:tblGrid>
        <w:gridCol w:w="809"/>
        <w:gridCol w:w="627"/>
        <w:gridCol w:w="631"/>
        <w:gridCol w:w="1214"/>
        <w:gridCol w:w="1048"/>
        <w:gridCol w:w="1052"/>
        <w:gridCol w:w="391"/>
        <w:gridCol w:w="391"/>
        <w:gridCol w:w="393"/>
        <w:gridCol w:w="348"/>
        <w:gridCol w:w="348"/>
        <w:gridCol w:w="349"/>
        <w:gridCol w:w="760"/>
        <w:gridCol w:w="760"/>
        <w:gridCol w:w="1084"/>
      </w:tblGrid>
      <w:tr>
        <w:trPr/>
        <w:tc>
          <w:tcPr>
            <w:tcW w:w="8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Biogas</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Expected Commercial Operation Date </w:t>
            </w:r>
            <w:r>
              <w:rPr>
                <w:rFonts w:ascii="Times New Roman;sans-serif" w:hAnsi="Times New Roman;sans-serif"/>
                <w:b/>
                <w:color w:val="000000"/>
                <w:sz w:val="13"/>
              </w:rPr>
              <w:t>(4)</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Emerald</w:t>
            </w:r>
            <w:r>
              <w:rPr>
                <w:color w:val="000000"/>
              </w:rPr>
              <w:t xml:space="preserve"> </w:t>
            </w:r>
            <w:r>
              <w:rPr>
                <w:rFonts w:ascii="Times New Roman;sans-serif" w:hAnsi="Times New Roman;sans-serif"/>
                <w:b w:val="false"/>
                <w:color w:val="000000"/>
                <w:sz w:val="13"/>
              </w:rPr>
              <w:t>(2)</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Sapphire</w:t>
            </w:r>
            <w:r>
              <w:rPr>
                <w:color w:val="000000"/>
              </w:rPr>
              <w:t xml:space="preserve">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(2)</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Sunoma </w:t>
            </w:r>
            <w:r>
              <w:rPr>
                <w:rFonts w:ascii="Times New Roman;sans-serif" w:hAnsi="Times New Roman;sans-serif"/>
                <w:b w:val="false"/>
                <w:color w:val="000000"/>
                <w:sz w:val="13"/>
              </w:rPr>
              <w:t>(3)</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176,297 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Polk County </w:t>
            </w:r>
            <w:r>
              <w:rPr>
                <w:rFonts w:ascii="Times New Roman;sans-serif" w:hAnsi="Times New Roman;sans-serif"/>
                <w:b w:val="false"/>
                <w:color w:val="000000"/>
                <w:sz w:val="13"/>
              </w:rPr>
              <w:t>(7)</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8,804,931 </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Hilltop</w:t>
            </w:r>
            <w:r>
              <w:rPr>
                <w:color w:val="000000"/>
              </w:rPr>
              <w:t xml:space="preserve"> </w:t>
            </w:r>
            <w:r>
              <w:rPr>
                <w:rFonts w:ascii="Times New Roman;sans-serif" w:hAnsi="Times New Roman;sans-serif"/>
                <w:b w:val="false"/>
                <w:color w:val="000000"/>
                <w:sz w:val="13"/>
              </w:rPr>
              <w:t>(5)</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Vander Schaaf </w:t>
            </w:r>
            <w:r>
              <w:rPr>
                <w:rFonts w:ascii="Times New Roman;sans-serif" w:hAnsi="Times New Roman;sans-serif"/>
                <w:b w:val="false"/>
                <w:color w:val="000000"/>
                <w:sz w:val="13"/>
              </w:rPr>
              <w:t>(5)</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Burlington </w:t>
            </w:r>
            <w:r>
              <w:rPr>
                <w:rFonts w:ascii="Times New Roman;sans-serif" w:hAnsi="Times New Roman;sans-serif"/>
                <w:b w:val="false"/>
                <w:color w:val="000000"/>
                <w:sz w:val="13"/>
              </w:rPr>
              <w:t>(6)</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Atlantic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331,785 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2025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Cottonwood </w:t>
            </w:r>
            <w:r>
              <w:rPr>
                <w:rFonts w:ascii="Times New Roman;sans-serif" w:hAnsi="Times New Roman;sans-serif"/>
                <w:b w:val="false"/>
                <w:color w:val="000000"/>
                <w:sz w:val="13"/>
              </w:rPr>
              <w:t>(6)</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664,884 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Kirby Canyon </w:t>
            </w:r>
            <w:r>
              <w:rPr>
                <w:rFonts w:ascii="Times New Roman;sans-serif" w:hAnsi="Times New Roman;sans-serif"/>
                <w:b w:val="false"/>
                <w:color w:val="000000"/>
                <w:sz w:val="13"/>
              </w:rPr>
              <w:t>(6)</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2,631,139 </w:t>
            </w:r>
          </w:p>
        </w:tc>
        <w:tc>
          <w:tcPr>
            <w:tcW w:w="10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depend on many variables including, but not limited to, (i) quantity and quality of the biogas, (ii) operational up-time of the facility and (iii) actual efficiency of the facility.</w:t>
      </w:r>
    </w:p>
    <w:p>
      <w:pPr>
        <w:pStyle w:val="TextBody"/>
        <w:bidi w:val="0"/>
        <w:spacing w:lineRule="auto" w:line="288" w:before="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0" w:after="20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0" w:after="200"/>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Please see Part I, Item 3: Legal Proceedings and</w:t>
      </w:r>
      <w:r>
        <w:rPr>
          <w:color w:val="000000"/>
          <w:shd w:fill="FFFFFF" w:val="clear"/>
        </w:rPr>
        <w:t xml:space="preserve"> </w:t>
      </w:r>
      <w:r>
        <w:rPr>
          <w:rFonts w:ascii="Times New Roman;sans-serif" w:hAnsi="Times New Roman;sans-serif"/>
          <w:b w:val="false"/>
          <w:color w:val="000000"/>
          <w:sz w:val="20"/>
          <w:shd w:fill="FFFFFF" w:val="clear"/>
        </w:rPr>
        <w:t xml:space="preserve">Note 17 - </w:t>
      </w:r>
      <w:r>
        <w:rPr>
          <w:rFonts w:ascii="Times New Roman;sans-serif" w:hAnsi="Times New Roman;sans-serif"/>
          <w:b w:val="false"/>
          <w:i/>
          <w:color w:val="000000"/>
          <w:sz w:val="20"/>
          <w:shd w:fill="FFFFFF" w:val="clear"/>
        </w:rPr>
        <w:t>Commitments and Contingencies</w:t>
      </w:r>
      <w:r>
        <w:rPr>
          <w:color w:val="000000"/>
          <w:shd w:fill="FFFFFF" w:val="clear"/>
        </w:rPr>
        <w:t xml:space="preserve"> </w:t>
      </w:r>
      <w:r>
        <w:rPr>
          <w:rFonts w:ascii="Times New Roman;sans-serif" w:hAnsi="Times New Roman;sans-serif"/>
          <w:b w:val="false"/>
          <w:color w:val="000000"/>
          <w:sz w:val="20"/>
          <w:shd w:fill="FFFFFF" w:val="clear"/>
        </w:rPr>
        <w:t xml:space="preserve">to the financial statements. </w:t>
      </w:r>
    </w:p>
    <w:p>
      <w:pPr>
        <w:pStyle w:val="TextBody"/>
        <w:bidi w:val="0"/>
        <w:spacing w:lineRule="auto" w:line="288" w:before="0" w:after="200"/>
        <w:jc w:val="both"/>
        <w:rPr/>
      </w:pPr>
      <w:r>
        <w:rPr>
          <w:rFonts w:ascii="Times New Roman;sans-serif" w:hAnsi="Times New Roman;sans-serif"/>
          <w:b w:val="false"/>
          <w:color w:val="000000"/>
          <w:sz w:val="13"/>
          <w:shd w:fill="FFFFFF" w:val="clear"/>
        </w:rPr>
        <w:t>(6)</w:t>
      </w:r>
      <w:r>
        <w:rPr>
          <w:color w:val="000000"/>
          <w:shd w:fill="FFFFFF" w:val="clear"/>
        </w:rPr>
        <w:t xml:space="preserve"> </w:t>
      </w:r>
      <w:r>
        <w:rPr>
          <w:rFonts w:ascii="Times New Roman;sans-serif" w:hAnsi="Times New Roman;sans-serif"/>
          <w:b w:val="false"/>
          <w:color w:val="000000"/>
          <w:sz w:val="20"/>
        </w:rPr>
        <w:t>The construction of the Cottonwood, Burlington and Kirby Canyon projects began in the second, third and fourth quarters of 2024, respectively.</w:t>
      </w:r>
    </w:p>
    <w:p>
      <w:pPr>
        <w:pStyle w:val="TextBody"/>
        <w:bidi w:val="0"/>
        <w:spacing w:lineRule="auto" w:line="288" w:before="0" w:after="200"/>
        <w:jc w:val="both"/>
        <w:rPr/>
      </w:pPr>
      <w:r>
        <w:rPr>
          <w:rFonts w:ascii="Times New Roman;sans-serif" w:hAnsi="Times New Roman;sans-serif"/>
          <w:b w:val="false"/>
          <w:color w:val="000000"/>
          <w:sz w:val="13"/>
        </w:rPr>
        <w:t xml:space="preserve">(7) </w:t>
      </w:r>
      <w:r>
        <w:rPr>
          <w:rFonts w:ascii="Times New Roman;sans-serif" w:hAnsi="Times New Roman;sans-serif"/>
          <w:b w:val="false"/>
          <w:color w:val="000000"/>
          <w:sz w:val="20"/>
        </w:rPr>
        <w:t>The Polk County project began commercial operations in October 2024.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10205" w:type="dxa"/>
        <w:jc w:val="center"/>
        <w:tblInd w:w="0" w:type="dxa"/>
        <w:tblLayout w:type="fixed"/>
        <w:tblCellMar>
          <w:top w:w="28" w:type="dxa"/>
          <w:left w:w="28" w:type="dxa"/>
          <w:bottom w:w="28" w:type="dxa"/>
          <w:right w:w="28" w:type="dxa"/>
        </w:tblCellMar>
      </w:tblPr>
      <w:tblGrid>
        <w:gridCol w:w="1322"/>
        <w:gridCol w:w="1159"/>
        <w:gridCol w:w="1164"/>
        <w:gridCol w:w="1086"/>
        <w:gridCol w:w="1086"/>
        <w:gridCol w:w="1089"/>
        <w:gridCol w:w="963"/>
        <w:gridCol w:w="963"/>
        <w:gridCol w:w="1373"/>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Current RNG conversion candidate </w:t>
            </w:r>
            <w:r>
              <w:rPr>
                <w:rFonts w:ascii="Times New Roman;sans-serif" w:hAnsi="Times New Roman;sans-serif"/>
                <w:b/>
                <w:color w:val="000000"/>
                <w:sz w:val="13"/>
              </w:rPr>
              <w:t>(2)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operation:</w:t>
            </w:r>
          </w:p>
        </w:tc>
        <w:tc>
          <w:tcPr>
            <w:tcW w:w="3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Lopez</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Miramar Energy</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Marcos</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Cruz</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 Miramar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Covina</w:t>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Charlotte</w:t>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Taunton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Arbor Hills </w:t>
            </w:r>
            <w:r>
              <w:rPr>
                <w:rFonts w:ascii="Times New Roman;sans-serif" w:hAnsi="Times New Roman;sans-serif"/>
                <w:b w:val="false"/>
                <w:color w:val="000000"/>
                <w:sz w:val="13"/>
              </w:rPr>
              <w:t>(3)</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C&amp;C</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Albany</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Concord and CMS</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Pioneer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Richmond (previously "Old Dominion")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construction:</w:t>
            </w:r>
          </w:p>
        </w:tc>
        <w:tc>
          <w:tcPr>
            <w:tcW w:w="3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Fall River </w:t>
            </w:r>
            <w:r>
              <w:rPr>
                <w:rFonts w:ascii="Times New Roman;sans-serif" w:hAnsi="Times New Roman;sans-serif"/>
                <w:b w:val="false"/>
                <w:color w:val="000000"/>
                <w:sz w:val="13"/>
              </w:rPr>
              <w:t>(4)</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lineRule="auto" w:line="288" w:before="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0" w:after="200"/>
        <w:jc w:val="both"/>
        <w:rPr/>
      </w:pPr>
      <w:r>
        <w:rPr>
          <w:rFonts w:ascii="Times New Roman;sans-serif" w:hAnsi="Times New Roman;sans-serif"/>
          <w:b w:val="false"/>
          <w:color w:val="000000"/>
          <w:sz w:val="13"/>
          <w:shd w:fill="FFFFFF" w:val="clear"/>
        </w:rPr>
        <w:t>(4)</w:t>
      </w:r>
      <w:r>
        <w:rPr>
          <w:color w:val="000000"/>
        </w:rPr>
        <w:t xml:space="preserve"> </w:t>
      </w:r>
      <w:r>
        <w:rPr>
          <w:rFonts w:ascii="Times New Roman;sans-serif" w:hAnsi="Times New Roman;sans-serif"/>
          <w:b w:val="false"/>
          <w:color w:val="000000"/>
          <w:sz w:val="20"/>
        </w:rPr>
        <w:t>Construction of the Fall River project has been delayed due to permitting issues.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producers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shareholder value in response to changes in market, regulatory and competitive pressures.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Governmental Regulation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Our RNG projects are subject to federal RFS program regulations, including the Energy Policy Act of 2005 (the “</w:t>
      </w:r>
      <w:r>
        <w:rPr>
          <w:rFonts w:ascii="Times New Roman;sans-serif" w:hAnsi="Times New Roman;sans-serif"/>
          <w:b w:val="false"/>
          <w:i/>
          <w:color w:val="000000"/>
          <w:sz w:val="20"/>
        </w:rPr>
        <w:t>EPACT 2005</w:t>
      </w:r>
      <w:r>
        <w:rPr>
          <w:color w:val="000000"/>
        </w:rPr>
        <w:t>”</w:t>
      </w:r>
      <w:r>
        <w:rPr>
          <w:rFonts w:ascii="Times New Roman;sans-serif" w:hAnsi="Times New Roman;sans-serif"/>
          <w:b w:val="false"/>
          <w:color w:val="000000"/>
          <w:sz w:val="20"/>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that for RINs, including verification of CI levels and other requirements that currently exists for LCFS credits in California.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EPA under the Clean Air Act (the “CAA”) regulates emissions of pollutants to protect the environment and public health. The CAA contains provisions for New Source Review (the “NSR”)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Before an RNG project can be developed, all the Resource Conservation and Recovery (th</w:t>
      </w:r>
      <w:r>
        <w:rPr>
          <w:rFonts w:ascii="Times New Roman;sans-serif" w:hAnsi="Times New Roman;sans-serif"/>
          <w:b w:val="false"/>
          <w:i/>
          <w:color w:val="000000"/>
          <w:sz w:val="20"/>
        </w:rPr>
        <w:t>e “</w:t>
      </w:r>
      <w:r>
        <w:rPr>
          <w:rFonts w:ascii="Times New Roman;sans-serif" w:hAnsi="Times New Roman;sans-serif"/>
          <w:b w:val="false"/>
          <w:color w:val="000000"/>
          <w:sz w:val="20"/>
        </w:rPr>
        <w:t>RCRA</w:t>
      </w:r>
      <w:r>
        <w:rPr>
          <w:color w:val="000000"/>
        </w:rPr>
        <w: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FERC</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markets by assuring nondiscriminatory access to the transmission grid. FERC has also encouraged the formation of RTOs to allow greater access to transmission services and certain competitive wholesale markets administered by ISOs and RTOs.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Qualifying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Utility Regulatory Policies Act established a class of generating facilities that would receive special rate and regulatory treatment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Utility Regulation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RNG Production and Sale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landfill or dairy farm that is expected to produce gas does not ordinarily require a FERC certificate or the acceptance by FERC of a gas tariff.</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Regulations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Production Tax Credit (the "PTC"). We view the enactment of the IRA as favorable for the overall business climate for the renewable energy industry. However, there is uncertainty related to the applicability of the IRA to our current and planned projects and the scope of the IRA and its interpretations under the new U.S. administration or if government agencies’ authority to interpret federal law is restricted as a result of the Supreme Court’s review of the Chevron doctrine under which federal government agencies have been awarded broad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 Similarly, recent presidential executive orders directing the review and potential termination of funds appropriated through the IRA are also creating uncertainty of whether these financial incentives could be reduced or repealed in the future.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White Plains, New York, where we occupy approximately 13,600 square feet of shared office space with Fortistar pursuant to an Administrative Services Agreement. We believe this office space is adequate for our needs for the immediate future and that, should it be necessary, we can lease additional space to accommodate any future growth.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currently lease is adequate for our needs for the immediate future but we may seek additional space to accommodate future growth, which we believe will be available to us on satisfactory terms.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approximately 1 part-time employee and 341 full-time employees, nearly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bidi w:val="0"/>
        <w:spacing w:lineRule="auto" w:line="288" w:before="0" w:after="200"/>
        <w:ind w:left="0" w:right="0" w:firstLine="360"/>
        <w:jc w:val="both"/>
        <w:rPr/>
      </w:pPr>
      <w:r>
        <w:rPr>
          <w:color w:val="000000"/>
        </w:rPr>
        <w:t>•</w:t>
      </w:r>
      <w:r>
        <w:rPr>
          <w:rFonts w:ascii="Times New Roman;sans-serif" w:hAnsi="Times New Roman;sans-serif"/>
          <w:b/>
          <w:color w:val="000000"/>
          <w:sz w:val="20"/>
        </w:rPr>
        <w:t xml:space="preserve">SAFETY - </w:t>
      </w:r>
      <w:r>
        <w:rPr>
          <w:rFonts w:ascii="Times New Roman;sans-serif" w:hAnsi="Times New Roman;sans-serif"/>
          <w:b w:val="false"/>
          <w:color w:val="000000"/>
          <w:sz w:val="20"/>
        </w:rPr>
        <w:t>Passion for safety</w:t>
      </w:r>
    </w:p>
    <w:p>
      <w:pPr>
        <w:pStyle w:val="TextBody"/>
        <w:bidi w:val="0"/>
        <w:spacing w:lineRule="auto" w:line="288" w:before="0" w:after="200"/>
        <w:ind w:left="0" w:right="0" w:firstLine="360"/>
        <w:jc w:val="both"/>
        <w:rPr/>
      </w:pPr>
      <w:r>
        <w:rPr>
          <w:color w:val="000000"/>
        </w:rPr>
        <w:t>•</w:t>
      </w:r>
      <w:r>
        <w:rPr>
          <w:rFonts w:ascii="Times New Roman;sans-serif" w:hAnsi="Times New Roman;sans-serif"/>
          <w:b/>
          <w:color w:val="000000"/>
          <w:sz w:val="20"/>
        </w:rPr>
        <w:t>INTEGRITY</w:t>
      </w:r>
      <w:r>
        <w:rPr>
          <w:color w:val="000000"/>
        </w:rPr>
        <w:t xml:space="preserve"> </w:t>
      </w:r>
      <w:r>
        <w:rPr>
          <w:rFonts w:ascii="Times New Roman;sans-serif" w:hAnsi="Times New Roman;sans-serif"/>
          <w:b w:val="false"/>
          <w:color w:val="000000"/>
          <w:sz w:val="20"/>
        </w:rPr>
        <w:t>- Straightforward, open and honest</w:t>
      </w:r>
    </w:p>
    <w:p>
      <w:pPr>
        <w:pStyle w:val="TextBody"/>
        <w:bidi w:val="0"/>
        <w:spacing w:lineRule="auto" w:line="288" w:before="0" w:after="200"/>
        <w:ind w:left="0" w:right="0" w:firstLine="360"/>
        <w:jc w:val="both"/>
        <w:rPr/>
      </w:pPr>
      <w:r>
        <w:rPr>
          <w:color w:val="000000"/>
        </w:rPr>
        <w:t>•</w:t>
      </w:r>
      <w:r>
        <w:rPr>
          <w:rFonts w:ascii="Times New Roman;sans-serif" w:hAnsi="Times New Roman;sans-serif"/>
          <w:b/>
          <w:color w:val="000000"/>
          <w:sz w:val="20"/>
        </w:rPr>
        <w:t xml:space="preserve">RELATIONSHIPS </w:t>
      </w:r>
      <w:r>
        <w:rPr>
          <w:rFonts w:ascii="Times New Roman;sans-serif" w:hAnsi="Times New Roman;sans-serif"/>
          <w:b w:val="false"/>
          <w:color w:val="000000"/>
          <w:sz w:val="20"/>
        </w:rPr>
        <w:t>- Engaging all stakeholders</w:t>
      </w:r>
    </w:p>
    <w:p>
      <w:pPr>
        <w:pStyle w:val="TextBody"/>
        <w:bidi w:val="0"/>
        <w:spacing w:lineRule="auto" w:line="288" w:before="0" w:after="200"/>
        <w:ind w:left="0" w:right="0" w:firstLine="360"/>
        <w:jc w:val="both"/>
        <w:rPr/>
      </w:pPr>
      <w:r>
        <w:rPr>
          <w:color w:val="000000"/>
        </w:rPr>
        <w:t>•</w:t>
      </w:r>
      <w:r>
        <w:rPr>
          <w:rFonts w:ascii="Times New Roman;sans-serif" w:hAnsi="Times New Roman;sans-serif"/>
          <w:b/>
          <w:color w:val="000000"/>
          <w:sz w:val="20"/>
        </w:rPr>
        <w:t>EXCELLENCE</w:t>
      </w:r>
      <w:r>
        <w:rPr>
          <w:color w:val="000000"/>
        </w:rPr>
        <w:t xml:space="preserve"> </w:t>
      </w:r>
      <w:r>
        <w:rPr>
          <w:rFonts w:ascii="Times New Roman;sans-serif" w:hAnsi="Times New Roman;sans-serif"/>
          <w:b w:val="false"/>
          <w:color w:val="000000"/>
          <w:sz w:val="20"/>
        </w:rPr>
        <w:t>- Quality and creativity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leadership</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rights, health and safety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can be found at www.opalfuels.com. We make available, free of charge through our website, our Annual Report on Form 10</w:t>
        <w:noBreakHyphen/>
        <w:t>K, Quarterly Reports on Form 10</w:t>
        <w:noBreakHyphen/>
        <w:t>Q, Current Reports on Form 8</w:t>
        <w:noBreakHyphen/>
        <w:t>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w:t>
        <w:noBreakHyphen/>
        <w:t>K or any other filing we make with the SEC. The filings are also available through the SEC’s website at www.sec.gov.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w:t>
        <w:noBreakHyphen/>
        <w:t>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0"/>
        <w:ind w:left="0" w:right="0" w:firstLine="892"/>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Glossary of Terms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definitions of terms used in this Form 10-K.</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ArcLight” refers to ArcLight Clean Transition Corp. II, a blank check company incorporated as a Cayman Islands exempt company, and our previous name prior to the closing of the Business Combination.</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Class A common stock” refers to the shares of Class A common stock, par value $0.0001 per share, of OPAL.</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Class B common stock” refers to the shares of Class B common stock, par value $0.0001 per share, of OPAL.</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Class C common stock” refers to the shares of Class C common stock, par value $0.0001 per share, of OPAL.</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Class D common stock” refers to the shares of Class D common stock, par value $0.0001 per share, of OPAL.</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Company”, “we”, “our”, “us” or similar terms refers to OPAL Fuels Inc. individually or on a consolidated basis, as the context may require.</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Exchange Act” refers to the Securities Exchange Act of 1934, as amended.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FASB” refers to the Financial Accounting Standards Board.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Fortistar” refers to Fortistar LLC, a Delaware limited liability company.</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Hillman” refers to Hillman RNG Investments, LLC, a Delaware limited liability company and an affiliate of Fortistar.</w:t>
      </w:r>
    </w:p>
    <w:p>
      <w:pPr>
        <w:pStyle w:val="TextBody"/>
        <w:bidi w:val="0"/>
        <w:spacing w:lineRule="auto" w:line="288" w:before="0" w:after="200"/>
        <w:jc w:val="both"/>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i/>
          <w:color w:val="000000"/>
          <w:sz w:val="20"/>
        </w:rPr>
        <w:t>refers to the Investment Company Act of 1940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as amended.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Sarbanes-Oxley Act” refers to the Sarbanes-Oxley Act of 2002.</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Securities Act” refers to the Securities Act of 1933, as amended.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is a glossary of key industry terms used herein:</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Btu” refers to British thermal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CI” refers to carbon intensity.</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CNG” refers to compressed natural gas.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D3” refers to cellulosic biofuel with a 60% GHG reduction requirement.</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EHS” refers to environment, health and safety.</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EISA” refers to the Energy Independence and Security Act of 2007.</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EPA” refers to the U.S. Environmental Protection Agency.</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EPACT 2005” refers to the Energy Policy Act of 2005.</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FERC” refers to the U.S. Federal Energy Regulatory Commission.</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GHG” refers to greenhouse gases.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ISOs” refers to independent system operators.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LCFS” refers to Low Carbon Fuel Standard or similar types of federal and state programs.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LFG” refers to landfill gas.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Obligated Parties” means refiners or importers of gasoline or diesel fuel under the RFS program.</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QFs” refers to qualifying small power production facilities under the Federal Power Act and the Public Utility Regulatory Policies Act of 1978, as amended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RECs” refers to renewable energy credits.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"ISCC Carbon Credits" refers to Environmental Attributes associated with renewable biomethane.</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Renewable Power” refers to electricity generated from renewable sources.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RFS” refers to the EPA’s Renewable Fuel Standard.</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RINs” refers to Renewable Identification Numbers.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RNG” refers to renewable natural gas.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RPS” refers to Renewable Portfolio Standards.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RTOs” refers to regional transmission organizations.</w:t>
      </w:r>
    </w:p>
    <w:p>
      <w:pPr>
        <w:pStyle w:val="TextBody"/>
        <w:bidi w:val="0"/>
        <w:spacing w:lineRule="auto" w:line="288" w:before="0" w:after="200"/>
        <w:jc w:val="both"/>
        <w:rPr>
          <w:color w:val="000000"/>
        </w:rPr>
      </w:pPr>
      <w:r>
        <w:rPr>
          <w:color w:val="000000"/>
        </w:rPr>
        <w:t>“</w:t>
      </w:r>
      <w:r>
        <w:rPr>
          <w:rFonts w:ascii="Times New Roman;sans-serif" w:hAnsi="Times New Roman;sans-serif"/>
          <w:b w:val="false"/>
          <w:i/>
          <w:color w:val="000000"/>
          <w:sz w:val="20"/>
        </w:rPr>
        <w:t>RVOs” refers to renewable volume obligations.</w:t>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our Biogas Conversion Projects facilities, which may have an adverse impact on our business, financial condition and results of operations.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obtain rights to utilize the biogas and the biogas project sites on which our projects operate under contractual arrangements, with the associated biogas rights generally being for fixed terms of 20 years or more, with certain additional renewal options.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 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owners and operators of biogas project sites generally make no warranties to us as to the quality or quantity of gas produced.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maintaining good relationships with biogas conversion project site owners and operators. As a result, our business may be adversely affected if we are unable to maintain these relationships.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and Executive Order N-79-20 issued by the Governor of the State of California in September 2020.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litigation or administrative proceedings that could materially impact our operations, including proceedings in the future related to our projects we subsequently acquire.</w:t>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currently own, and in the future may acquire, certain assets in which we have limited control over management decisions, including through joint ventures, and our interests in such assets may be subject to transfer or other related restrictions.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pStyle w:val="TextBody"/>
        <w:bidi w:val="0"/>
        <w:spacing w:lineRule="auto" w:line="288" w:before="0" w:after="200"/>
        <w:jc w:val="both"/>
        <w:rPr/>
      </w:pPr>
      <w:r>
        <w:rPr>
          <w:rFonts w:ascii="Times New Roman;sans-serif" w:hAnsi="Times New Roman;sans-serif"/>
          <w:b/>
          <w:i/>
          <w:color w:val="000000"/>
          <w:sz w:val="20"/>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sans-serif" w:hAnsi="Times New Roman;sans-serif"/>
          <w:b/>
          <w:color w:val="000000"/>
          <w:sz w:val="20"/>
        </w:rPr>
        <w: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 participants competing in the market for the purchase and retirement of Environmental Attributes, could have a material adverse effect on our results of operations. The current regulatory regime also creates uncertainty related to the future market for such Environmental Attributes and this could have an adverse effect on the earnings we generate from such attributes.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volatility in the price of oil, gasoline, diesel, natural gas, RNG, or Environmental Attribute prices could adversely affect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currently face declining market prices for LCFS credits specifically within California as well as significant upward pressure on the costs associated with dispensing RNG specifically within California to generate the LCFS credits.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 </w:t>
      </w:r>
    </w:p>
    <w:p>
      <w:pPr>
        <w:pStyle w:val="TextBody"/>
        <w:bidi w:val="0"/>
        <w:spacing w:lineRule="auto" w:line="288" w:before="0" w:after="200"/>
        <w:jc w:val="both"/>
        <w:rPr/>
      </w:pPr>
      <w:r>
        <w:rPr>
          <w:rFonts w:ascii="Times New Roman;sans-serif" w:hAnsi="Times New Roman;sans-serif"/>
          <w:b/>
          <w:i/>
          <w:color w:val="000000"/>
          <w:sz w:val="20"/>
        </w:rPr>
        <w:t>A prolonged environment of low prices or reduced demand for Renewable Power could have a material adverse effect on our business prospects, financial condition and results of operations</w:t>
      </w:r>
      <w:r>
        <w:rPr>
          <w:rFonts w:ascii="Times New Roman;sans-serif" w:hAnsi="Times New Roman;sans-serif"/>
          <w:b/>
          <w:color w:val="000000"/>
          <w:sz w:val="20"/>
        </w:rPr>
        <w: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ISOs and RTOs that control and administer regional power markets.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this deployment of capital may lead to advances which could adversely affect our sources of LFG or provide new or alternative methods of waste disposal or energy generation that become more accepted, or more attractive, than landfills.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ability to acquire, convert, develop and operate Biogas Conversion Projects, as well as expand production at current Biogas Conversion Projects, is subject to many risks.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convert, develop and operate Biogas Conversion Projects, as well as expand production at current Biogas Conversion Projects, is subject to several additional risks, including:</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changes in energy commodity prices, such as natural gas and wholesale electricity prices, which could have a significant effect on our revenues and expenses;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changes in pipeline gas quality standards or other regulatory changes that may limit our ability to transport RNG on pipelines for delivery to third parties or increase the costs of processing RNG to allow for such deliveries;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changes in the broader waste collection industry, including changes affecting the waste collection and biogas potential of the landfill industry, which could limit the LFG resource that we currently target for our Biogas Conversion Projects;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 that may result due to recent regulatory changes or otherwise;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accidents involving personal injury or the loss of life;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entering into markets where we have less experience, such as our Biogas Conversion Projects for biogas recovery at livestock farms;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failures or delays in obtaining desired or necessary land rights, including ownership, leases, easements, zoning rights and building permits;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obtaining and keeping in good standing permits, authorizations and consents from local city, county, state and US federal government agencies and organizations;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penalties, including potential termination, under short-term and long-term contracts for failing to produce or deliver a sufficient quantity and acceptable quality of RNG in accordance with our contractual obligations;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unknown regulatory changes related to the transportation of RNG, which may increase the transportation cost for delivering under our contracts then in effect;</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consent and authorization of local utilities or other energy development off-takers to ensure successful interconnection to energy grids to enable power and gas sales;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difficulties in identifying, obtaining and permitting suitable sites for new Biogas Conversion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prevent us from acquiring, developing, converting, operating or expanding our Biogas Conversion Projects, or otherwise adversely affect our business, growth potential,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Acquiring Biogas Conversion Projects involves numerous risks, including potential exposure to pre-existing liabilities, unanticipated costs in acquiring and implementing the project, and lack of or limited experience in new geographic markets.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risks related to acquiring existing projects, include: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purchase price we pay could significantly deplete our cash reserves or result in dilution to our existing stockholders;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acquired companies or assets may not improve our customer offerings or market position as planned;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have difficulty integrating the operations and personnel of the acquired companies;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key personnel and counterparties of the acquired companies may terminate their relationships with the acquired companies as a result of or following the acquisition;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experience additional financial and accounting challenges and complexities in certain areas, such as tax planning and financial reporting;</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incur additional costs and expenses related to complying with additional laws, rules or regulations in new jurisdictions;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assume or be held liable for risks and liabilities (including for environmental-related costs) as a result of our acquisitions, some of which we may not discover during our due diligence or adequately adjust for in our acquisition arrangements;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our ongoing business and management’s attention may be disrupted or diverted by transition or integration issues and the complexity of managing geographically diverse enterprises;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incur one-time write-offs or restructuring charges in connection with an acquisition;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 may not be able to realize the cost savings or other financial benefits we anticipated.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Construction, development and operation of our Biogas Conversion Projects involves significant risks and hazards.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Energy Marketing, LLC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val="false"/>
          <w:color w:val="000000"/>
          <w:sz w:val="20"/>
        </w:rPr>
        <w:t>maximum potential payment to NextEra under these provisions would be approximately $9.9</w:t>
      </w:r>
      <w:r>
        <w:rPr>
          <w:color w:val="0563C1"/>
        </w:rPr>
        <w:t xml:space="preserve"> </w:t>
      </w:r>
      <w:r>
        <w:rPr>
          <w:rFonts w:ascii="Times New Roman;sans-serif" w:hAnsi="Times New Roman;sans-serif"/>
          <w:b w:val="false"/>
          <w:color w:val="000000"/>
          <w:sz w:val="20"/>
        </w:rPr>
        <w:t>million</w:t>
      </w:r>
      <w:r>
        <w:rPr>
          <w:color w:val="0563C1"/>
        </w:rPr>
        <w:t xml:space="preserve"> </w:t>
      </w:r>
      <w:r>
        <w:rPr>
          <w:rFonts w:ascii="Times New Roman;sans-serif" w:hAnsi="Times New Roman;sans-serif"/>
          <w:b w:val="false"/>
          <w:color w:val="000000"/>
          <w:sz w:val="20"/>
        </w:rPr>
        <w:t>based on current market prices for such Environmental Attributes.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our Biogas Conversion Projects involve the risk of unplanned outages or reduced output, resulting from among other things periodic upgrading and improvement, unplanned breakdowns in equipment, and forced outages.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Biogas Conversion Projects rely on organic material, the decomposition of which causes the generation of gas consisting primarily of methane. The Biogas Conversion Projects use such methane gas to generate Renewable Power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open-access to our transmission asset, should we acquire one. Such acquisitions could have a material adverse effect on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gas and manure rights agreements for Biogas Conversion Projects are subject to certain conditions. A failure to satisfy such conditions could result in the loss of such rights.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influence the adoption of natural gas vehicle fuels, many of which are beyond our control, include,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lack of demand for trucks that use natural gas vehicle fuels due to business disruptions and depressed oil prices;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volatility in the supply, demand, use and prices of crude oil, gasoline, diesel, RNG, natural gas and other vehicle fuels, such as electricity, hydrogen, renewable diesel, biodiesel and ethanol;</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development, production, cost, availability, performance, sales and marketing and reputation of engines that are well-suited for the vehicles used in our key customer markets, including heavy and medium-duty trucks and other fleets;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increasing competition in the market for vehicle fuels generally, and the nature and effect of competitive developments in such market, including improvements in or perceived advantages of other vehicle fuels and engines powered by such fuels;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emissions and other environmental regulations and pressures on producing, transporting, and dispensing our fuels.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Acquisition, financing, construction, and development of Fueling Station projects by us or our partners that own projects may not commence on anticipated timelines or at all.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financing, construction and development of projects involves numerous risks, including:</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difficulties in identifying, obtaining, and permitting suitable sites for new projects;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failure to obtain all necessary rights to land access and use;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inaccuracy of assumptions with respect to the cost and schedule for completing construction;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inaccuracy of assumptions with respect to the biogas potential, including quality, volume, and asset life;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the ability to obtain financing for a project on acceptable terms or at all;</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delays in deliveries or increases in the price of equipment or other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permitting and other regulatory issues, license revocation and changes in legal requirements;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increases in the cost of labor, labor disputes and work stoppages or the inability to find an adequate supply of workers;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failure to receive quality and timely performance of third-party services;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unforeseen engineering and environmental problems;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cost overruns or supply chain disruptions;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accidents involving personal injury or the loss of life;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weather conditions, health crises, pandemics, catastrophic events, including fires, explosions, earthquakes, droughts and acts of terrorism, and other force majeure events;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interconnection and access to utilities.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projects have no operating history. A new project may be unable to fund principal and interest payments under its debt service obligations or may operate at a loss.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Certain of our Biogas Conversion Projects and Fueling Stations are newly constructed or are under construction and may not perform as we expect.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number of Biogas Conversion Projects under construction that will begin production over the next 18-24 months. Therefore, our expectations of the operating performance of these facilities are based on assumptions and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cash could be adversely affected if the financial institutions in which we hold our cash fail.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have a history of accounting losses and may incur additional losses in the future.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pStyle w:val="TextBody"/>
        <w:bidi w:val="0"/>
        <w:spacing w:lineRule="auto" w:line="288" w:before="0" w:after="20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 of our key management could adversely affect our business performance. Our management team has limited experience in operating a public company such as 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maintain effective internal controls in accordance with Section 404 of the Sarbanes-Oxley Act could have a material adverse effect on our business and operating results. In addition, current and potential stockholders could lose confidence in our financial reporting, which could have a material adverse effect on the price of our Class A common stock.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annual management assessments of the effectiveness of our internal control over financial reporting and a report by our independent registered public accounting firm on the effectiveness of internal control over financial reporting as of year-end. We are required to report, among other things, control deficiencies that constitute material weaknesses or changes in internal control that, or that are reasonably likely to, materially affect internal control over financial reporting. A “material weakness” is a significant deficiency or combination of significant deficiencies that results in more than a remote likelihood that a material misstatement of the annual or interim financial statements will not be prevented or detected.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and remediated control deficiencies in the past, and we cannot assure you that we will at all times in the future be able to report that our internal controls are effective. If we cannot provide reliable financial reports or prevent fraud, our results of operation could be harmed. Our failure to maintain the effective internal control over financial reporting could cause the cost related to remediation to increase and could cause our stock price to decline. In addition, we may not be able to accurately report our financial results, may be subject to regulatory sanctions, and investors may lose confidence in our financial statements. No material weaknesses were identified during the year ended December 31, 2024.</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Litigation or legal proceedings could expose us to significant liabilities and have a negative impact on our reputations or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only material assets are our direct interests in OPAL Fuels, and we are accordingly dependent upon distributions from OPAL Fuels to pay dividends and taxes and other expenses.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that we realize in respect of the tax attributes subject to the Tax Receivable Agreement.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accrue interest until paid, which could negatively impact our results of operations and could also affect our liquidity in periods in which such payments are made.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Our increasing reliance on information technology and other systems subjects us to risks associated with cybersecurity. Cybersecurity incidents or our failure to maintain the security and integrity of Company, employee, associate, customer or third-party data could have a disruptive effect on our business and adversely affect our reputation and financial performance.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may be impacted by macroeconomic conditions, including fears concerning the financial services industry, inflation, rising interest rates and volatile market conditions, and other uncertainties beyond our control.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pStyle w:val="TextBody"/>
        <w:bidi w:val="0"/>
        <w:spacing w:lineRule="auto" w:line="288"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Regulations or Governmental Actions</w:t>
      </w:r>
    </w:p>
    <w:p>
      <w:pPr>
        <w:pStyle w:val="TextBody"/>
        <w:bidi w:val="0"/>
        <w:spacing w:lineRule="auto" w:line="288" w:before="0" w:after="200"/>
        <w:jc w:val="both"/>
        <w:rPr/>
      </w:pPr>
      <w:r>
        <w:rPr>
          <w:rFonts w:ascii="Times New Roman;sans-serif" w:hAnsi="Times New Roman;sans-serif"/>
          <w:b/>
          <w:i/>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w:t>
      </w:r>
      <w:r>
        <w:rPr>
          <w:rFonts w:ascii="Times New Roman;sans-serif" w:hAnsi="Times New Roman;sans-serif"/>
          <w:b/>
          <w:i/>
          <w:color w:val="000000"/>
          <w:sz w:val="20"/>
          <w:shd w:fill="FFFFFF" w:val="clear"/>
        </w:rPr>
        <w:t>ns. F</w:t>
      </w:r>
      <w:r>
        <w:rPr>
          <w:rFonts w:ascii="Times New Roman;sans-serif" w:hAnsi="Times New Roman;sans-serif"/>
          <w:b/>
          <w:i/>
          <w:color w:val="000000"/>
          <w:sz w:val="20"/>
        </w:rPr>
        <w:t>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or any future executive orders on our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On the state level, the economics of RNG are enhanced by low-carbon fuel initiatives, particularly a well-established</w:t>
      </w:r>
      <w:r>
        <w:rPr>
          <w:color w:val="000000"/>
        </w:rPr>
        <w:t xml:space="preserve"> </w:t>
      </w:r>
      <w:r>
        <w:rPr>
          <w:rFonts w:ascii="Times New Roman;sans-serif" w:hAnsi="Times New Roman;sans-serif"/>
          <w:b w:val="false"/>
          <w:color w:val="000000"/>
          <w:sz w:val="20"/>
        </w:rPr>
        <w:t xml:space="preserve">LCFS program in California and similar developing programs in Oregon and Washington (with several other states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actively considering similar initiatives). In California’s case, in 2009, the California Air Resources Board adopted LCFS regulations aimed at reducing the CI of transportation fuel sold and purchased in the state. A CI score is calculated as grams of CO₂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The California Air Resources Board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intend to develop, construct or operate electric generating facilities that would require us to apply for and receive MBR Authority from FERC. Nevertheless, if we were to do so, eligibility for MBR Authority is predicated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 The U.S. Congress may look to alter or repeal various energy tax incentives included in the IRA, which could potentially impact projects in development or future project economics. Similarly, recent presidential executive orders directing the review and potential termination of funds appropriated through the IRA are also creating uncertainty of whether these financial incentives could be reduced or repealed in the future.</w:t>
      </w:r>
    </w:p>
    <w:p>
      <w:pPr>
        <w:pStyle w:val="TextBody"/>
        <w:bidi w:val="0"/>
        <w:spacing w:lineRule="auto" w:line="288" w:before="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also uncertainty if IRA incentives may be reduced or repealed in the future, especially in light of the 2024 election results.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of our financial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Company may incur contractual obligations from the indemnification of third parties if tax authorities challenge the amount or availability of ITCs or related tax benefits that the Company is obligated to provide to such third parties under such contractual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from time-to-time enters into arrangements with third parties that acquire tax credits, including ITCs,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 and regulations regarding regulatory matters, corporate governance and public disclosure that will increase both our costs and the risk of noncompliance.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2023, the EPA issued final rule 88 Fed. Reg. 44468 (July 12, 2023) to, in part, implement biogas regulatory reform to the EPA’s Renewable Fuel Standard Program (“RFS”) (the “Biogas Regulatory Reform Rule” or “BRRR”). BRRR significantly changed the method by which RINs are generated from biogas feedstock and how market participants are required to administer RINs. BRRR required all parties in the chain of title to biogas, renewable natural gas, and RINs to register with the EPA by January 1,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timely completed and received approval of its required registrations under BRRR. As part of this registration process, with respect to fueling stations, the Company registered as RNG RIN separator for stations that accounted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w:t>
      </w:r>
    </w:p>
    <w:p>
      <w:pPr>
        <w:pStyle w:val="TextBody"/>
        <w:bidi w:val="0"/>
        <w:spacing w:lineRule="auto" w:line="288"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Indebtedness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As of December 31, 2024, our total indebtedness was $307.5 million, excluding deferred financing costs. Additionally, we have redeemable preferred non-controlling interests outstanding of $130.0 mil</w:t>
      </w:r>
      <w:r>
        <w:rPr>
          <w:rFonts w:ascii="Times New Roman;sans-serif" w:hAnsi="Times New Roman;sans-serif"/>
          <w:b w:val="false"/>
          <w:color w:val="000000"/>
          <w:sz w:val="20"/>
        </w:rPr>
        <w:t>lion.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and preferred units redemption obligations could have important consequences, including, for example: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failure to refinance, or to comply with the covenants in the agreements governing, these obligations could result in an event of default under those agreements, which could be difficult to cure or result in our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increase in interest rates on our existing debt facilities or a reduction in the supply of project debt financing could reduce our ability to construct and operate new RNG projects or fueling stations;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our limited financial flexibility could reduce our ability to plan for and react to unexpected opportunities;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will have certain rights and remedies.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For example, upon written notice from NextEra at any time after November 29, 2025, we would be required to redeem the Series A preferred units. In the event we do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 For more information related to our obligation to redeem the Series A preferred units, please refer to </w:t>
      </w:r>
      <w:r>
        <w:rPr>
          <w:rFonts w:ascii="Times New Roman;sans-serif" w:hAnsi="Times New Roman;sans-serif"/>
          <w:b w:val="false"/>
          <w:i/>
          <w:color w:val="000000"/>
          <w:sz w:val="20"/>
        </w:rPr>
        <w:t>Item 7. Management’s Discussion and Analysis of Financial Condition and Results of Operations – Liquidity and Capital Resources</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pStyle w:val="TextBody"/>
        <w:bidi w:val="0"/>
        <w:spacing w:lineRule="auto" w:line="288"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Ownership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could result in additional dilution of the percentage ownership of our shareholders and could cause our share price to fall.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or our subsidiaries issue additional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that certain Investor Rights Agreement, dated July 21, 2022, by and among OPAL Fuels Inc., each of the sellers named therein, ArcLight CTC Holdings II, L.P. and its principals, those stockholders are entitled to have the registration statement under the Securities Act kept effective for a prolonged period of time such that registered resales of their shares of Class A common stock can be made. We originally registered for resale up to 163,676,735 shares of our Class A common stock pursuant to our registration statement on Form S-3 filed under the Securities Act (File No. 333-266757), which was declared effective on August 10, 2023.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our election to comply with the reduced disclosure requirements as a public company may make our Class A common stock less attractive to investors.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145,336,349 shares of OPAL, comprising 83.7% of our outstanding common stock as of March 14, 2025. All of these shares (with the exception of 880,600 shares of Class A common stock purchased by Fortistar in the PIPE Investment and 56,712 shares of Class A common stock held directly by Mr. Comora) are Class B common stock, or Class D common stock which have no economic rights but are entitled to five votes per share, giving Mr. Mark Comora control over 93.9%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certificate of incorporation or bylaws,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and thus not subject to all of the corporate governance rules of Nasdaq. You will not have the same protections afforded to stockholders of companies that are subject to such requirements.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dual-class structure of our common stock may adversely affect the trading market for the shares of Class A 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limited availability of market quotations for our securities;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 determination that the Class A common stock is a “penny stock” which will require brokers trading in the Class A common stock to adhere to more stringent rules;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possible reduction in the level of trading activity in the secondary trading market for shares of the Class A common stock;</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 limited amount of analyst coverage;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shares of common stock for the foreseeable future, you may not receive any return on investment unless you sell your shares of common stock for a price greater than that which you paid for it.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Anti-takeover provisions are contained in our certificate of incorporation that could delay or prevent a change of control.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certificate of incorporation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among other things: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permit our board to establish the number of directors;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provide that our board is expressly authorized to make, alter or repeal our bylaws;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pStyle w:val="TextBody"/>
        <w:bidi w:val="0"/>
        <w:spacing w:lineRule="auto" w:line="288" w:before="0" w:after="200"/>
        <w:jc w:val="both"/>
        <w:rPr/>
      </w:pPr>
      <w:r>
        <w:rPr>
          <w:rFonts w:ascii="Times New Roman;sans-serif" w:hAnsi="Times New Roman;sans-serif"/>
          <w:b/>
          <w:i/>
          <w:color w:val="000000"/>
          <w:sz w:val="20"/>
        </w:rPr>
        <w:t>The trading price of the Class A common stock has been, and is likely to continue to be, volatile and could fluctuate in response to a number of factors, many of which are beyond our control.</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including as a result of increased and/or new tariffs on equipment supply and raw materials.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uncertainty surrounding potential tariff increases on imported products and possible retaliatory measures by other countries could negatively impact our business. On February 1, 2025, the U.S. government proposed tariffs of up to 25% on imports from certain countries, including Mexico and Canada, and implemented additional tariffs on imports from China. As of the date of this report, these tariffs are set to take effect on April 2, 2025. In response, countries such as Mexico have indicated they may impose retaliatory tariffs on U.S. exports.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it is unclear whether these tariffs will apply to imports of equipment and machinery upon which our business is reliable. Any new or increased tariffs, trade sanctions, or changes in U.S. trade policy could lead to higher operational costs. If we are unable to pass these additional costs to our customers and/or effectively manage higher operational expenses, our financial performance could be adversely affected.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assess the potential impact of these proposed tariffs and explore mitigation strategies, we do not currently anticipate a material adverse effect on our cost of goods sold or gross profit. This expectation assumes that the financial burden of increased tariffs will be absorbed primarily by market adjustments.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 credit ratings downgrade or other negative action by a credit rating organization could adversely affect the trading price of the shares of our Class A 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rating agencies continually revise their ratings for companies they follow. The condition of the financial and credit markets and prevailing interest rates have fluctuated in the past and are likely to fluctuate in the future.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assessment and management processes are implemented and maintained by a third-party service provider reporting to the Company's management. Management is also responsible for integrating cybersecurity 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since recorded mechanic’s liens against each of the projects for $4.9 million (MD) and $2 million (VS), and recently filed actions with the Stanislaus and San Joaquin County Superior Courts, respectively, to enforce their liens. It is expected that these claims will be stayed and consolidated with the pending arbitration proceeding.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uncertainties involved in all litigation and arbitration, the Company does not believe it is feasible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Former Development Partner/Construction Manager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shares of Class A common stock are traded on the Nasdaq Stock Market LLC under the symbol "OPAL".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2025, the closing sale price of our shares of Class A common stock, as reported on the Nasdaq Stock Market LLC, was $2.17 per share.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shareholders of record of our shares of Class A common stock was approximately 12 on March 13, 2025.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Payment of Dividends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Use of Proceeds from Registered Offerings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For further discussion regarding our results of operations for the year ended December 31, 2023 as compared to the year ended December 31, 2022, refer to Part II, Item 7 - "Management’s Discussion and Analysis of Financial Condition and Results of Operations" in our Annual Report on Form 10-K for the fiscal year ended December 31, 2023, 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or in development, with six of our current Renewable Power Projects being considered candidates for conversion to RNG projects in the foreseeable future. </w:t>
      </w:r>
    </w:p>
    <w:p>
      <w:pPr>
        <w:pStyle w:val="TextBody"/>
        <w:bidi w:val="0"/>
        <w:spacing w:lineRule="auto" w:line="288" w:before="0" w:after="200"/>
        <w:jc w:val="both"/>
        <w:rPr/>
      </w:pPr>
      <w:r>
        <w:rPr>
          <w:rFonts w:ascii="Times New Roman;sans-serif" w:hAnsi="Times New Roman;sans-serif"/>
          <w:b/>
          <w:color w:val="000000"/>
          <w:sz w:val="20"/>
        </w:rPr>
        <w:t>Recent Developments</w:t>
      </w:r>
      <w:r>
        <w:rPr>
          <w:color w:val="000000"/>
        </w:rPr>
        <w:t xml:space="preserve">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Wasatch Resource Recovery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Amendment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$1,250,000.</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our consolidated financial statements included herein.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Renewable Power produced from LFG-fueled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such, unrealized and realized gain (loss) is recognized as component of Renewable Power revenues in the consolidated statement of operations.</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Transportation fuel — Fuel Purchase Agreements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Fueling Stations for use by customers under fuel sale agreements. We bill these customers at an agreed upon price for each gallon sold and recognize revenue based on the amounts invoiced in accordance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Interstate Gas Pipeline Delivery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RECs, RINs, ISCC Carbon Credits and LCFS credits. These Environmental Attributes are sold to third parties that utilize these credits in order to comply with federal and state requirements. Revenue is recognized at the point in time when the credits are transferred to and accepted by the third party buyer. We also provide Environmental Attributes generation and monetization services to customers that own renewable gas generation facilities and we recognize revenues from these services when the credits are minted on behalf of the customer.</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Operation and Maintenance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We have operating and maintenance agreements pursuant to which we operate, maintain, and repair landfill site gas collection systems. Revenue is based on the volume per million British thermal units (“</w:t>
      </w:r>
      <w:r>
        <w:rPr>
          <w:rFonts w:ascii="Times New Roman;sans-serif" w:hAnsi="Times New Roman;sans-serif"/>
          <w:b w:val="false"/>
          <w:i/>
          <w:color w:val="000000"/>
          <w:sz w:val="20"/>
        </w:rPr>
        <w:t>MMBtu</w:t>
      </w:r>
      <w:r>
        <w:rPr>
          <w:color w:val="000000"/>
        </w:rPr>
        <w:t>”</w:t>
      </w:r>
      <w:r>
        <w:rPr>
          <w:rFonts w:ascii="Times New Roman;sans-serif" w:hAnsi="Times New Roman;sans-serif"/>
          <w:b w:val="false"/>
          <w:color w:val="000000"/>
          <w:sz w:val="20"/>
        </w:rPr>
        <w:t>) of landfill gas collected and the MWhs produced at that site. This revenue is recognized as Renewable Power revenue when landfill gas is collected and Renewable Power is delivered. In addition, we have operations and maintenance agreements in which we are contracted to maintain and repair Fueling Stations. Revenue is based on the volumes of gas dispensed at the site. This revenue is recognized as Fuel Station Services revenue when the site dispenses gas.</w:t>
      </w:r>
    </w:p>
    <w:p>
      <w:pPr>
        <w:pStyle w:val="TextBody"/>
        <w:bidi w:val="0"/>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Construction Type Contracts — Third Party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Guarantees ("ASC 460"), and not as a separate performance obligation.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company estimates warranty costs based on historical claims experience, and other factors. Actual warranty claims may differ from the estimates, and adjustments to the liability are made as necessary.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business is acquired, goodwill is recognized to reflect any future economic benefits that are not separately recognized, such as synergies. For the purposes of impairment testing, U.S.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goodwill impairment assessment is performed during the fourth quarter as of December 31 of each year or at the time facts or circumstances indicate that a reporting unit’s goodwill may be impaired. In conformity with GAAP,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applying a quantitative assessment, we use a combination of income and market valuation methodologies. Specifically, we employ a discounted cash flow analysis (DCF) and the guideline public company method. This approach results in a fair value measurement based on significant inputs that are not observable in the market, categorizing it within Level 3 of the fair value hierarchy. Key assumptions in the DCF projection include growth in RIN prices, future sales volumes based on production capacities, and terminal value based on a range of terminal earnings before interest, taxes, depreciation, and amortization (EBITDA). The future cash flows are discounted to present value using the weighted average cost of capital (WACC) of the company and its closest competitors.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performed a quantitative assessment for Goodwill in our RNG Fuel segment and determined that there is no impairment necessary on the goodwill recorded in the books as of December 31, 2024.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Alternatively, we use cost approach to measure fair value of our assets or asset groups. The cost approach is based on the premise that a prudent investor would pay no more for an asset of similar utility than its replacement or reproduction cost. The cost to replace the asset would include the cost of constructing a similar asset of equivalent utility at prices applicable at the time of the valuation date. To arrive at an estimate of the fair value using the cost approach, the replacement cost new is determined and reduced for depreciation of the asset. Replacement cost new is defined as the current cost of producing or constructing a similar new item having the nearest equivalent utility as the property being valued.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for the year ended December 31, 2024, the impairment recorded on our Plant, Property and Equipment amounted $2.0 million.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Refer to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to our consolidated financial statements, for details on our assets and liabilities regularly recorded at fair value and the respective placements in the fair value hierarchy.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Refer to Note 15.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our consolidated financial statements, for additional information.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 Status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goodwill impairment, fair value of the deconsolidated VIEs, the value of stock-based compensation, asset retirement obligations and the fair value of derivatives including earnout liabilities and commodity swap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w:t>
      </w:r>
      <w:r>
        <w:rPr>
          <w:color w:val="000000"/>
        </w:rPr>
        <w:t xml:space="preserve">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pStyle w:val="TextBody"/>
        <w:bidi w:val="0"/>
        <w:spacing w:lineRule="auto" w:line="288" w:before="0" w:after="200"/>
        <w:jc w:val="both"/>
        <w:rPr/>
      </w:pPr>
      <w:r>
        <w:rPr>
          <w:rFonts w:ascii="Times New Roman;sans-serif" w:hAnsi="Times New Roman;sans-serif"/>
          <w:b w:val="false"/>
          <w:color w:val="000000"/>
          <w:sz w:val="20"/>
          <w:u w:val="single"/>
        </w:rPr>
        <w:t>RNG Fuel</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0" w:after="200"/>
        <w:ind w:left="0" w:right="0" w:hanging="45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200"/>
        <w:ind w:left="0" w:right="0" w:hanging="450"/>
        <w:jc w:val="left"/>
        <w:rPr/>
      </w:pPr>
      <w:r>
        <w:rPr>
          <w:color w:val="000000"/>
        </w:rPr>
        <w:t>◦</w:t>
      </w:r>
      <w:r>
        <w:rPr>
          <w:rFonts w:ascii="Times New Roman;sans-serif" w:hAnsi="Times New Roman;sans-serif"/>
          <w:b w:val="false"/>
          <w:color w:val="000000"/>
          <w:sz w:val="20"/>
        </w:rPr>
        <w:t xml:space="preserve">Our interests in both operating and construction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val="false"/>
          <w:color w:val="000000"/>
          <w:sz w:val="20"/>
          <w:u w:val="single"/>
        </w:rPr>
        <w:t>Fuel Station Services</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Fuel Station Services segment, we provide construction and maintenance services to third-party owners of vehicle Fueling Stations and perform fuel dispensing activities including generation and minting of environmental credits. This segment includes:</w:t>
      </w:r>
    </w:p>
    <w:p>
      <w:pPr>
        <w:pStyle w:val="TextBody"/>
        <w:bidi w:val="0"/>
        <w:spacing w:lineRule="auto" w:line="288" w:before="0" w:after="200"/>
        <w:ind w:left="0" w:right="0" w:hanging="450"/>
        <w:jc w:val="both"/>
        <w:rPr/>
      </w:pPr>
      <w:r>
        <w:rPr>
          <w:color w:val="000000"/>
        </w:rPr>
        <w:t>◦</w:t>
      </w:r>
      <w:r>
        <w:rPr>
          <w:rFonts w:ascii="Times New Roman;sans-serif" w:hAnsi="Times New Roman;sans-serif"/>
          <w:b w:val="false"/>
          <w:color w:val="000000"/>
          <w:sz w:val="20"/>
        </w:rPr>
        <w:t>Manufacturing division that builds Compact Fueling Systems and Defueling systems;</w:t>
      </w:r>
    </w:p>
    <w:p>
      <w:pPr>
        <w:pStyle w:val="TextBody"/>
        <w:bidi w:val="0"/>
        <w:spacing w:lineRule="auto" w:line="288" w:before="0" w:after="200"/>
        <w:ind w:left="0" w:right="0" w:hanging="450"/>
        <w:jc w:val="left"/>
        <w:rPr/>
      </w:pPr>
      <w:r>
        <w:rPr>
          <w:color w:val="000000"/>
        </w:rPr>
        <w:t>◦</w:t>
      </w:r>
      <w:r>
        <w:rPr>
          <w:rFonts w:ascii="Times New Roman;sans-serif" w:hAnsi="Times New Roman;sans-serif"/>
          <w:b w:val="false"/>
          <w:color w:val="000000"/>
          <w:sz w:val="20"/>
        </w:rPr>
        <w:t>Design/Build contracts where we serve as general contractor for construction of Fueling Stations, typically structured as Guarantee Maximum Price or fixed priced contracts for customers, generally lasting less than one year;</w:t>
      </w:r>
    </w:p>
    <w:p>
      <w:pPr>
        <w:pStyle w:val="TextBody"/>
        <w:bidi w:val="0"/>
        <w:spacing w:lineRule="auto" w:line="288" w:before="0" w:after="200"/>
        <w:ind w:left="0" w:right="0" w:hanging="450"/>
        <w:jc w:val="left"/>
        <w:rPr/>
      </w:pPr>
      <w:r>
        <w:rPr>
          <w:color w:val="000000"/>
        </w:rPr>
        <w:t>◦</w:t>
      </w:r>
      <w:r>
        <w:rPr>
          <w:rFonts w:ascii="Times New Roman;sans-serif" w:hAnsi="Times New Roman;sans-serif"/>
          <w:b w:val="false"/>
          <w:color w:val="000000"/>
          <w:sz w:val="20"/>
        </w:rPr>
        <w:t>Service and maintenance contracts for RNG/CNG Fueling Stations; and</w:t>
      </w:r>
    </w:p>
    <w:p>
      <w:pPr>
        <w:pStyle w:val="TextBody"/>
        <w:bidi w:val="0"/>
        <w:spacing w:lineRule="auto" w:line="288" w:before="0" w:after="200"/>
        <w:ind w:left="0" w:right="0" w:hanging="45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88" w:before="0" w:after="200"/>
        <w:jc w:val="both"/>
        <w:rPr/>
      </w:pPr>
      <w:r>
        <w:rPr>
          <w:rFonts w:ascii="Times New Roman;sans-serif" w:hAnsi="Times New Roman;sans-serif"/>
          <w:b w:val="false"/>
          <w:color w:val="000000"/>
          <w:sz w:val="20"/>
          <w:u w:val="single"/>
        </w:rPr>
        <w:t>Renewable Power</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Renewable Power segment generates renewable power and associated Environmental Attributes such as ISCC Carbon Credits and RECs through combustion of biogas from landfills which is then sold to public utilities throughout the United States.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0" w:after="200"/>
        <w:jc w:val="both"/>
        <w:rPr/>
      </w:pPr>
      <w:r>
        <w:rPr>
          <w:rFonts w:ascii="Times New Roman;sans-serif" w:hAnsi="Times New Roman;sans-serif"/>
          <w:b w:val="false"/>
          <w:color w:val="000000"/>
          <w:sz w:val="20"/>
          <w:u w:val="single"/>
        </w:rPr>
        <w:t>RNG Fuel</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0" w:after="200"/>
        <w:jc w:val="both"/>
        <w:rPr/>
      </w:pPr>
      <w:r>
        <w:rPr>
          <w:rFonts w:ascii="Times New Roman;sans-serif" w:hAnsi="Times New Roman;sans-serif"/>
          <w:b w:val="false"/>
          <w:color w:val="000000"/>
          <w:sz w:val="20"/>
          <w:u w:val="single"/>
        </w:rPr>
        <w:t>Fuel Station Services</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0" w:after="200"/>
        <w:jc w:val="both"/>
        <w:rPr/>
      </w:pPr>
      <w:r>
        <w:rPr>
          <w:rFonts w:ascii="Times New Roman;sans-serif" w:hAnsi="Times New Roman;sans-serif"/>
          <w:b w:val="false"/>
          <w:color w:val="000000"/>
          <w:sz w:val="20"/>
          <w:u w:val="single"/>
        </w:rPr>
        <w:t>Renewable Power</w:t>
      </w:r>
      <w:r>
        <w:rPr>
          <w:color w:val="00000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Includes royalty payments, land usage costs; service provider costs; salaries and other indirect expenses related to the production process; utilities; and depreciation of production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 development and start up costs includes certain development costs such as legal, consulting fees for joint venture structuring, royalties to the landfill owner, fines, settlements, site lease expenses and certification costs on our RNG projects under construction. Additionally, the Company also incurs certain expenses on new RNG projects that went operational for the first two years such as virtual pipeline costs (incurred until a physical interconnect pipeline is built) and ramp up costs incurred during the certification period.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December 31, 2024 and 2023. No other single customer accounted for 10% or greater of our consolidated accounts receivables in these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467"/>
        <w:gridCol w:w="411"/>
        <w:gridCol w:w="412"/>
        <w:gridCol w:w="109"/>
        <w:gridCol w:w="109"/>
        <w:gridCol w:w="109"/>
        <w:gridCol w:w="260"/>
        <w:gridCol w:w="260"/>
        <w:gridCol w:w="647"/>
        <w:gridCol w:w="260"/>
        <w:gridCol w:w="260"/>
        <w:gridCol w:w="260"/>
        <w:gridCol w:w="260"/>
        <w:gridCol w:w="260"/>
        <w:gridCol w:w="755"/>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 A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Relates to sales of environmental attributes under Purchase and Sale agreement and Renewable Power sale agreements with NextEra.</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10%</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4629"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60"/>
        <w:gridCol w:w="260"/>
        <w:gridCol w:w="647"/>
        <w:gridCol w:w="260"/>
        <w:gridCol w:w="260"/>
        <w:gridCol w:w="260"/>
        <w:gridCol w:w="260"/>
        <w:gridCol w:w="260"/>
        <w:gridCol w:w="7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years ended December 31, 2024 and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years ended December 31, 2024 and 2023:</w:t>
      </w:r>
    </w:p>
    <w:p>
      <w:pPr>
        <w:pStyle w:val="TextBody"/>
        <w:bidi w:val="0"/>
        <w:spacing w:lineRule="auto" w:line="276" w:before="1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Landfill RNG Facility Capacity and Utilization Summary</w:t>
      </w:r>
    </w:p>
    <w:p>
      <w:pPr>
        <w:pStyle w:val="TextBody"/>
        <w:bidi w:val="0"/>
        <w:spacing w:before="0" w:after="0"/>
        <w:jc w:val="center"/>
        <w:rPr/>
      </w:pPr>
      <w:r>
        <w:rPr/>
      </w:r>
    </w:p>
    <w:tbl>
      <w:tblPr>
        <w:tblW w:w="7734" w:type="dxa"/>
        <w:jc w:val="center"/>
        <w:tblInd w:w="0" w:type="dxa"/>
        <w:tblLayout w:type="fixed"/>
        <w:tblCellMar>
          <w:top w:w="28" w:type="dxa"/>
          <w:left w:w="28" w:type="dxa"/>
          <w:bottom w:w="28" w:type="dxa"/>
          <w:right w:w="28" w:type="dxa"/>
        </w:tblCellMar>
      </w:tblPr>
      <w:tblGrid>
        <w:gridCol w:w="1517"/>
        <w:gridCol w:w="1332"/>
        <w:gridCol w:w="1336"/>
        <w:gridCol w:w="109"/>
        <w:gridCol w:w="109"/>
        <w:gridCol w:w="109"/>
        <w:gridCol w:w="260"/>
        <w:gridCol w:w="260"/>
        <w:gridCol w:w="647"/>
        <w:gridCol w:w="260"/>
        <w:gridCol w:w="260"/>
        <w:gridCol w:w="260"/>
        <w:gridCol w:w="260"/>
        <w:gridCol w:w="260"/>
        <w:gridCol w:w="755"/>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Landfill RNG Facility Capacity and Utilization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Design Capacity (Million MMBtus) </w:t>
            </w:r>
            <w:r>
              <w:rPr>
                <w:rFonts w:ascii="Times New Roman;sans-serif" w:hAnsi="Times New Roman;sans-serif"/>
                <w:b w:val="false"/>
                <w:color w:val="000000"/>
                <w:sz w:val="13"/>
              </w:rPr>
              <w:t>(1)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Volume of Inlet Gas (Million MMBtus)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Inlet Design Capacity Utilization %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Fuel volume produced (Million MMBtus)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of Inlet Gas %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Excludes Sunoma and Biotown. </w:t>
      </w:r>
    </w:p>
    <w:tbl>
      <w:tblPr>
        <w:tblW w:w="8255" w:type="dxa"/>
        <w:jc w:val="center"/>
        <w:tblInd w:w="0" w:type="dxa"/>
        <w:tblLayout w:type="fixed"/>
        <w:tblCellMar>
          <w:top w:w="28" w:type="dxa"/>
          <w:left w:w="28" w:type="dxa"/>
          <w:bottom w:w="28" w:type="dxa"/>
          <w:right w:w="28" w:type="dxa"/>
        </w:tblCellMar>
      </w:tblPr>
      <w:tblGrid>
        <w:gridCol w:w="1635"/>
        <w:gridCol w:w="1437"/>
        <w:gridCol w:w="1442"/>
        <w:gridCol w:w="109"/>
        <w:gridCol w:w="109"/>
        <w:gridCol w:w="109"/>
        <w:gridCol w:w="352"/>
        <w:gridCol w:w="264"/>
        <w:gridCol w:w="647"/>
        <w:gridCol w:w="260"/>
        <w:gridCol w:w="260"/>
        <w:gridCol w:w="260"/>
        <w:gridCol w:w="352"/>
        <w:gridCol w:w="264"/>
        <w:gridCol w:w="755"/>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Nameplate Capacity (MW per hour)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Nameplate Capacity for the period (Millions MWh)</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 produced ( Millions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Design Capacity Utilization (%)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Design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tbl>
      <w:tblPr>
        <w:tblW w:w="7521" w:type="dxa"/>
        <w:jc w:val="center"/>
        <w:tblInd w:w="0" w:type="dxa"/>
        <w:tblLayout w:type="fixed"/>
        <w:tblCellMar>
          <w:top w:w="28" w:type="dxa"/>
          <w:left w:w="28" w:type="dxa"/>
          <w:bottom w:w="28" w:type="dxa"/>
          <w:right w:w="28" w:type="dxa"/>
        </w:tblCellMar>
      </w:tblPr>
      <w:tblGrid>
        <w:gridCol w:w="1440"/>
        <w:gridCol w:w="1265"/>
        <w:gridCol w:w="1269"/>
        <w:gridCol w:w="109"/>
        <w:gridCol w:w="109"/>
        <w:gridCol w:w="109"/>
        <w:gridCol w:w="342"/>
        <w:gridCol w:w="342"/>
        <w:gridCol w:w="342"/>
        <w:gridCol w:w="342"/>
        <w:gridCol w:w="342"/>
        <w:gridCol w:w="342"/>
        <w:gridCol w:w="342"/>
        <w:gridCol w:w="342"/>
        <w:gridCol w:w="48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9"/>
        <w:gridCol w:w="627"/>
        <w:gridCol w:w="631"/>
        <w:gridCol w:w="1214"/>
        <w:gridCol w:w="1048"/>
        <w:gridCol w:w="1052"/>
        <w:gridCol w:w="391"/>
        <w:gridCol w:w="391"/>
        <w:gridCol w:w="393"/>
        <w:gridCol w:w="348"/>
        <w:gridCol w:w="348"/>
        <w:gridCol w:w="349"/>
        <w:gridCol w:w="760"/>
        <w:gridCol w:w="760"/>
        <w:gridCol w:w="1084"/>
      </w:tblGrid>
      <w:tr>
        <w:trPr/>
        <w:tc>
          <w:tcPr>
            <w:tcW w:w="8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Biogas</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Expected Commercial Operation Date </w:t>
            </w:r>
            <w:r>
              <w:rPr>
                <w:rFonts w:ascii="Times New Roman;sans-serif" w:hAnsi="Times New Roman;sans-serif"/>
                <w:b/>
                <w:color w:val="000000"/>
                <w:sz w:val="13"/>
              </w:rPr>
              <w:t>(4)</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Emerald</w:t>
            </w:r>
            <w:r>
              <w:rPr>
                <w:color w:val="000000"/>
              </w:rPr>
              <w:t xml:space="preserve"> </w:t>
            </w:r>
            <w:r>
              <w:rPr>
                <w:rFonts w:ascii="Times New Roman;sans-serif" w:hAnsi="Times New Roman;sans-serif"/>
                <w:b w:val="false"/>
                <w:color w:val="000000"/>
                <w:sz w:val="13"/>
              </w:rPr>
              <w:t>(2)</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Sapphire</w:t>
            </w:r>
            <w:r>
              <w:rPr>
                <w:color w:val="000000"/>
              </w:rPr>
              <w:t xml:space="preserve">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(2)</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Sunoma </w:t>
            </w:r>
            <w:r>
              <w:rPr>
                <w:rFonts w:ascii="Times New Roman;sans-serif" w:hAnsi="Times New Roman;sans-serif"/>
                <w:b w:val="false"/>
                <w:color w:val="000000"/>
                <w:sz w:val="13"/>
              </w:rPr>
              <w:t>(3)</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176,297 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Polk County </w:t>
            </w:r>
            <w:r>
              <w:rPr>
                <w:rFonts w:ascii="Times New Roman;sans-serif" w:hAnsi="Times New Roman;sans-serif"/>
                <w:b w:val="false"/>
                <w:color w:val="000000"/>
                <w:sz w:val="13"/>
              </w:rPr>
              <w:t>(7)</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8,804,931 </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Hilltop</w:t>
            </w:r>
            <w:r>
              <w:rPr>
                <w:color w:val="000000"/>
              </w:rPr>
              <w:t xml:space="preserve"> </w:t>
            </w:r>
            <w:r>
              <w:rPr>
                <w:rFonts w:ascii="Times New Roman;sans-serif" w:hAnsi="Times New Roman;sans-serif"/>
                <w:b w:val="false"/>
                <w:color w:val="000000"/>
                <w:sz w:val="13"/>
              </w:rPr>
              <w:t>(5)</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Vander Schaaf </w:t>
            </w:r>
            <w:r>
              <w:rPr>
                <w:rFonts w:ascii="Times New Roman;sans-serif" w:hAnsi="Times New Roman;sans-serif"/>
                <w:b w:val="false"/>
                <w:color w:val="000000"/>
                <w:sz w:val="13"/>
              </w:rPr>
              <w:t>(5)</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Burlington </w:t>
            </w:r>
            <w:r>
              <w:rPr>
                <w:rFonts w:ascii="Times New Roman;sans-serif" w:hAnsi="Times New Roman;sans-serif"/>
                <w:b w:val="false"/>
                <w:color w:val="000000"/>
                <w:sz w:val="13"/>
              </w:rPr>
              <w:t>(6)</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459,900 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Atlantic </w:t>
            </w:r>
            <w:r>
              <w:rPr>
                <w:rFonts w:ascii="Times New Roman;sans-serif" w:hAnsi="Times New Roman;sans-serif"/>
                <w:b w:val="false"/>
                <w:color w:val="000000"/>
                <w:sz w:val="13"/>
              </w:rPr>
              <w:t>(2)</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331,785 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2025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Cottonwood </w:t>
            </w:r>
            <w:r>
              <w:rPr>
                <w:rFonts w:ascii="Times New Roman;sans-serif" w:hAnsi="Times New Roman;sans-serif"/>
                <w:b w:val="false"/>
                <w:color w:val="000000"/>
                <w:sz w:val="13"/>
              </w:rPr>
              <w:t>(6)</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664,884 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Kirby Canyon </w:t>
            </w:r>
            <w:r>
              <w:rPr>
                <w:rFonts w:ascii="Times New Roman;sans-serif" w:hAnsi="Times New Roman;sans-serif"/>
                <w:b w:val="false"/>
                <w:color w:val="000000"/>
                <w:sz w:val="13"/>
              </w:rPr>
              <w:t>(6)</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2,631,139 </w:t>
            </w:r>
          </w:p>
        </w:tc>
        <w:tc>
          <w:tcPr>
            <w:tcW w:w="10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0" w:after="20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0" w:after="200"/>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Please see Part I, Item 3: Legal Proceedings and</w:t>
      </w:r>
      <w:r>
        <w:rPr>
          <w:color w:val="000000"/>
          <w:shd w:fill="FFFFFF" w:val="clear"/>
        </w:rPr>
        <w:t xml:space="preserve"> </w:t>
      </w:r>
      <w:r>
        <w:rPr>
          <w:rFonts w:ascii="Times New Roman;sans-serif" w:hAnsi="Times New Roman;sans-serif"/>
          <w:b w:val="false"/>
          <w:color w:val="000000"/>
          <w:sz w:val="20"/>
          <w:shd w:fill="FFFFFF" w:val="clear"/>
        </w:rPr>
        <w:t xml:space="preserve">Note 17 - </w:t>
      </w:r>
      <w:r>
        <w:rPr>
          <w:rFonts w:ascii="Times New Roman;sans-serif" w:hAnsi="Times New Roman;sans-serif"/>
          <w:b w:val="false"/>
          <w:i/>
          <w:color w:val="000000"/>
          <w:sz w:val="20"/>
          <w:shd w:fill="FFFFFF" w:val="clear"/>
        </w:rPr>
        <w:t>Commitments and Contingencies</w:t>
      </w:r>
      <w:r>
        <w:rPr>
          <w:color w:val="000000"/>
          <w:shd w:fill="FFFFFF" w:val="clear"/>
        </w:rPr>
        <w:t xml:space="preserve"> </w:t>
      </w:r>
      <w:r>
        <w:rPr>
          <w:rFonts w:ascii="Times New Roman;sans-serif" w:hAnsi="Times New Roman;sans-serif"/>
          <w:b w:val="false"/>
          <w:color w:val="000000"/>
          <w:sz w:val="20"/>
          <w:shd w:fill="FFFFFF" w:val="clear"/>
        </w:rPr>
        <w:t xml:space="preserve">to the financial statements. </w:t>
      </w:r>
    </w:p>
    <w:p>
      <w:pPr>
        <w:pStyle w:val="TextBody"/>
        <w:bidi w:val="0"/>
        <w:spacing w:lineRule="auto" w:line="288" w:before="0" w:after="200"/>
        <w:jc w:val="both"/>
        <w:rPr/>
      </w:pPr>
      <w:r>
        <w:rPr>
          <w:rFonts w:ascii="Times New Roman;sans-serif" w:hAnsi="Times New Roman;sans-serif"/>
          <w:b w:val="false"/>
          <w:color w:val="000000"/>
          <w:sz w:val="13"/>
          <w:shd w:fill="FFFFFF" w:val="clear"/>
        </w:rPr>
        <w:t>(6)</w:t>
      </w:r>
      <w:r>
        <w:rPr>
          <w:color w:val="000000"/>
          <w:shd w:fill="FFFFFF" w:val="clear"/>
        </w:rPr>
        <w:t xml:space="preserve"> </w:t>
      </w:r>
      <w:r>
        <w:rPr>
          <w:rFonts w:ascii="Times New Roman;sans-serif" w:hAnsi="Times New Roman;sans-serif"/>
          <w:b w:val="false"/>
          <w:color w:val="000000"/>
          <w:sz w:val="20"/>
        </w:rPr>
        <w:t>The construction of the Cottonwood, Burlington and Kirby Canyon projects began in the second, third and fourth quarters of 2024, respectively.</w:t>
      </w:r>
    </w:p>
    <w:p>
      <w:pPr>
        <w:pStyle w:val="TextBody"/>
        <w:bidi w:val="0"/>
        <w:spacing w:lineRule="auto" w:line="288" w:before="0" w:after="200"/>
        <w:jc w:val="both"/>
        <w:rPr/>
      </w:pPr>
      <w:r>
        <w:rPr>
          <w:rFonts w:ascii="Times New Roman;sans-serif" w:hAnsi="Times New Roman;sans-serif"/>
          <w:b w:val="false"/>
          <w:color w:val="000000"/>
          <w:sz w:val="13"/>
        </w:rPr>
        <w:t xml:space="preserve">(7) </w:t>
      </w:r>
      <w:r>
        <w:rPr>
          <w:rFonts w:ascii="Times New Roman;sans-serif" w:hAnsi="Times New Roman;sans-serif"/>
          <w:b w:val="false"/>
          <w:color w:val="000000"/>
          <w:sz w:val="20"/>
        </w:rPr>
        <w:t>The Polk County project began commercial operations in October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10205" w:type="dxa"/>
        <w:jc w:val="center"/>
        <w:tblInd w:w="0" w:type="dxa"/>
        <w:tblLayout w:type="fixed"/>
        <w:tblCellMar>
          <w:top w:w="28" w:type="dxa"/>
          <w:left w:w="28" w:type="dxa"/>
          <w:bottom w:w="28" w:type="dxa"/>
          <w:right w:w="28" w:type="dxa"/>
        </w:tblCellMar>
      </w:tblPr>
      <w:tblGrid>
        <w:gridCol w:w="1322"/>
        <w:gridCol w:w="1159"/>
        <w:gridCol w:w="1164"/>
        <w:gridCol w:w="1086"/>
        <w:gridCol w:w="1086"/>
        <w:gridCol w:w="1089"/>
        <w:gridCol w:w="963"/>
        <w:gridCol w:w="963"/>
        <w:gridCol w:w="1373"/>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Current RNG conversion candidate </w:t>
            </w:r>
            <w:r>
              <w:rPr>
                <w:rFonts w:ascii="Times New Roman;sans-serif" w:hAnsi="Times New Roman;sans-serif"/>
                <w:b/>
                <w:color w:val="000000"/>
                <w:sz w:val="13"/>
              </w:rPr>
              <w:t>(2)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operation:</w:t>
            </w:r>
          </w:p>
        </w:tc>
        <w:tc>
          <w:tcPr>
            <w:tcW w:w="3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Lopez</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Miramar Energy</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Marcos</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Cruz</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 Miramar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Covina</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Charlotte</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Taunton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Arbor Hills </w:t>
            </w:r>
            <w:r>
              <w:rPr>
                <w:rFonts w:ascii="Times New Roman;sans-serif" w:hAnsi="Times New Roman;sans-serif"/>
                <w:b w:val="false"/>
                <w:color w:val="000000"/>
                <w:sz w:val="13"/>
              </w:rPr>
              <w:t>(3)</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C&amp;C</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Albany</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Concord and CMS</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Pioneer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Richmond (previously "Old Dominion")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construction:</w:t>
            </w:r>
          </w:p>
        </w:tc>
        <w:tc>
          <w:tcPr>
            <w:tcW w:w="3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Fall River </w:t>
            </w:r>
            <w:r>
              <w:rPr>
                <w:rFonts w:ascii="Times New Roman;sans-serif" w:hAnsi="Times New Roman;sans-serif"/>
                <w:b w:val="false"/>
                <w:color w:val="000000"/>
                <w:sz w:val="13"/>
              </w:rPr>
              <w:t>(4)</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lineRule="auto" w:line="288" w:before="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0" w:after="200"/>
        <w:jc w:val="both"/>
        <w:rPr/>
      </w:pPr>
      <w:r>
        <w:rPr>
          <w:rFonts w:ascii="Times New Roman;sans-serif" w:hAnsi="Times New Roman;sans-serif"/>
          <w:b w:val="false"/>
          <w:color w:val="000000"/>
          <w:sz w:val="13"/>
          <w:shd w:fill="FFFFFF" w:val="clear"/>
        </w:rPr>
        <w:t>(4)</w:t>
      </w:r>
      <w:r>
        <w:rPr>
          <w:color w:val="000000"/>
        </w:rPr>
        <w:t xml:space="preserve"> </w:t>
      </w:r>
      <w:r>
        <w:rPr>
          <w:rFonts w:ascii="Times New Roman;sans-serif" w:hAnsi="Times New Roman;sans-serif"/>
          <w:b w:val="false"/>
          <w:color w:val="000000"/>
          <w:sz w:val="20"/>
        </w:rPr>
        <w:t>Construction of the Fall River project has been delayed due to permitting issues.</w:t>
      </w:r>
    </w:p>
    <w:p>
      <w:pPr>
        <w:pStyle w:val="TextBody"/>
        <w:bidi w:val="0"/>
        <w:spacing w:lineRule="auto" w:line="288" w:before="0" w:after="200"/>
        <w:jc w:val="both"/>
        <w:rPr/>
      </w:pPr>
      <w:r>
        <w:rPr>
          <w:rFonts w:ascii="Times New Roman;sans-serif" w:hAnsi="Times New Roman;sans-serif"/>
          <w:b/>
          <w:i/>
          <w:color w:val="000000"/>
          <w:sz w:val="20"/>
        </w:rPr>
        <w:t>Comparison of the Years Ended December 31, 2024 and</w:t>
      </w:r>
      <w:r>
        <w:rPr>
          <w:color w:val="000000"/>
        </w:rPr>
        <w:t xml:space="preserve"> </w:t>
      </w:r>
      <w:r>
        <w:rPr>
          <w:rFonts w:ascii="Times New Roman;sans-serif" w:hAnsi="Times New Roman;sans-serif"/>
          <w:b/>
          <w:i/>
          <w:color w:val="000000"/>
          <w:sz w:val="20"/>
        </w:rPr>
        <w:t>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consolidated statements of operations for the twelve months ended December 31, 2024 and 2023 .</w:t>
      </w:r>
    </w:p>
    <w:tbl>
      <w:tblPr>
        <w:tblW w:w="7040" w:type="dxa"/>
        <w:jc w:val="center"/>
        <w:tblInd w:w="0" w:type="dxa"/>
        <w:tblLayout w:type="fixed"/>
        <w:tblCellMar>
          <w:top w:w="28" w:type="dxa"/>
          <w:left w:w="28" w:type="dxa"/>
          <w:bottom w:w="28" w:type="dxa"/>
          <w:right w:w="28" w:type="dxa"/>
        </w:tblCellMar>
      </w:tblPr>
      <w:tblGrid>
        <w:gridCol w:w="467"/>
        <w:gridCol w:w="411"/>
        <w:gridCol w:w="412"/>
        <w:gridCol w:w="109"/>
        <w:gridCol w:w="109"/>
        <w:gridCol w:w="109"/>
        <w:gridCol w:w="353"/>
        <w:gridCol w:w="353"/>
        <w:gridCol w:w="353"/>
        <w:gridCol w:w="353"/>
        <w:gridCol w:w="353"/>
        <w:gridCol w:w="353"/>
        <w:gridCol w:w="353"/>
        <w:gridCol w:w="353"/>
        <w:gridCol w:w="353"/>
        <w:gridCol w:w="109"/>
        <w:gridCol w:w="109"/>
        <w:gridCol w:w="109"/>
        <w:gridCol w:w="265"/>
        <w:gridCol w:w="265"/>
        <w:gridCol w:w="266"/>
        <w:gridCol w:w="109"/>
        <w:gridCol w:w="109"/>
        <w:gridCol w:w="109"/>
        <w:gridCol w:w="233"/>
        <w:gridCol w:w="233"/>
        <w:gridCol w:w="330"/>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br/>
              <w:t>Change</w:t>
            </w:r>
          </w:p>
        </w:tc>
      </w:tr>
      <w:tr>
        <w:trPr/>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49"/>
        <w:gridCol w:w="1508"/>
        <w:gridCol w:w="1516"/>
        <w:gridCol w:w="109"/>
        <w:gridCol w:w="109"/>
        <w:gridCol w:w="109"/>
        <w:gridCol w:w="211"/>
        <w:gridCol w:w="721"/>
        <w:gridCol w:w="109"/>
        <w:gridCol w:w="109"/>
        <w:gridCol w:w="109"/>
        <w:gridCol w:w="109"/>
        <w:gridCol w:w="211"/>
        <w:gridCol w:w="721"/>
        <w:gridCol w:w="109"/>
        <w:gridCol w:w="109"/>
        <w:gridCol w:w="109"/>
        <w:gridCol w:w="109"/>
        <w:gridCol w:w="211"/>
        <w:gridCol w:w="779"/>
        <w:gridCol w:w="109"/>
        <w:gridCol w:w="109"/>
        <w:gridCol w:w="109"/>
        <w:gridCol w:w="109"/>
        <w:gridCol w:w="259"/>
        <w:gridCol w:w="264"/>
        <w:gridCol w:w="320"/>
      </w:tblGrid>
      <w:tr>
        <w:trPr/>
        <w:tc>
          <w:tcPr>
            <w:tcW w:w="184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on Redeemable preferred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Net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0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Revenues</w:t>
      </w:r>
    </w:p>
    <w:tbl>
      <w:tblPr>
        <w:tblW w:w="8109" w:type="dxa"/>
        <w:jc w:val="center"/>
        <w:tblInd w:w="0" w:type="dxa"/>
        <w:tblLayout w:type="fixed"/>
        <w:tblCellMar>
          <w:top w:w="28" w:type="dxa"/>
          <w:left w:w="28" w:type="dxa"/>
          <w:bottom w:w="28" w:type="dxa"/>
          <w:right w:w="28" w:type="dxa"/>
        </w:tblCellMar>
      </w:tblPr>
      <w:tblGrid>
        <w:gridCol w:w="1331"/>
        <w:gridCol w:w="1171"/>
        <w:gridCol w:w="1173"/>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Environmental Attributes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OPAL owned stations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marketing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station service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Environmental Attributes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Revenues from Environmental Attributes in RNG Fuel segment relate to revenues earned from sales of RINs and LCFSs</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Revenues from RNG marketing in Fuel Station Services segment relate to revenues earned from sales of RINs and LCFSs as well as revenue from Environmental Attribute generation and monetization services. </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Revenues from Environmental Attributes in Renewable Power segment include revenues earned from sales of ISCC carbon sales and RECs.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$22.1 million, or 33%, for the year ended December 31, 2024 compared to the year ended December 31, 2023. This is primarily due to a $21.1 million increase in Environmental Attributes, driven by $9.1 million of higher price and $12.0 million from increased volume, primarily from commencement of operations at Prince William and Polk. Revenue from Brown Gas Sales increased $0.5 million, also primarily due to the impact of Prince William and Polk coming online in 2024. Additionally, there was $0.5 million increase in revenues earned from providing management services to unconsolidated entities.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Fuel Station Services increased by $31.9 million, or 24%, for the year ended December 31, 2024 compared to the year ended December 31, 2023. This was primarily attributable to a $31.0 million increase in RNG marketing revenues, driven by a $17.1 million increase in RIN and LCFS minting services from higher RNG volumes (Emerald ramp-up, Prince William), and an $18.0 million increase in RIN sales from higher volume and pricing, and a $4.1 million decrease in 3rd party LCFS sales as the company chose to hold some unsold LCFS credits in inventory at the end of 2024. Also within Fuel Station Service there was a $6.8 million increase in OPAL owned stations due to higher volumes, and a $3.2 million increase in service and maintenance revenues from an increased number of stations serviced, partially offset by a $9.2 million decrease in construction revenues primarily related to timing as new 2024 projects started construction later in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$10.1 million, or 18%, for the year ended December 31, 2024 compared to the year ended December 31, 2023. This change was attributable primarily to a $7.4 million decrease in Electricity Sales, of which a $4.6 million decrease was related to facility shutdowns for conversion to RNG Fuel and $2.8 million was related to lower price. Also within Renewable Power was a $2.7 million decrease in Environmental Attributes, primarily related to the same facility shutdowns mentioned above. Regulatory changes implemented by the European Union Commission took effect on November 21, 2024 that excluded biomethane produced outside of the European Union from being certified as eligible to be sold in accordance with the European Union Renewable Energy Directive. As a result, all of our contracts governing sales of ISCC Carbon Credits were terminated on November 21, 2024. Following such terminations, we expect to continue to earn revenues from sale of electricity generated by these Renewable Power facilities and the associated Environmental Attributes.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RNG Fuel increased by $6.5 million, or 20%, for the year ended December 31, 2024 compared to the year ended December 31, 2023. The increase was primarily related to start of operations at our Prince William and Polk RNG facilities in 2024.</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$13.5 million, or 12%, for the year ended December 31, 2024 compared to the year ended December 31, 2023. This change was attributable primarily to a $18.3 million increase in dispensing fees to generate Environmental Attributes, $3.3 million increase in FPA tolling expense, and a $2.0 million increase in Service and maintenance expenses, partially offset by an $11.0 million decrease in construction expense, in line with the decrease in construction revenues.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Renewable Power decreased by $4.1 million, or 11%, for the year ended December 31, 2024 compared to the year ended December 31, 2023. This savings is primarily related to converting some of our projects from Renewable Power facilities to RNG facilities.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Project development and start up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 increased by $14.2 million or 293%, for the year ended December 31, 2024 compared to the year ended December 31, 2023. This is primarily due to a $13.9 million increase in virtual pipeline costs for Prince William and ITC transaction related expenses.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increased $1.9 million or 4% for the year ended December 31, 2024 compared to the year ended December 31, 2023. This increase was primarily due to increases in corporate spending for professional services, marketing, and support for new RNG facilities.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 increased by a total of $3.3 million, or 23%, for the year ended December 31, 2024 compared to the year ended December 31, 2023. This change was primarily due to new RNG facilities and OPAL owned dispensing stations, both starting operations in 2024.</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Impairment loss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loss increased by a total of $2.0 million, or 100%, for the year ended December 31, 2024 compared to the year ended December 31, 2023. This change was primarily due to the impairment of Renewable Energy facility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$7.7 million, or 140%, for the year ended December 31, 2024 compared to the year ended December 31, 2023. This is primarily attributable to Emerald, which had its first full year of operations in 2024 after coming online in the second half of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increased by $10.3 million, or 111%, for the year ended December 31, 2024 compared to the year ended December 31, 2023. This is primarily due to an increase in interest expense on the OPAL Term Loan of $9.8 million primarily due to an increase in outstanding debt, increase of $1.2 million in commitment and other fees, decrease of $1.0 million in interest income, partially offset by a decrease of $1.6 million on the Convertible Note Payable.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decreased by $5.8 million, or 78%, for the year ended December 31, 2024 compared to the year ended December 31, 2023. This change was attributable primarily to a lower gain in the current year associated with the mark-to-market adjustments to the earnout liabilities. These liabilities were recorded in the consolidated balance sheet upon completion of the Business Combination.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$122.3 million, or 98%, for the year ended December 31, 2024 compared to the year ended December 31, 2023. This change is primarily related to a gain $122.9 million recognized on deconsolidation of VIEs, Emerald and Sapphire in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OPAL Term Loan II. The joint venture partner of Paragon reimbursed OPAL Intermediate Holdco 2 $0.8 million as its portion of the transaction costs incurred.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expensed the remaining deferred financing costs of $1.9 million as loss on debt extinguishment in its consolidated statement of operations for the year ended December 31, 2023. Additionally, we completed a debt restructuring of the OPAL Term Loan in third quarter of 2023 which was accounted for as a debt modification for the existing lenders by performing an analysis on a lender by lender basis under </w:t>
      </w:r>
      <w:r>
        <w:rPr>
          <w:rFonts w:ascii="Times New Roman;sans-serif" w:hAnsi="Times New Roman;sans-serif"/>
          <w:b w:val="false"/>
          <w:i/>
          <w:color w:val="000000"/>
          <w:sz w:val="20"/>
        </w:rPr>
        <w:t>ASC 470-50 Debt modifications and exchanges.</w:t>
      </w:r>
      <w:r>
        <w:rPr>
          <w:color w:val="000000"/>
        </w:rPr>
        <w:t xml:space="preserve"> </w:t>
      </w:r>
      <w:r>
        <w:rPr>
          <w:rFonts w:ascii="Times New Roman;sans-serif" w:hAnsi="Times New Roman;sans-serif"/>
          <w:b w:val="false"/>
          <w:color w:val="000000"/>
          <w:sz w:val="20"/>
        </w:rPr>
        <w:t xml:space="preserve">As a result, the Company recorded debt extinguishment of $0.3 million representing the fees allocated to the lenders who were repaid in full as part of loss on debt extinguishment in the consolidated statement of operations for the year ended December 31, 2023.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loss on debt extinguishment for the year ended December 31, 2024.</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Loss on warrant exchange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issued 49,633 shares to certain warrant holders as consideration for their prior agreement to tender all warrants held by the warrant holders in the voluntary exchange offer which closed on December 22, 2022. We recorded $338 thousand representing the fair value of the shares issued based on the closing price on March 30, 2023 as part of Loss on warrant exchange on its consolidated statement of operations for the year ended December 31, 2023. No such loss has been recorded in 2024.</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for the year ended December 31, 2024 and 2023 is $2.9 million and $97.4 million, respectively. The net income for the years ended December 31, 2024 and 2023 reflects the net income belonging to OPAL Fuels equity holders based on pro-rata ownership.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non-redeemable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non-redeemable non-controlling interests for the year ended December 31, 2024 increased by $0.8 million or 227%, compared to the year ended December 31, 2023. This reflects the joint venture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43535"/>
                <wp:effectExtent l="0" t="0" r="0" b="0"/>
                <wp:wrapNone/>
                <wp:docPr id="70" name="Frame7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in certain RNG facilities in which we sold a portion of our ownership interests but are consolidated in our financial statements. These entities for the year ended December 31, 2024, were Sunoma and Central Valley. These entities for the year ended December 31, 2023, were Sunoma and Central Valley as well as Emerald, Sapphire for the first five months of 2023. The increase was primarily attributable to higher net income earned by Sunoma.</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Dividends on redeemable preferred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dividends on redeemable preferred non-controlling interests for the year ended December 31, 2024 decreased by $0.5 million or 5%. They carry an 8% dividend payable quarterly. This decrease is primarily due to lower interest accrued on paid-in-kind interest in the current period compared to the same prior-year period as the dividends are being paid quarterly instead of being paid-in-kind.</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liquidity was $223.6 million consisting of $178.4 million of unused capacity under our $450 million senior secured credit facility, $20.9 million of unused capacity under the associated revolver, and 24.3 million of cash, cash equivalents. Refer to Note 7.</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0" w:after="200"/>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OPAL Term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43535"/>
                <wp:effectExtent l="0" t="0" r="0" b="0"/>
                <wp:wrapNone/>
                <wp:docPr id="71" name="Frame7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 million.</w:t>
      </w:r>
    </w:p>
    <w:p>
      <w:pPr>
        <w:pStyle w:val="TextBody"/>
        <w:bidi w:val="0"/>
        <w:spacing w:lineRule="auto" w:line="288" w:before="0" w:after="200"/>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Sunoma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 million. Sunoma paid $0.635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 annual fixed rates of 7.8%, and 8.2% per annum during the term.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outstanding loan balance (current and non-current) excluding deferred financing costs was $20.8 and $22.5 million,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of December 31, 2024 and December 31, 2023.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Series A Preferred Units of OPAL Fuels LLC</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NextEra subscribed for an aggregate of $100,000,000 of Series A preferred units issued by OPAL Fuels LLC. 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years ended December 31, 2024 and 2023:</w:t>
      </w:r>
    </w:p>
    <w:tbl>
      <w:tblPr>
        <w:tblW w:w="8336" w:type="dxa"/>
        <w:jc w:val="center"/>
        <w:tblInd w:w="0" w:type="dxa"/>
        <w:tblLayout w:type="fixed"/>
        <w:tblCellMar>
          <w:top w:w="28" w:type="dxa"/>
          <w:left w:w="28" w:type="dxa"/>
          <w:bottom w:w="28" w:type="dxa"/>
          <w:right w:w="28" w:type="dxa"/>
        </w:tblCellMar>
      </w:tblPr>
      <w:tblGrid>
        <w:gridCol w:w="1732"/>
        <w:gridCol w:w="1525"/>
        <w:gridCol w:w="1528"/>
        <w:gridCol w:w="109"/>
        <w:gridCol w:w="109"/>
        <w:gridCol w:w="109"/>
        <w:gridCol w:w="261"/>
        <w:gridCol w:w="986"/>
        <w:gridCol w:w="135"/>
        <w:gridCol w:w="135"/>
        <w:gridCol w:w="135"/>
        <w:gridCol w:w="135"/>
        <w:gridCol w:w="261"/>
        <w:gridCol w:w="986"/>
        <w:gridCol w:w="190"/>
      </w:tblGrid>
      <w:tr>
        <w:trPr/>
        <w:tc>
          <w:tcPr>
            <w:tcW w:w="173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(74,147)</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(29,979)</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43535"/>
                <wp:effectExtent l="0" t="0" r="0" b="0"/>
                <wp:wrapNone/>
                <wp:docPr id="72" name="Frame7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year ended December 31, 2024 was $33.0 million, a decrease of $5.2 million compared to net cash used in operating activities of $38.3 million for the year ended December 31, 2023. The decrease in cash provided by operating activities was primarily due to lower year over year operating income of $112.7 million and a negative working capital changes of $16.6 million offset by increase of $122.3 million in non-cash expenses and $2.1 million increase of portion of distributions from equity method investments allocated to operating activities.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2024 was $134.6 million, an increase of $60.4 million compared to the $74.1 million used in investing activities for the year ended December 31, 2023. This was primarily driven by a decrease in cash from sale of short term investments of $45.2 million, higher payments made for the construction of various RNG generation and dispensing facilities in 2024 compared to 2023 of $13.4 million, an increase of $13.3 million in contributions to equity method investments, a $0.5 million decrease in distributions from equity method investments, offset by a decrease from deconsolidation of VIEs of $11.9 million in 2023.</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2024 was $83.5 million, an increase of $77.6 million compared to the $5.9 million provided by financing activities for the year ended December 31, 2023. This increase was primarily driven by an increase of $158.9 million due to lower repayments on the Senior Secured Facility, the Convertible Note payable and OPAL Term Loan facilities in current year, an increase of $16.4 million due to no payment on termination of put options in current year, an increase of $3.4 million due to lower preferred dividend payments in the current year, offset by a $87.2 million decrease in proceeds from the OPAL Term Loan, net of issuance costs, decrease in proceeds from non-controlling interests of $12.8 million, and a decrease of $0.8 million in reimbursement of financing costs by a joint venture partner.</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As of December 31, 2024, we currently anticipate spending approximately $194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consolidated financial statements for additional information.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The Company is not required to provide the information required by this Item as it is a “smaller reporting company.” However, we note that we</w:t>
      </w:r>
      <w:r>
        <w:rPr>
          <w:color w:val="000000"/>
        </w:rPr>
        <w:t xml:space="preserve"> </w:t>
      </w:r>
      <w:r>
        <w:rPr>
          <w:rFonts w:ascii="Times New Roman;sans-serif" w:hAnsi="Times New Roman;sans-serif"/>
          <w:b w:val="false"/>
          <w:color w:val="000000"/>
          <w:sz w:val="20"/>
        </w:rPr>
        <w:t xml:space="preserve">are exposed to market risks related to Environmental Attribute pricing, commodity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43535"/>
                <wp:effectExtent l="0" t="0" r="0" b="0"/>
                <wp:wrapNone/>
                <wp:docPr id="73" name="Frame7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interest rates and credit risk with our contract counterparties. We currently have no foreign exchange risk and do not hold any derivatives or other financial instruments purely for trading or speculative purposes.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sans-serif" w:hAnsi="Times New Roman;sans-serif"/>
          <w:b w:val="false"/>
          <w:i/>
          <w:color w:val="000000"/>
          <w:sz w:val="20"/>
        </w:rPr>
        <w:t>Derivative Financial Instruments and Fair Value</w:t>
      </w:r>
      <w:r>
        <w:rPr>
          <w:color w:val="000000"/>
        </w:rPr>
        <w:t xml:space="preserve"> </w:t>
      </w:r>
      <w:r>
        <w:rPr>
          <w:rFonts w:ascii="Times New Roman;sans-serif" w:hAnsi="Times New Roman;sans-serif"/>
          <w:b w:val="false"/>
          <w:i/>
          <w:color w:val="000000"/>
          <w:sz w:val="20"/>
        </w:rPr>
        <w:t xml:space="preserve">Measurements, </w:t>
      </w:r>
      <w:r>
        <w:rPr>
          <w:rFonts w:ascii="Times New Roman;sans-serif" w:hAnsi="Times New Roman;sans-serif"/>
          <w:b w:val="false"/>
          <w:color w:val="000000"/>
          <w:sz w:val="20"/>
        </w:rPr>
        <w:t>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both"/>
        <w:rPr/>
      </w:pPr>
      <w:r>
        <w:rPr/>
      </w:r>
    </w:p>
    <w:p>
      <w:pPr>
        <w:pStyle w:val="TextBody"/>
        <w:bidi w:val="0"/>
        <w:spacing w:lineRule="auto" w:line="27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contained in the financial statements set forth in Item 15(a) under the caption "Consolidated Financial Statements" as part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7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 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that evaluation of our disclosure controls and procedures as of December 31, 2024, our Co-Chief Executive Officers and Chief Financial Officer concluded that, as of such date, our disclosure controls and procedures were effective for the period covered by this report.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December 31, 2024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43535"/>
                <wp:effectExtent l="0" t="0" r="0" b="0"/>
                <wp:wrapNone/>
                <wp:docPr id="74" name="Frame7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 xml:space="preserve">During the fiscal </w:t>
      </w:r>
      <w:r>
        <w:rPr>
          <w:rFonts w:ascii="Times New Roman;sans-serif" w:hAnsi="Times New Roman;sans-serif"/>
          <w:b w:val="false"/>
          <w:color w:val="000000"/>
          <w:sz w:val="20"/>
        </w:rPr>
        <w:t xml:space="preserve">quarter </w:t>
      </w:r>
      <w:r>
        <w:rPr>
          <w:rFonts w:ascii="Times New Roman;sans-serif" w:hAnsi="Times New Roman;sans-serif"/>
          <w:b w:val="false"/>
          <w:color w:val="000000"/>
          <w:sz w:val="20"/>
          <w:shd w:fill="FFFFFF" w:val="clear"/>
        </w:rPr>
        <w:t>ended December 31, 2024,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Wasatch Resource Recovery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88" w:before="0" w:after="20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OPAL Term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43535"/>
                <wp:effectExtent l="0" t="0" r="0" b="0"/>
                <wp:wrapNone/>
                <wp:docPr id="75" name="Frame7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directors, executive officers and certain corporate governance items will be included in the proxy statement for the 2025 annual meeting of shareholders, to be filed within 120 days after December 31, 2024, and is incorporated by reference to this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executive compensation will be included in the proxy statement for the 2025 annual meeting of shareholders, to be filed within 120 days after December 31, 2024, and is incorporated by reference to this Form 10-K.</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(i) security ownership of certain beneficial owners and management and related stockholder matters and (ii) securities authorized for issuance under equity compensation plans will be included in the proxy statement for the 2025 annual meeting of shareholders, to be filed within 120 days after December 31, 2024, and is incorporated by reference to this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certain relationships and related transactions and director independence will be included in the proxy statement for the 2025 annual meeting of shareholders, to be filed within 120 days after December 31, 2024, and is incorporated by reference to this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principal accounting fees and services billed to us by our principal accountant, BDO USA, P.C will be included in the proxy statement for the 2025 annual meeting of shareholders, to be filed within 120 days after December 31, 2024, and is incorporated by reference to this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Documents filed as part of this Annual Report on Form 10-K</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 See accompanying Index to Consolidated Financial Statements.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 Exhibit Index</w:t>
      </w:r>
    </w:p>
    <w:tbl>
      <w:tblPr>
        <w:tblW w:w="10205" w:type="dxa"/>
        <w:jc w:val="center"/>
        <w:tblInd w:w="0" w:type="dxa"/>
        <w:tblLayout w:type="fixed"/>
        <w:tblCellMar>
          <w:top w:w="28" w:type="dxa"/>
          <w:left w:w="28" w:type="dxa"/>
          <w:bottom w:w="28" w:type="dxa"/>
          <w:right w:w="28" w:type="dxa"/>
        </w:tblCellMar>
      </w:tblPr>
      <w:tblGrid>
        <w:gridCol w:w="389"/>
        <w:gridCol w:w="341"/>
        <w:gridCol w:w="342"/>
        <w:gridCol w:w="109"/>
        <w:gridCol w:w="109"/>
        <w:gridCol w:w="109"/>
        <w:gridCol w:w="2578"/>
        <w:gridCol w:w="2569"/>
        <w:gridCol w:w="3659"/>
      </w:tblGrid>
      <w:tr>
        <w:trPr/>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Business Combination Agreement, dated as of December 2, 2021, by and among ArcLight, OPAL Fuels and OPAL Holdco (incorporated by reference to Exhibit 2.1 of the Company’s Current Report on Form 8-K, filed with the SEC on December 3, 2021)</w:t>
              </w:r>
            </w:hyperlink>
            <w:r>
              <w:rPr>
                <w:rFonts w:ascii="Times New Roman;sans-serif" w:hAnsi="Times New Roman;sans-serif"/>
                <w:b w:val="false"/>
                <w:color w:val="000000"/>
                <w:sz w:val="20"/>
              </w:rPr>
              <w:t>.</w:t>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OPAL Fuels Inc. Short-Term Incentive Plan (incorporated by reference to Exhibit 4.4 to the Annual Report on Form 10-K filed by the Company on March 29, 2023).</w:t>
              </w:r>
            </w:hyperlink>
            <w:r>
              <w:rPr>
                <w:color w:val="000000"/>
              </w:rPr>
              <w:t xml:space="preserv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43535"/>
                <wp:effectExtent l="0" t="0" r="0" b="0"/>
                <wp:wrapNone/>
                <wp:docPr id="76" name="Frame7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9"/>
        <w:gridCol w:w="205"/>
        <w:gridCol w:w="170"/>
        <w:gridCol w:w="109"/>
        <w:gridCol w:w="109"/>
        <w:gridCol w:w="109"/>
        <w:gridCol w:w="2821"/>
        <w:gridCol w:w="2660"/>
        <w:gridCol w:w="3763"/>
      </w:tblGrid>
      <w:tr>
        <w:trPr/>
        <w:tc>
          <w:tcPr>
            <w:tcW w:w="2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Form of Stock Option Grant Notice and Option Agreement (incorporated by reference to Exhibit 4.5 to the Annual Report on Form 10-K filed by the Company on March 29, 2023).</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Performance Restricted Stock Unit Award Grant Notice and Award Agreement (incorporated by reference to Exhibit 4.6 to the Annual Report on Form 10-K filed by the Company on March 29, 2023).</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OPAL Indemnification Agreement (incorporated by reference to Exhibit 10.1 to the Registration Statement on Form S-4 (File No. 333-262583), filed on May 6, 2022</w:t>
              </w:r>
            </w:hyperlink>
            <w:r>
              <w:rPr>
                <w:rFonts w:ascii="Times New Roman;sans-serif" w:hAnsi="Times New Roman;sans-serif"/>
                <w:b w:val="false"/>
                <w:color w:val="000000"/>
                <w:sz w:val="20"/>
              </w:rPr>
              <w:t>).</w:t>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2022 Omnibus Equity Incentive Plan (incorporated by reference to Exhibit 10.2 to the Current Report on Form 8-K filed by the Company on July 27,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Sponsor Letter Agreement, dated as of December 2, 2021, by and among OPAL Fuels LLC, ArcLight Clean Transition Corp. II and certain other parties thereto (incorporated by reference to incorporated by referenced to Exhibit 10.2 to the Company’s Current Report on Form 8-K filed by the registrant on December 3, 2021)</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Subscription Agreement (incorporated by reference to Exhibit 10.1 of the Company’s Current Report on Form 8-K, filed with the SEC on December 3, 2021).</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Amendment No. 1 to the Subscription Agreement (incorporated by reference to Exhibit 10.1 of the Company’s Current Report on Form 8-K, filed with the SEC on May 12,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Tax Receivable Agreement, dated July 21, 2022, by and among OPAL Fuels Inc. and the persons named therein (incorporated by reference to Exhibit 10.6 to the Current Report on Form 8-K filed by the Company on July 27,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Investor Rights Agreement, dated July 21, 2022, by and among OPAL Fuels Inc., ArcLight CTC Holdings II, L.P., and the other persons named therein (incorporated by reference to Exhibit 10.7 to the Current Report on Form 8-K filed by the Company on July 27,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Second A&amp;R LLC Agreement of OPAL Fuels, including any Certificates of Designations (incorporated by reference to Exhibit 10.8 to the Current Report on Form 8-K filed by the Company on July 27,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Delayed Draw Term Loan and Guaranty Agreement, dated October 22, 2021, by and among OPAL Fuels Intermediate Holdco LLC, the Guarantors named on the signature pages thereto, and the Lenders (as defined therein), and Bank of America, N.A., as Administrative Agent for the Lenders (incorporated by reference to Exhibit 10.8 to the Registration Statement on Form S-4 (File No. 333-262583), filed on March 25,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Amendment No. 1 to Delayed Draw Term Loan and Guaranty Agreement and Waiver, dated February 1, 2022 (incorporated by reference to Exhibit 10.9 to the Registration Statement on Form S-4 (File No. 333-262583), filed on March 25,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Environmental Attributes Purchase and Sale Agreement, dated November 29, 2021, by and between, on the one hand, NextEra Energy Marketing, LLC and, on the other hand, TruStar Energy LLC and OPAL Fuels LLC (incorporated by reference to Exhibit 10.10 to the Registration Statement on Form S-4 (File No. 333-262583), filed on March 25,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Administrative Services Agreement, dated December 31, 2021, by and between OPAL Fuels and Fortistar Services 2 LLC (incorporated by reference to Exhibit 10.11 to the Registration Statement on Form S-4 (File No. 333-262583), filed on March 25,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Indemnification and Hold Harmless Agreement, dated December 31, 2020, by and between OPAL Fuels LLC and Fortistar LLC (incorporated by reference to Exhibit 10.12 to the Registration Statement on Form S-4 (File No. 333-262583), filed on March 25,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Stock Award Agreement dated September 15, 2022 (incorporated by reference to Exhibit 10.1 to the Current Report on Form 8-K filed by the Company on September 19,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Forward Purchase Agreement, dated July 18, 2022, among ArcLight Clean Transition Corp. II, Meteora Special Opportunity Fund I, LP, Meteora Select Trading Opportunities Master, LP and Meteora Capital Partners, LP (incorporated by reference to Exhibit 10.1 to the Current Report on Form 8-K filed by the Company on July 18, 2022).</w:t>
              </w:r>
            </w:hyperlink>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Credit Agreement, dated August 4, 2022, made by and among OPAL Intermediate Holdco 2 as Borrower, the guarantors, the lenders thereto, Bank of Montreal as the administration agent, Wilmington Trust as collateral agent and Bank of Montreal, Investec Inc. and Comerica Bank as joint lead arrangers (incorporated by reference to Exhibit 10.1 to the Current Report on Form 8-K filed by the Company on August 8, 2022).</w:t>
              </w:r>
            </w:hyperlink>
          </w:p>
        </w:tc>
      </w:tr>
      <w:tr>
        <w:trPr/>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80"/>
                  <w:sz w:val="20"/>
                  <w:u w:val="single"/>
                </w:rPr>
                <w:t xml:space="preserve">Promissory Note, dated as of May 16, 2022, by and between Arclight and </w:t>
              </w:r>
            </w:hyperlink>
            <w:hyperlink r:id="rId25">
              <w:r>
                <w:rPr>
                  <w:rStyle w:val="InternetLink"/>
                  <w:rFonts w:ascii="Times New Roman;sans-serif" w:hAnsi="Times New Roman;sans-serif"/>
                  <w:b w:val="false"/>
                  <w:color w:val="000080"/>
                  <w:sz w:val="20"/>
                  <w:u w:val="single"/>
                </w:rPr>
                <w:t>Arclight CTC Holdings II, L.P.</w:t>
              </w:r>
            </w:hyperlink>
            <w:hyperlink r:id="rId26">
              <w:r>
                <w:rPr>
                  <w:rStyle w:val="InternetLink"/>
                  <w:rFonts w:ascii="Times New Roman;sans-serif" w:hAnsi="Times New Roman;sans-serif"/>
                  <w:b w:val="false"/>
                  <w:color w:val="000080"/>
                  <w:sz w:val="20"/>
                  <w:u w:val="single"/>
                </w:rPr>
                <w:t xml:space="preserve"> (incorporated by reference to Exhibit 10.6 to the Quarterly Report on Form 10-Q filed by the Company on August 10,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5"/>
        <w:gridCol w:w="206"/>
        <w:gridCol w:w="208"/>
        <w:gridCol w:w="109"/>
        <w:gridCol w:w="109"/>
        <w:gridCol w:w="109"/>
        <w:gridCol w:w="2753"/>
        <w:gridCol w:w="2681"/>
        <w:gridCol w:w="3795"/>
      </w:tblGrid>
      <w:tr>
        <w:trPr/>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Service Contract Agreement</w:t>
              </w:r>
            </w:hyperlink>
            <w:hyperlink r:id="rId28">
              <w:r>
                <w:rPr>
                  <w:rStyle w:val="InternetLink"/>
                  <w:rFonts w:ascii="Times New Roman;sans-serif" w:hAnsi="Times New Roman;sans-serif"/>
                  <w:b w:val="false"/>
                  <w:color w:val="000080"/>
                  <w:sz w:val="20"/>
                  <w:u w:val="single"/>
                </w:rPr>
                <w:t>, dated December 15, 2022, by and between OPAL Fuels Inc. and United Parcel Service Oasis Supply Corporation (incorporated by reference to Exhibit 10.1 to the Current Report on Form 8-K filed by the Company on December 21, 2022).</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FM3 Credit Agreement, dated December 19, 2022, by and between Fortistar Methane LLC, OPAL Fuels LLC and a syndicate of lenders led by MUFG Union Bank N.A. as administrative agent (incorporated by reference to Exhibit 10.2 to the Current Report on Form 8-K filed by the Company on December 21, 2022).</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Securities Purchase Agreement, dated March 30, 2023, by and between the Company and the purchasers named therein (incorporated by reference to Exhibit 10.1 to the Current Report on Form 8-K filed by the Company on April 5,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Landfill Gas Purchase and Sale Agreement dated April 13, 2023 (effective as of March 13, 2023) (incorporated by reference to Exhibit 10.2 to the Quarterly Report on Form 10-Q filed by the Company on May 15,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Piggyback Agreement for Landfill Gas Purchase Agreement dated May 2, 2023 (incorporated by reference to Exhibit 10.3 to the Quarterly Report on Form 10-Q filed by the Company on May 15,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Amended and Restated Credit and Guaranty Agreement, dated May 30, 2023, among Paragon RNG LLC as Borrower, the Guarantors, the lenders thereto, Bank of Montreal as the administrative agent, Wilmington Trust as collateral agent and BMO Capital Markets Corp., Investec Inc. and Comerica Bank as joint lead arrangers (incorporated by reference to Exhibit 10.1 to the Current Report on Form 8-K filed by the Company on June 2,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Third Amended and Restated Gas Sale and Purchase Agreement, dated August 11, 2023 (incorporated by reference to Exhibit 10.5 to the Quarterly Report on Form 10-Q filed by the Company on August 14, 2023).</w:t>
              </w:r>
            </w:hyperlink>
          </w:p>
          <w:p>
            <w:pPr>
              <w:pStyle w:val="TableContents"/>
              <w:bidi w:val="0"/>
              <w:spacing w:before="0" w:after="0"/>
              <w:jc w:val="both"/>
              <w:rPr/>
            </w:pPr>
            <w:r>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Landfill Gas Purchase and Sale Agreement, dated August 28, 2023 with Waste Management of California, Inc. (incorporated by reference to Exhibit 10.1 to the Current Report on Form 8-K filed by the Company on August 31,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Lease Agreement, dated August 28, 2023 with Waste Management of California, Inc. (incorporated by reference to Exhibit 10.2 to the Current Report on Form 8-K filed by the Company on August 31,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Landfill Gas Purchase and Sale Agreement, dated August 28, 2023 with Guadalupe Rubbish Disposal Co., Inc. (incorporated by reference to Exhibit 10.3 to the Current Report on Form 8-K filed by the Company on August 31,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Lease Agreement, dated August 28, 2023 with Guadalupe Rubbish Disposal Co., Inc. (incorporated by reference to Exhibit 10.4 to the Current Report on Form 8-K filed by the Company on August 31,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Credit Agreement, dated September 1, 2023, by and among Intermediate HoldCo as Borrower, the guarantors, the lenders party thereto, Bank of America, N.A. as the administration agent, and Apterra Infrastructure Capital LLC, Barclays Bank PLC, BofA Securities, Inc., Celtic Bank Corporation, JP Morgan Chase Bank, N.A. and Investec Inc., as joint lead arrangers (incorporated by reference to Exhibit 10.1 to the Current Report on Form 8-K filed by the Company on September 5,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Pledge Agreement, dated September 1, 2023, by OPAL Fuels Parent HoldCo 3 LLC in favor of Bank of America, N.A. (incorporated by reference to Exhibit 10.2 to the Current Report on Form 8-K filed by the Company on September 5,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Security Agreement, dated September 1, 2023, by OPAL Fuels Intermediate HoldCo LLC and the other grantors listed on the signature pages thereto in favor of Bank of America, N.A. (incorporated by reference to Exhibit 10.3 to the Current Report on Form 8-K filed by the Company on September 5,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Note (Term), dated September 1, 2023, between OPAL Fuels Intermediate HoldCo LLC and BankUnited, N.A. (incorporated by reference to Exhibit 10.4 to the Current Report on Form 8-K filed by the Company on September 5, 2023).</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Note (Revolving), dated September 1, 2023, between OPAL Fuels Intermediate HoldCo LLC and BankUnited, N.A. (incorporated by reference to Exhibit 10.5 to the Current Report on Form 8-K filed by the Company on September 5, 2023).</w:t>
              </w:r>
            </w:hyperlink>
          </w:p>
        </w:tc>
      </w:tr>
      <w:tr>
        <w:trPr/>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 xml:space="preserve">Agreement, dated September 14, 2023, by and among OPAL L2G and SJI (incorporated by reference to Exhibit 10.1 to the Current Report on Form 8-K filed by the Company on September 20, 2023). </w:t>
              </w:r>
            </w:hyperlink>
          </w:p>
        </w:tc>
      </w:tr>
      <w:tr>
        <w:trPr/>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u w:val="single"/>
                </w:rPr>
                <w:t xml:space="preserve">Interim Services Agreement dated October 12, 2023, between the Company and Fortistar (incorporated </w:t>
              </w:r>
            </w:hyperlink>
            <w:hyperlink r:id="rId46">
              <w:r>
                <w:rPr>
                  <w:rStyle w:val="InternetLink"/>
                  <w:rFonts w:ascii="Times New Roman;sans-serif" w:hAnsi="Times New Roman;sans-serif"/>
                  <w:b w:val="false"/>
                  <w:color w:val="000080"/>
                  <w:sz w:val="20"/>
                  <w:u w:val="single"/>
                </w:rPr>
                <w:t>by reference to Exhibit 10.1 to the Current Report on Form 8-K filed by the Company on October 12,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3"/>
        <w:gridCol w:w="213"/>
        <w:gridCol w:w="216"/>
        <w:gridCol w:w="109"/>
        <w:gridCol w:w="109"/>
        <w:gridCol w:w="109"/>
        <w:gridCol w:w="2787"/>
        <w:gridCol w:w="2658"/>
        <w:gridCol w:w="3761"/>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Separation Agreement and General Release dated October 19, 2023 between the Company and Ann Anthony (incorporated by reference to Exhibit 10.1 to the Current Report on Form 8-K/A filed by the Company on October 20, 2023).</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Asset Purchase and Sale Agreement, dated October 20, 2023, with Washington Gas Light Company (incorporated by reference to Exhibit 10.1 to the Current Report on Form 8-K filed by the Company on October 26, 2023).</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Base Contract for Sale and Purchase of Natural Gas (San Diego), dated September 15, 2023 (incorporated by reference to Exhibit 10.12 to the Quarterly Report on Form 10-Q filed by the Company on November 14, 2023).</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Base Contract for Sale and Purchase of Natural Gas (Richmond), dated September 15, 2023 (incorporated by reference to Exhibit 10.13 to the Quarterly Report on Form 10-Q filed by the Company on November 14, 2023).</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At Market Issuance Sales Agreement, dated November 17, 2023, among OPAL Fuels Inc., B. Riley Securities, Inc., Cantor Fitzgerald &amp; Co. and Stifel, Nicolaus &amp; Company, Incorporated (incorporated by reference to Exhibit 10.1 to the Current Report on Form 8-K filed by the Company on November 17, 2023).</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First Amendment to Amended and Restated Credit and Guaranty Agreement, dated March 5, 2024, by and among Paragon RNG LLC, as Borrower, the guarantors, the lenders party thereto, and Bank of Montreal, as administrative agent (incorporated by reference to Exhibit 10.1 to the Current Report on Form 8-K filed by the Company on March 11, 2024).</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First Amendment to Depositary Agreement, dated March 5, 2024, by Paragon RNG LLC, as Borrower, Bank of Montreal, as administrative agent, and Wilmington Trust, National Association, as collateral agent and depositary agent (incorporated by reference to Exhibit 10.2 to the Current Report on Form 8-K filed by the Company on March 11, 2024).</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80"/>
                  <w:sz w:val="20"/>
                  <w:u w:val="single"/>
                </w:rPr>
                <w:t>First Amendment to Landfill Gas Purchase Agreement, dated March 27, 2024 (effective as of March 6</w:t>
              </w:r>
            </w:hyperlink>
            <w:hyperlink r:id="rId55">
              <w:r>
                <w:rPr>
                  <w:rStyle w:val="InternetLink"/>
                  <w:rFonts w:ascii="Times New Roman;sans-serif" w:hAnsi="Times New Roman;sans-serif"/>
                  <w:b w:val="false"/>
                  <w:color w:val="000080"/>
                  <w:sz w:val="20"/>
                  <w:u w:val="single"/>
                </w:rPr>
                <w:t>, 2024) (incorporated by reference to Exhibit 10.1 to the Current Report on Form 8-K filed by the Company on March 2</w:t>
              </w:r>
            </w:hyperlink>
            <w:hyperlink r:id="rId56">
              <w:r>
                <w:rPr>
                  <w:rStyle w:val="InternetLink"/>
                  <w:rFonts w:ascii="Times New Roman;sans-serif" w:hAnsi="Times New Roman;sans-serif"/>
                  <w:b w:val="false"/>
                  <w:color w:val="000080"/>
                  <w:sz w:val="20"/>
                  <w:u w:val="single"/>
                </w:rPr>
                <w:t>8</w:t>
              </w:r>
            </w:hyperlink>
            <w:hyperlink r:id="rId57">
              <w:r>
                <w:rPr>
                  <w:rStyle w:val="InternetLink"/>
                  <w:rFonts w:ascii="Times New Roman;sans-serif" w:hAnsi="Times New Roman;sans-serif"/>
                  <w:b w:val="false"/>
                  <w:color w:val="000080"/>
                  <w:sz w:val="20"/>
                  <w:u w:val="single"/>
                </w:rPr>
                <w:t>, 2024).</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80"/>
                  <w:sz w:val="20"/>
                  <w:u w:val="single"/>
                </w:rPr>
                <w:t>Lease and Access Agreement, dated March 27, 2024 (effective as of March 20, 2024) (incorporated by reference to Exhibit 10.2 to the Current Report on Form 8-K filed by the Company on March 2</w:t>
              </w:r>
            </w:hyperlink>
            <w:hyperlink r:id="rId59">
              <w:r>
                <w:rPr>
                  <w:rStyle w:val="InternetLink"/>
                  <w:rFonts w:ascii="Times New Roman;sans-serif" w:hAnsi="Times New Roman;sans-serif"/>
                  <w:b w:val="false"/>
                  <w:color w:val="000080"/>
                  <w:sz w:val="20"/>
                  <w:u w:val="single"/>
                </w:rPr>
                <w:t>8</w:t>
              </w:r>
            </w:hyperlink>
            <w:hyperlink r:id="rId60">
              <w:r>
                <w:rPr>
                  <w:rStyle w:val="InternetLink"/>
                  <w:rFonts w:ascii="Times New Roman;sans-serif" w:hAnsi="Times New Roman;sans-serif"/>
                  <w:b w:val="false"/>
                  <w:color w:val="000080"/>
                  <w:sz w:val="20"/>
                  <w:u w:val="single"/>
                </w:rPr>
                <w:t>, 2024).</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Tax Credit Purchase Agreement, dated September 13, 2024 (incorporated by reference to Exhibit 10.1 to the Current Report on Form 8-K filed by the Company on September 19, 2024).</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Guaranty, dated September 13, 2024 (incorporated by reference to Exhibit 10.2 to the Current Report on Form 8-K filed by the Company on September 19, 2024).</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80"/>
                  <w:sz w:val="20"/>
                  <w:u w:val="single"/>
                </w:rPr>
                <w:t xml:space="preserve">Amendment No. 1 to Credit and Guarantee Agreement, dated March </w:t>
              </w:r>
            </w:hyperlink>
            <w:hyperlink r:id="rId64">
              <w:r>
                <w:rPr>
                  <w:rStyle w:val="InternetLink"/>
                  <w:rFonts w:ascii="Times New Roman;sans-serif" w:hAnsi="Times New Roman;sans-serif"/>
                  <w:b w:val="false"/>
                  <w:color w:val="000080"/>
                  <w:sz w:val="20"/>
                  <w:u w:val="single"/>
                </w:rPr>
                <w:t>3</w:t>
              </w:r>
            </w:hyperlink>
            <w:hyperlink r:id="rId65">
              <w:r>
                <w:rPr>
                  <w:rStyle w:val="InternetLink"/>
                  <w:rFonts w:ascii="Times New Roman;sans-serif" w:hAnsi="Times New Roman;sans-serif"/>
                  <w:b w:val="false"/>
                  <w:color w:val="000080"/>
                  <w:sz w:val="20"/>
                  <w:u w:val="single"/>
                </w:rPr>
                <w:t>, 2025 by and among OPAL Fuels Intermediate HoldCo LLC, as Borrower, the Guarantors, the Lenders, the LC Issuers, and Bank of America, N.A., as Administrative Agent</w:t>
              </w:r>
            </w:hyperlink>
            <w:hyperlink r:id="rId66">
              <w:r>
                <w:rPr>
                  <w:rStyle w:val="InternetLink"/>
                  <w:rFonts w:ascii="Times New Roman;sans-serif" w:hAnsi="Times New Roman;sans-serif"/>
                  <w:b w:val="false"/>
                  <w:color w:val="000080"/>
                  <w:sz w:val="20"/>
                  <w:u w:val="single"/>
                </w:rPr>
                <w:t xml:space="preserve"> (incorporated by reference to Exhibit 10.1 to the Current Report on Form 8-K filed by the Company on March </w:t>
              </w:r>
            </w:hyperlink>
            <w:hyperlink r:id="rId67">
              <w:r>
                <w:rPr>
                  <w:rStyle w:val="InternetLink"/>
                  <w:rFonts w:ascii="Times New Roman;sans-serif" w:hAnsi="Times New Roman;sans-serif"/>
                  <w:b w:val="false"/>
                  <w:color w:val="000080"/>
                  <w:sz w:val="20"/>
                  <w:u w:val="single"/>
                </w:rPr>
                <w:t>5</w:t>
              </w:r>
            </w:hyperlink>
            <w:hyperlink r:id="rId68">
              <w:r>
                <w:rPr>
                  <w:rStyle w:val="InternetLink"/>
                  <w:rFonts w:ascii="Times New Roman;sans-serif" w:hAnsi="Times New Roman;sans-serif"/>
                  <w:b w:val="false"/>
                  <w:color w:val="000080"/>
                  <w:sz w:val="20"/>
                  <w:u w:val="single"/>
                </w:rPr>
                <w:t>, 2025)</w:t>
              </w:r>
            </w:hyperlink>
            <w:hyperlink r:id="rId69">
              <w:r>
                <w:rPr>
                  <w:rStyle w:val="InternetLink"/>
                  <w:rFonts w:ascii="Times New Roman;sans-serif" w:hAnsi="Times New Roman;sans-serif"/>
                  <w:b w:val="false"/>
                  <w:color w:val="000080"/>
                  <w:sz w:val="20"/>
                  <w:u w:val="single"/>
                </w:rPr>
                <w:t>.</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sidertradingpolicy.htm">
              <w:r>
                <w:rPr>
                  <w:rStyle w:val="InternetLink"/>
                  <w:rFonts w:ascii="Times New Roman;sans-serif" w:hAnsi="Times New Roman;sans-serif"/>
                  <w:b w:val="false"/>
                  <w:color w:val="0000FF"/>
                  <w:sz w:val="20"/>
                  <w:u w:val="single"/>
                </w:rPr>
                <w:t>Insider Trading Policy</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ubsidiaries12-31x24.htm">
              <w:r>
                <w:rPr>
                  <w:rStyle w:val="InternetLink"/>
                  <w:rFonts w:ascii="Times New Roman;sans-serif" w:hAnsi="Times New Roman;sans-serif"/>
                  <w:b w:val="false"/>
                  <w:color w:val="000080"/>
                  <w:sz w:val="20"/>
                  <w:u w:val="single"/>
                </w:rPr>
                <w:t>List of subsidiaries of the registran</w:t>
              </w:r>
            </w:hyperlink>
            <w:hyperlink w:anchor="subsidiaries12-31x24.htm">
              <w:r>
                <w:rPr>
                  <w:rStyle w:val="InternetLink"/>
                  <w:rFonts w:ascii="Times New Roman;sans-serif" w:hAnsi="Times New Roman;sans-serif"/>
                  <w:b w:val="false"/>
                  <w:color w:val="000080"/>
                  <w:sz w:val="20"/>
                  <w:u w:val="single"/>
                </w:rPr>
                <w:t>t</w:t>
              </w:r>
            </w:hyperlink>
            <w:hyperlink w:anchor="subsidiaries12-31x24.htm">
              <w:r>
                <w:rPr>
                  <w:rStyle w:val="InternetLink"/>
                  <w:rFonts w:ascii="Times New Roman;sans-serif" w:hAnsi="Times New Roman;sans-serif"/>
                  <w:b w:val="false"/>
                  <w:color w:val="000080"/>
                  <w:sz w:val="20"/>
                  <w:u w:val="single"/>
                </w:rPr>
                <w:t xml:space="preserve"> (incorporated by reference </w:t>
              </w:r>
            </w:hyperlink>
            <w:hyperlink w:anchor="subsidiaries12-31x24.htm">
              <w:r>
                <w:rPr>
                  <w:rStyle w:val="InternetLink"/>
                  <w:rFonts w:ascii="Times New Roman;sans-serif" w:hAnsi="Times New Roman;sans-serif"/>
                  <w:b w:val="false"/>
                  <w:color w:val="000080"/>
                  <w:sz w:val="20"/>
                  <w:u w:val="single"/>
                </w:rPr>
                <w:t>to Exhibit 21.1 to the Annual Report on Form 10-K filed by the Company on March 1</w:t>
              </w:r>
            </w:hyperlink>
            <w:hyperlink w:anchor="subsidiaries12-31x24.htm">
              <w:r>
                <w:rPr>
                  <w:rStyle w:val="InternetLink"/>
                  <w:rFonts w:ascii="Times New Roman;sans-serif" w:hAnsi="Times New Roman;sans-serif"/>
                  <w:b w:val="false"/>
                  <w:color w:val="000080"/>
                  <w:sz w:val="20"/>
                  <w:u w:val="single"/>
                </w:rPr>
                <w:t>7</w:t>
              </w:r>
            </w:hyperlink>
            <w:hyperlink w:anchor="subsidiaries12-31x24.htm">
              <w:r>
                <w:rPr>
                  <w:rStyle w:val="InternetLink"/>
                  <w:rFonts w:ascii="Times New Roman;sans-serif" w:hAnsi="Times New Roman;sans-serif"/>
                  <w:b w:val="false"/>
                  <w:color w:val="000080"/>
                  <w:sz w:val="20"/>
                  <w:u w:val="single"/>
                </w:rPr>
                <w:t>, 202</w:t>
              </w:r>
            </w:hyperlink>
            <w:hyperlink w:anchor="subsidiaries12-31x24.htm">
              <w:r>
                <w:rPr>
                  <w:rStyle w:val="InternetLink"/>
                  <w:rFonts w:ascii="Times New Roman;sans-serif" w:hAnsi="Times New Roman;sans-serif"/>
                  <w:b w:val="false"/>
                  <w:color w:val="000080"/>
                  <w:sz w:val="20"/>
                  <w:u w:val="single"/>
                </w:rPr>
                <w:t>5</w:t>
              </w:r>
            </w:hyperlink>
            <w:hyperlink w:anchor="subsidiaries12-31x24.htm">
              <w:r>
                <w:rPr>
                  <w:rStyle w:val="InternetLink"/>
                  <w:rFonts w:ascii="Times New Roman;sans-serif" w:hAnsi="Times New Roman;sans-serif"/>
                  <w:b w:val="false"/>
                  <w:color w:val="000080"/>
                  <w:sz w:val="20"/>
                  <w:u w:val="single"/>
                </w:rPr>
                <w:t>)</w:t>
              </w:r>
            </w:hyperlink>
            <w:hyperlink w:anchor="subsidiaries12-31x24.htm">
              <w:r>
                <w:rPr>
                  <w:rStyle w:val="InternetLink"/>
                  <w:rFonts w:ascii="Times New Roman;sans-serif" w:hAnsi="Times New Roman;sans-serif"/>
                  <w:b w:val="false"/>
                  <w:color w:val="000080"/>
                  <w:sz w:val="20"/>
                  <w:u w:val="single"/>
                </w:rPr>
                <w:t xml:space="preserve">. </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nsentofbdousapc24.htm">
              <w:r>
                <w:rPr>
                  <w:rStyle w:val="InternetLink"/>
                  <w:rFonts w:ascii="Times New Roman;sans-serif" w:hAnsi="Times New Roman;sans-serif"/>
                  <w:b w:val="false"/>
                  <w:color w:val="0000FF"/>
                  <w:sz w:val="20"/>
                  <w:u w:val="single"/>
                </w:rPr>
                <w:t>Consent of BDO USA, P.C, independent registered accounting firm</w:t>
              </w:r>
            </w:hyperlink>
            <w:r>
              <w:rPr>
                <w:rFonts w:ascii="Times New Roman;sans-serif" w:hAnsi="Times New Roman;sans-serif"/>
                <w:b w:val="false"/>
                <w:color w:val="000000"/>
                <w:sz w:val="20"/>
              </w:rPr>
              <w:t>.</w:t>
            </w:r>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03">
              <w:r>
                <w:rPr>
                  <w:rStyle w:val="InternetLink"/>
                  <w:rFonts w:ascii="Times New Roman;sans-serif" w:hAnsi="Times New Roman;sans-serif"/>
                  <w:b w:val="false"/>
                  <w:color w:val="000080"/>
                  <w:sz w:val="20"/>
                  <w:u w:val="single"/>
                </w:rPr>
                <w:t>P</w:t>
              </w:r>
            </w:hyperlink>
            <w:hyperlink w:anchor="i54c71b1fe5304504affd19c3c5153010_103">
              <w:r>
                <w:rPr>
                  <w:rStyle w:val="InternetLink"/>
                  <w:rFonts w:ascii="Times New Roman;sans-serif" w:hAnsi="Times New Roman;sans-serif"/>
                  <w:b w:val="false"/>
                  <w:color w:val="000080"/>
                  <w:sz w:val="20"/>
                  <w:u w:val="single"/>
                </w:rPr>
                <w:t>o</w:t>
              </w:r>
            </w:hyperlink>
            <w:hyperlink w:anchor="i54c71b1fe5304504affd19c3c5153010_103">
              <w:r>
                <w:rPr>
                  <w:rStyle w:val="InternetLink"/>
                  <w:rFonts w:ascii="Times New Roman;sans-serif" w:hAnsi="Times New Roman;sans-serif"/>
                  <w:b w:val="false"/>
                  <w:color w:val="000080"/>
                  <w:sz w:val="20"/>
                  <w:u w:val="single"/>
                </w:rPr>
                <w:t xml:space="preserve">wer of Attorney (included on the signature </w:t>
              </w:r>
            </w:hyperlink>
            <w:hyperlink w:anchor="i54c71b1fe5304504affd19c3c5153010_103">
              <w:r>
                <w:rPr>
                  <w:rStyle w:val="InternetLink"/>
                  <w:rFonts w:ascii="Times New Roman;sans-serif" w:hAnsi="Times New Roman;sans-serif"/>
                  <w:b w:val="false"/>
                  <w:color w:val="000080"/>
                  <w:sz w:val="20"/>
                  <w:u w:val="single"/>
                </w:rPr>
                <w:t xml:space="preserve">page </w:t>
              </w:r>
            </w:hyperlink>
            <w:hyperlink w:anchor="i54c71b1fe5304504affd19c3c5153010_103">
              <w:r>
                <w:rPr>
                  <w:rStyle w:val="InternetLink"/>
                  <w:rFonts w:ascii="Times New Roman;sans-serif" w:hAnsi="Times New Roman;sans-serif"/>
                  <w:b w:val="false"/>
                  <w:color w:val="000080"/>
                  <w:sz w:val="20"/>
                  <w:u w:val="single"/>
                </w:rPr>
                <w:t>of</w:t>
              </w:r>
            </w:hyperlink>
            <w:hyperlink w:anchor="i54c71b1fe5304504affd19c3c5153010_103">
              <w:r>
                <w:rPr>
                  <w:rStyle w:val="InternetLink"/>
                  <w:rFonts w:ascii="Times New Roman;sans-serif" w:hAnsi="Times New Roman;sans-serif"/>
                  <w:b w:val="false"/>
                  <w:color w:val="000080"/>
                  <w:sz w:val="20"/>
                  <w:u w:val="single"/>
                </w:rPr>
                <w:t xml:space="preserve"> this Annual Report</w:t>
              </w:r>
            </w:hyperlink>
            <w:hyperlink w:anchor="i54c71b1fe5304504affd19c3c5153010_103">
              <w:r>
                <w:rPr>
                  <w:rStyle w:val="InternetLink"/>
                  <w:rFonts w:ascii="Times New Roman;sans-serif" w:hAnsi="Times New Roman;sans-serif"/>
                  <w:b w:val="false"/>
                  <w:color w:val="000080"/>
                  <w:sz w:val="20"/>
                  <w:u w:val="single"/>
                </w:rPr>
                <w:t xml:space="preserve"> on Form 10-K</w:t>
              </w:r>
            </w:hyperlink>
            <w:hyperlink w:anchor="i54c71b1fe5304504affd19c3c5153010_103">
              <w:r>
                <w:rPr>
                  <w:rStyle w:val="InternetLink"/>
                  <w:rFonts w:ascii="Times New Roman;sans-serif" w:hAnsi="Times New Roman;sans-serif"/>
                  <w:b w:val="false"/>
                  <w:color w:val="000080"/>
                  <w:sz w:val="20"/>
                  <w:u w:val="single"/>
                </w:rPr>
                <w:t>)</w:t>
              </w:r>
            </w:hyperlink>
            <w:r>
              <w:rPr>
                <w:rFonts w:ascii="Times New Roman;sans-serif" w:hAnsi="Times New Roman;sans-serif"/>
                <w:b w:val="false"/>
                <w:color w:val="000000"/>
                <w:sz w:val="20"/>
              </w:rPr>
              <w:t>.</w:t>
            </w:r>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112024opal-10xkcertifica.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122024opal-10xkcertifica.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132024opal-10xkcertifica.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212024opal-10xkcertifica.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222024opal-10xkcertifica.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232024opal-10xkcertifica.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0"/>
        <w:gridCol w:w="228"/>
        <w:gridCol w:w="230"/>
        <w:gridCol w:w="109"/>
        <w:gridCol w:w="109"/>
        <w:gridCol w:w="109"/>
        <w:gridCol w:w="2679"/>
        <w:gridCol w:w="2679"/>
        <w:gridCol w:w="3792"/>
      </w:tblGrid>
      <w:tr>
        <w:trPr/>
        <w:tc>
          <w:tcPr>
            <w:tcW w:w="2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80"/>
                  <w:sz w:val="20"/>
                  <w:u w:val="single"/>
                </w:rPr>
                <w:t>Clawback Policy</w:t>
              </w:r>
            </w:hyperlink>
            <w:hyperlink r:id="rId71">
              <w:r>
                <w:rPr>
                  <w:rStyle w:val="InternetLink"/>
                  <w:rFonts w:ascii="Times New Roman;sans-serif" w:hAnsi="Times New Roman;sans-serif"/>
                  <w:b w:val="false"/>
                  <w:color w:val="000080"/>
                  <w:sz w:val="20"/>
                  <w:u w:val="single"/>
                </w:rPr>
                <w:t xml:space="preserve"> </w:t>
              </w:r>
            </w:hyperlink>
            <w:hyperlink r:id="rId72">
              <w:r>
                <w:rPr>
                  <w:rStyle w:val="InternetLink"/>
                  <w:rFonts w:ascii="Times New Roman;sans-serif" w:hAnsi="Times New Roman;sans-serif"/>
                  <w:b w:val="false"/>
                  <w:color w:val="000080"/>
                  <w:sz w:val="20"/>
                  <w:u w:val="single"/>
                </w:rPr>
                <w:t xml:space="preserve">(incorporated by reference to Exhibit </w:t>
              </w:r>
            </w:hyperlink>
            <w:hyperlink r:id="rId73">
              <w:r>
                <w:rPr>
                  <w:rStyle w:val="InternetLink"/>
                  <w:rFonts w:ascii="Times New Roman;sans-serif" w:hAnsi="Times New Roman;sans-serif"/>
                  <w:b w:val="false"/>
                  <w:color w:val="000080"/>
                  <w:sz w:val="20"/>
                  <w:u w:val="single"/>
                </w:rPr>
                <w:t>97.1 to the Annual Report o</w:t>
              </w:r>
            </w:hyperlink>
            <w:hyperlink r:id="rId74">
              <w:r>
                <w:rPr>
                  <w:rStyle w:val="InternetLink"/>
                  <w:rFonts w:ascii="Times New Roman;sans-serif" w:hAnsi="Times New Roman;sans-serif"/>
                  <w:b w:val="false"/>
                  <w:color w:val="000080"/>
                  <w:sz w:val="20"/>
                  <w:u w:val="single"/>
                </w:rPr>
                <w:t>n Form 10-K filed by the Company on March 15, 2024</w:t>
              </w:r>
            </w:hyperlink>
            <w:hyperlink r:id="rId75">
              <w:r>
                <w:rPr>
                  <w:rStyle w:val="InternetLink"/>
                  <w:rFonts w:ascii="Times New Roman;sans-serif" w:hAnsi="Times New Roman;sans-serif"/>
                  <w:b w:val="false"/>
                  <w:color w:val="000080"/>
                  <w:sz w:val="20"/>
                  <w:u w:val="single"/>
                </w:rPr>
                <w:t>).</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Indicates a management contract or compensatory plan.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Exhibit omitted pursuant to Regulation S-K Item 601(b)(2). The Company agrees to furnish supplementally a copy of any omitted schedule or exhibit to the SEC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269" w:type="dxa"/>
        <w:jc w:val="left"/>
        <w:tblInd w:w="0" w:type="dxa"/>
        <w:tblLayout w:type="fixed"/>
        <w:tblCellMar>
          <w:top w:w="28" w:type="dxa"/>
          <w:left w:w="28" w:type="dxa"/>
          <w:bottom w:w="28" w:type="dxa"/>
          <w:right w:w="28" w:type="dxa"/>
        </w:tblCellMar>
      </w:tblPr>
      <w:tblGrid>
        <w:gridCol w:w="175"/>
        <w:gridCol w:w="154"/>
        <w:gridCol w:w="154"/>
        <w:gridCol w:w="154"/>
        <w:gridCol w:w="154"/>
        <w:gridCol w:w="154"/>
        <w:gridCol w:w="154"/>
        <w:gridCol w:w="154"/>
        <w:gridCol w:w="154"/>
        <w:gridCol w:w="304"/>
        <w:gridCol w:w="304"/>
        <w:gridCol w:w="304"/>
        <w:gridCol w:w="304"/>
        <w:gridCol w:w="304"/>
        <w:gridCol w:w="304"/>
        <w:gridCol w:w="304"/>
        <w:gridCol w:w="304"/>
        <w:gridCol w:w="430"/>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14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c>
          <w:tcPr>
            <w:tcW w:w="28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Jonathan Maurer</w:t>
            </w:r>
          </w:p>
        </w:tc>
      </w:tr>
      <w:tr>
        <w:trPr/>
        <w:tc>
          <w:tcPr>
            <w:tcW w:w="14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4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Each person whose signature appears below constitutes and appoints Jonathan Maurer, Adam Comora, Kazi Hasan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3163" w:type="dxa"/>
        <w:jc w:val="left"/>
        <w:tblInd w:w="0" w:type="dxa"/>
        <w:tblLayout w:type="fixed"/>
        <w:tblCellMar>
          <w:top w:w="28" w:type="dxa"/>
          <w:left w:w="28" w:type="dxa"/>
          <w:bottom w:w="28" w:type="dxa"/>
          <w:right w:w="28" w:type="dxa"/>
        </w:tblCellMar>
      </w:tblPr>
      <w:tblGrid>
        <w:gridCol w:w="684"/>
        <w:gridCol w:w="601"/>
        <w:gridCol w:w="605"/>
        <w:gridCol w:w="109"/>
        <w:gridCol w:w="109"/>
        <w:gridCol w:w="109"/>
        <w:gridCol w:w="275"/>
        <w:gridCol w:w="275"/>
        <w:gridCol w:w="396"/>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Betsy L. Battle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Dols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M. Fogarty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Martell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Martell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Nadeem Nisar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586"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692"/>
        <w:gridCol w:w="692"/>
        <w:gridCol w:w="98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Ashok Vemuri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Kazi Hasan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96"/>
        <w:gridCol w:w="2957"/>
        <w:gridCol w:w="2973"/>
        <w:gridCol w:w="109"/>
        <w:gridCol w:w="109"/>
        <w:gridCol w:w="109"/>
        <w:gridCol w:w="132"/>
        <w:gridCol w:w="132"/>
        <w:gridCol w:w="188"/>
      </w:tblGrid>
      <w:tr>
        <w:trPr/>
        <w:tc>
          <w:tcPr>
            <w:tcW w:w="3496"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12">
              <w:r>
                <w:rPr>
                  <w:rStyle w:val="InternetLink"/>
                  <w:rFonts w:ascii="Times New Roman;sans-serif" w:hAnsi="Times New Roman;sans-serif"/>
                  <w:b w:val="false"/>
                  <w:color w:val="000080"/>
                  <w:sz w:val="20"/>
                  <w:u w:val="single"/>
                </w:rPr>
                <w:t xml:space="preserve">Report of Independent Registered Public Accounting Firm (BDO USA, P.C ; </w:t>
              </w:r>
            </w:hyperlink>
            <w:hyperlink w:anchor="i54c71b1fe5304504affd19c3c5153010_112">
              <w:r>
                <w:rPr>
                  <w:rStyle w:val="InternetLink"/>
                  <w:rFonts w:ascii="Times New Roman;sans-serif" w:hAnsi="Times New Roman;sans-serif"/>
                  <w:b w:val="false"/>
                  <w:color w:val="000080"/>
                  <w:sz w:val="20"/>
                  <w:u w:val="single"/>
                </w:rPr>
                <w:t>Melville, NY</w:t>
              </w:r>
            </w:hyperlink>
            <w:hyperlink w:anchor="i54c71b1fe5304504affd19c3c5153010_112">
              <w:r>
                <w:rPr>
                  <w:rStyle w:val="InternetLink"/>
                  <w:rFonts w:ascii="Times New Roman;sans-serif" w:hAnsi="Times New Roman;sans-serif"/>
                  <w:b w:val="false"/>
                  <w:color w:val="000080"/>
                  <w:sz w:val="20"/>
                  <w:u w:val="single"/>
                </w:rPr>
                <w:t>; PCAOB ID No.</w:t>
              </w:r>
            </w:hyperlink>
            <w:r>
              <w:rPr>
                <w:rFonts w:ascii="Times New Roman;sans-serif" w:hAnsi="Times New Roman;sans-serif"/>
                <w:b w:val="false"/>
                <w:color w:val="000000"/>
                <w:sz w:val="20"/>
              </w:rPr>
              <w:t>243</w:t>
            </w:r>
            <w:hyperlink w:anchor="i54c71b1fe5304504affd19c3c5153010_112">
              <w:r>
                <w:rPr>
                  <w:rStyle w:val="InternetLink"/>
                  <w:rFonts w:ascii="Times New Roman;sans-serif" w:hAnsi="Times New Roman;sans-serif"/>
                  <w:b w:val="false"/>
                  <w:color w:val="0000FF"/>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12">
              <w:r>
                <w:rPr>
                  <w:rStyle w:val="InternetLink"/>
                  <w:rFonts w:ascii="Times New Roman;sans-serif" w:hAnsi="Times New Roman;sans-serif"/>
                  <w:b w:val="false"/>
                  <w:color w:val="0000FF"/>
                  <w:sz w:val="20"/>
                  <w:u w:val="single"/>
                </w:rPr>
                <w:t>F-1</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15">
              <w:r>
                <w:rPr>
                  <w:rStyle w:val="InternetLink"/>
                  <w:rFonts w:ascii="Times New Roman;sans-serif" w:hAnsi="Times New Roman;sans-serif"/>
                  <w:b w:val="false"/>
                  <w:color w:val="000080"/>
                  <w:sz w:val="20"/>
                  <w:u w:val="single"/>
                </w:rPr>
                <w:t>Consolidated Balance Sheets as of December 31, 202</w:t>
              </w:r>
            </w:hyperlink>
            <w:hyperlink w:anchor="i54c71b1fe5304504affd19c3c5153010_115">
              <w:r>
                <w:rPr>
                  <w:rStyle w:val="InternetLink"/>
                  <w:rFonts w:ascii="Times New Roman;sans-serif" w:hAnsi="Times New Roman;sans-serif"/>
                  <w:b w:val="false"/>
                  <w:color w:val="000080"/>
                  <w:sz w:val="20"/>
                  <w:u w:val="single"/>
                </w:rPr>
                <w:t>4</w:t>
              </w:r>
            </w:hyperlink>
            <w:hyperlink w:anchor="i54c71b1fe5304504affd19c3c5153010_115">
              <w:r>
                <w:rPr>
                  <w:rStyle w:val="InternetLink"/>
                  <w:rFonts w:ascii="Times New Roman;sans-serif" w:hAnsi="Times New Roman;sans-serif"/>
                  <w:b w:val="false"/>
                  <w:color w:val="000080"/>
                  <w:sz w:val="20"/>
                  <w:u w:val="single"/>
                </w:rPr>
                <w:t xml:space="preserve"> and 202</w:t>
              </w:r>
            </w:hyperlink>
            <w:hyperlink w:anchor="i54c71b1fe5304504affd19c3c5153010_115">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15">
              <w:r>
                <w:rPr>
                  <w:rStyle w:val="InternetLink"/>
                  <w:rFonts w:ascii="Times New Roman;sans-serif" w:hAnsi="Times New Roman;sans-serif"/>
                  <w:b w:val="false"/>
                  <w:color w:val="0000FF"/>
                  <w:sz w:val="20"/>
                  <w:u w:val="single"/>
                </w:rPr>
                <w:t>F-2</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1">
              <w:r>
                <w:rPr>
                  <w:rStyle w:val="InternetLink"/>
                  <w:rFonts w:ascii="Times New Roman;sans-serif" w:hAnsi="Times New Roman;sans-serif"/>
                  <w:b w:val="false"/>
                  <w:color w:val="000080"/>
                  <w:sz w:val="20"/>
                  <w:u w:val="single"/>
                </w:rPr>
                <w:t>Consolidated Statements of Operations for the years ended December 31, 202</w:t>
              </w:r>
            </w:hyperlink>
            <w:hyperlink w:anchor="i54c71b1fe5304504affd19c3c5153010_121">
              <w:r>
                <w:rPr>
                  <w:rStyle w:val="InternetLink"/>
                  <w:rFonts w:ascii="Times New Roman;sans-serif" w:hAnsi="Times New Roman;sans-serif"/>
                  <w:b w:val="false"/>
                  <w:color w:val="000080"/>
                  <w:sz w:val="20"/>
                  <w:u w:val="single"/>
                </w:rPr>
                <w:t>4</w:t>
              </w:r>
            </w:hyperlink>
            <w:hyperlink w:anchor="i54c71b1fe5304504affd19c3c5153010_121">
              <w:r>
                <w:rPr>
                  <w:rStyle w:val="InternetLink"/>
                  <w:rFonts w:ascii="Times New Roman;sans-serif" w:hAnsi="Times New Roman;sans-serif"/>
                  <w:b w:val="false"/>
                  <w:color w:val="000080"/>
                  <w:sz w:val="20"/>
                  <w:u w:val="single"/>
                </w:rPr>
                <w:t xml:space="preserve"> and 202</w:t>
              </w:r>
            </w:hyperlink>
            <w:hyperlink w:anchor="i54c71b1fe5304504affd19c3c5153010_121">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1">
              <w:r>
                <w:rPr>
                  <w:rStyle w:val="InternetLink"/>
                  <w:rFonts w:ascii="Times New Roman;sans-serif" w:hAnsi="Times New Roman;sans-serif"/>
                  <w:b w:val="false"/>
                  <w:color w:val="0000FF"/>
                  <w:sz w:val="20"/>
                  <w:u w:val="single"/>
                </w:rPr>
                <w:t>F-4</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4">
              <w:r>
                <w:rPr>
                  <w:rStyle w:val="InternetLink"/>
                  <w:rFonts w:ascii="Times New Roman;sans-serif" w:hAnsi="Times New Roman;sans-serif"/>
                  <w:b w:val="false"/>
                  <w:color w:val="000080"/>
                  <w:sz w:val="20"/>
                  <w:u w:val="single"/>
                </w:rPr>
                <w:t>Consolidated Statements of Comprehensive Income for the years ended December 31, 202</w:t>
              </w:r>
            </w:hyperlink>
            <w:hyperlink w:anchor="i54c71b1fe5304504affd19c3c5153010_124">
              <w:r>
                <w:rPr>
                  <w:rStyle w:val="InternetLink"/>
                  <w:rFonts w:ascii="Times New Roman;sans-serif" w:hAnsi="Times New Roman;sans-serif"/>
                  <w:b w:val="false"/>
                  <w:color w:val="000080"/>
                  <w:sz w:val="20"/>
                  <w:u w:val="single"/>
                </w:rPr>
                <w:t>4</w:t>
              </w:r>
            </w:hyperlink>
            <w:hyperlink w:anchor="i54c71b1fe5304504affd19c3c5153010_124">
              <w:r>
                <w:rPr>
                  <w:rStyle w:val="InternetLink"/>
                  <w:rFonts w:ascii="Times New Roman;sans-serif" w:hAnsi="Times New Roman;sans-serif"/>
                  <w:b w:val="false"/>
                  <w:color w:val="000080"/>
                  <w:sz w:val="20"/>
                  <w:u w:val="single"/>
                </w:rPr>
                <w:t xml:space="preserve"> and 202</w:t>
              </w:r>
            </w:hyperlink>
            <w:hyperlink w:anchor="i54c71b1fe5304504affd19c3c5153010_124">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4">
              <w:r>
                <w:rPr>
                  <w:rStyle w:val="InternetLink"/>
                  <w:rFonts w:ascii="Times New Roman;sans-serif" w:hAnsi="Times New Roman;sans-serif"/>
                  <w:b w:val="false"/>
                  <w:color w:val="0000FF"/>
                  <w:sz w:val="20"/>
                  <w:u w:val="single"/>
                </w:rPr>
                <w:t>F-5</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7">
              <w:r>
                <w:rPr>
                  <w:rStyle w:val="InternetLink"/>
                  <w:rFonts w:ascii="Times New Roman;sans-serif" w:hAnsi="Times New Roman;sans-serif"/>
                  <w:b w:val="false"/>
                  <w:color w:val="000080"/>
                  <w:sz w:val="20"/>
                  <w:u w:val="single"/>
                </w:rPr>
                <w:t>Consolidated Statements of Changes in Redeemable non-controlling interests, Redeemable preferred non-controlling interest and Stockholders' (Deficit) Equity for the years ended December 31, 202</w:t>
              </w:r>
            </w:hyperlink>
            <w:hyperlink w:anchor="i54c71b1fe5304504affd19c3c5153010_127">
              <w:r>
                <w:rPr>
                  <w:rStyle w:val="InternetLink"/>
                  <w:rFonts w:ascii="Times New Roman;sans-serif" w:hAnsi="Times New Roman;sans-serif"/>
                  <w:b w:val="false"/>
                  <w:color w:val="000080"/>
                  <w:sz w:val="20"/>
                  <w:u w:val="single"/>
                </w:rPr>
                <w:t>4</w:t>
              </w:r>
            </w:hyperlink>
            <w:hyperlink w:anchor="i54c71b1fe5304504affd19c3c5153010_127">
              <w:r>
                <w:rPr>
                  <w:rStyle w:val="InternetLink"/>
                  <w:rFonts w:ascii="Times New Roman;sans-serif" w:hAnsi="Times New Roman;sans-serif"/>
                  <w:b w:val="false"/>
                  <w:color w:val="000080"/>
                  <w:sz w:val="20"/>
                  <w:u w:val="single"/>
                </w:rPr>
                <w:t xml:space="preserve"> and 202</w:t>
              </w:r>
            </w:hyperlink>
            <w:hyperlink w:anchor="i54c71b1fe5304504affd19c3c5153010_127">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27">
              <w:r>
                <w:rPr>
                  <w:rStyle w:val="InternetLink"/>
                  <w:rFonts w:ascii="Times New Roman;sans-serif" w:hAnsi="Times New Roman;sans-serif"/>
                  <w:b w:val="false"/>
                  <w:color w:val="0000FF"/>
                  <w:sz w:val="20"/>
                  <w:u w:val="single"/>
                </w:rPr>
                <w:t>F-6</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30">
              <w:r>
                <w:rPr>
                  <w:rStyle w:val="InternetLink"/>
                  <w:rFonts w:ascii="Times New Roman;sans-serif" w:hAnsi="Times New Roman;sans-serif"/>
                  <w:b w:val="false"/>
                  <w:color w:val="000080"/>
                  <w:sz w:val="20"/>
                  <w:u w:val="single"/>
                </w:rPr>
                <w:t>Consolidated Statements of Cash Flows for the years ended December 31, 202</w:t>
              </w:r>
            </w:hyperlink>
            <w:hyperlink w:anchor="i54c71b1fe5304504affd19c3c5153010_130">
              <w:r>
                <w:rPr>
                  <w:rStyle w:val="InternetLink"/>
                  <w:rFonts w:ascii="Times New Roman;sans-serif" w:hAnsi="Times New Roman;sans-serif"/>
                  <w:b w:val="false"/>
                  <w:color w:val="000080"/>
                  <w:sz w:val="20"/>
                  <w:u w:val="single"/>
                </w:rPr>
                <w:t>4</w:t>
              </w:r>
            </w:hyperlink>
            <w:hyperlink w:anchor="i54c71b1fe5304504affd19c3c5153010_130">
              <w:r>
                <w:rPr>
                  <w:rStyle w:val="InternetLink"/>
                  <w:rFonts w:ascii="Times New Roman;sans-serif" w:hAnsi="Times New Roman;sans-serif"/>
                  <w:b w:val="false"/>
                  <w:color w:val="000080"/>
                  <w:sz w:val="20"/>
                  <w:u w:val="single"/>
                </w:rPr>
                <w:t xml:space="preserve"> and 202</w:t>
              </w:r>
            </w:hyperlink>
            <w:hyperlink w:anchor="i54c71b1fe5304504affd19c3c5153010_130">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30">
              <w:r>
                <w:rPr>
                  <w:rStyle w:val="InternetLink"/>
                  <w:rFonts w:ascii="Times New Roman;sans-serif" w:hAnsi="Times New Roman;sans-serif"/>
                  <w:b w:val="false"/>
                  <w:color w:val="0000FF"/>
                  <w:sz w:val="20"/>
                  <w:u w:val="single"/>
                </w:rPr>
                <w:t>F-8</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33">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c71b1fe5304504affd19c3c5153010_133">
              <w:r>
                <w:rPr>
                  <w:rStyle w:val="InternetLink"/>
                  <w:rFonts w:ascii="Times New Roman;sans-serif" w:hAnsi="Times New Roman;sans-serif"/>
                  <w:b w:val="false"/>
                  <w:color w:val="0000FF"/>
                  <w:sz w:val="20"/>
                  <w:u w:val="single"/>
                </w:rPr>
                <w:t>F-10</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White Plains, NY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We have audited the accompanying consolidated balance sheets of OPAL Fuels Inc. and its subsidiaries (the “Company”) as of December 31, 2024 and 2023, the related consolidated statements of operations and comprehensive income, changes in redeemable non-controlling interest, redeemable preferred non-controlling interest and stockholders’(deficit)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Related Parties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As discussed in Note 10.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to the consolidated financial statements, the Company has entered into significant transactions with NextEra Energy Marketing, LLC (“NextEra”) and Fortistar LLC (“Fortistar”), which are related parties. Our opinion is not modified with respect to this matter.</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Melville, NY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64"/>
        <w:gridCol w:w="2311"/>
        <w:gridCol w:w="2304"/>
        <w:gridCol w:w="207"/>
        <w:gridCol w:w="779"/>
        <w:gridCol w:w="115"/>
        <w:gridCol w:w="109"/>
        <w:gridCol w:w="109"/>
        <w:gridCol w:w="109"/>
        <w:gridCol w:w="252"/>
        <w:gridCol w:w="946"/>
        <w:gridCol w:w="200"/>
      </w:tblGrid>
      <w:tr>
        <w:trPr/>
        <w:tc>
          <w:tcPr>
            <w:tcW w:w="276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$358 and $166 at December 31, 2024 and December 31, 2023, respectively, related to consolidated VIEs)</w:t>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$435 and $33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$972 and $4,395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$29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note receivable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$144 and $107 at December 31, 2024 and December 31, 2023, respectively, related to consolidated VIEs)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$25,428 and $26,626 at December 31, 2024 and December 31, 2023, respectively, related to consolidated VIEs)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$2,315 and $1,850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$22 and $744 at December 31, 2024 and December 31, 2023, respectively, related to consolidated VIEs)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 (includes $426 and $1,046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(includes $45 and $— at December 31, 2024 and December 31, 2023, respectively, related to consolidated VIEs)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environmental credit rebates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2"/>
        <w:gridCol w:w="2385"/>
        <w:gridCol w:w="2393"/>
        <w:gridCol w:w="196"/>
        <w:gridCol w:w="736"/>
        <w:gridCol w:w="109"/>
        <w:gridCol w:w="109"/>
        <w:gridCol w:w="109"/>
        <w:gridCol w:w="109"/>
        <w:gridCol w:w="196"/>
        <w:gridCol w:w="736"/>
        <w:gridCol w:w="155"/>
      </w:tblGrid>
      <w:tr>
        <w:trPr/>
        <w:tc>
          <w:tcPr>
            <w:tcW w:w="2972"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$974 and $647 at December 31,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$1,756 and $1,608 at December 31,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 and $92 at December 31,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$18,373 and $20,010 at December 31,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$2,495 and $211 at December 31,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2024; shares issued: 30,065,260 and 29,701,146 at December 31, 2024 and December 31, 2023, respectively; shares outstanding: 28,429,477 and 28,065,363 at December 31,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2024; 71,500,000 and none issued and outstanding as of December 31, 2024 and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2024; None issued and outstanding as of December 31,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2024; 72,899,037 and 144,399,037 issued and outstanding at December 31, 2024 and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1,635,783 shares at December 31,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Layout w:type="fixed"/>
        <w:tblCellMar>
          <w:top w:w="28" w:type="dxa"/>
          <w:left w:w="28" w:type="dxa"/>
          <w:bottom w:w="28" w:type="dxa"/>
          <w:right w:w="28" w:type="dxa"/>
        </w:tblCellMar>
      </w:tblPr>
      <w:tblGrid>
        <w:gridCol w:w="2838"/>
        <w:gridCol w:w="2410"/>
        <w:gridCol w:w="2444"/>
        <w:gridCol w:w="223"/>
        <w:gridCol w:w="738"/>
        <w:gridCol w:w="109"/>
        <w:gridCol w:w="109"/>
        <w:gridCol w:w="109"/>
        <w:gridCol w:w="109"/>
        <w:gridCol w:w="223"/>
        <w:gridCol w:w="738"/>
        <w:gridCol w:w="155"/>
      </w:tblGrid>
      <w:tr>
        <w:trPr/>
        <w:tc>
          <w:tcPr>
            <w:tcW w:w="283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6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$68,416 and $56,069 for the years ended December 31, 2024 and 2023, respectively)</w:t>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$38,841 and $28,468 for the years ended December 31, 2024 and 2023,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$6,912 and $6,614 for the years ended December 31, 2024 and 2023,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 up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51,262 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27,148,538 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27,494,016 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Dividends on redeemable preferred non-controlling interests is allocated between redeemable non-controlling interests and Class A common stockholders based on their weighted average percentage of ownership. Please see Note. 13 </w:t>
      </w:r>
      <w:r>
        <w:rPr>
          <w:rFonts w:ascii="Times New Roman;sans-serif" w:hAnsi="Times New Roman;sans-serif"/>
          <w:b w:val="false"/>
          <w:i/>
          <w:color w:val="000000"/>
          <w:sz w:val="16"/>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16"/>
        </w:rPr>
        <w:t>for additional information.</w:t>
      </w:r>
    </w:p>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before="0" w:after="0"/>
        <w:jc w:val="center"/>
        <w:rPr/>
      </w:pPr>
      <w:r>
        <w:rPr/>
      </w:r>
    </w:p>
    <w:tbl>
      <w:tblPr>
        <w:tblW w:w="9606" w:type="dxa"/>
        <w:jc w:val="center"/>
        <w:tblInd w:w="0" w:type="dxa"/>
        <w:tblLayout w:type="fixed"/>
        <w:tblCellMar>
          <w:top w:w="28" w:type="dxa"/>
          <w:left w:w="28" w:type="dxa"/>
          <w:bottom w:w="28" w:type="dxa"/>
          <w:right w:w="28" w:type="dxa"/>
        </w:tblCellMar>
      </w:tblPr>
      <w:tblGrid>
        <w:gridCol w:w="2280"/>
        <w:gridCol w:w="2007"/>
        <w:gridCol w:w="2028"/>
        <w:gridCol w:w="109"/>
        <w:gridCol w:w="109"/>
        <w:gridCol w:w="109"/>
        <w:gridCol w:w="246"/>
        <w:gridCol w:w="811"/>
        <w:gridCol w:w="136"/>
        <w:gridCol w:w="136"/>
        <w:gridCol w:w="136"/>
        <w:gridCol w:w="136"/>
        <w:gridCol w:w="246"/>
        <w:gridCol w:w="924"/>
        <w:gridCol w:w="193"/>
      </w:tblGrid>
      <w:tr>
        <w:trPr/>
        <w:tc>
          <w:tcPr>
            <w:tcW w:w="228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Reclassification adjustments included in earnings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125,728 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Net income attributable to Redeemable non-controlling interests</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10"/>
        </w:rPr>
        <w:t xml:space="preserve">(1) </w:t>
      </w:r>
      <w:r>
        <w:rPr>
          <w:rFonts w:ascii="Times New Roman;sans-serif" w:hAnsi="Times New Roman;sans-serif"/>
          <w:b w:val="false"/>
          <w:color w:val="000000"/>
          <w:sz w:val="16"/>
        </w:rPr>
        <w:t xml:space="preserve">Represents the reclassification of the gain on termination of interest rate swaps of $812 on May 30, 2023. See Note 9. </w:t>
      </w:r>
      <w:r>
        <w:rPr>
          <w:rFonts w:ascii="Times New Roman;sans-serif" w:hAnsi="Times New Roman;sans-serif"/>
          <w:b w:val="false"/>
          <w:i/>
          <w:color w:val="000000"/>
          <w:sz w:val="16"/>
        </w:rPr>
        <w:t>Derivative Financial Instruments and Fair Value Measurements</w:t>
      </w:r>
      <w:r>
        <w:rPr>
          <w:color w:val="000000"/>
        </w:rPr>
        <w:t xml:space="preserve"> </w:t>
      </w:r>
      <w:r>
        <w:rPr>
          <w:rFonts w:ascii="Times New Roman;sans-serif" w:hAnsi="Times New Roman;sans-serif"/>
          <w:b w:val="false"/>
          <w:color w:val="000000"/>
          <w:sz w:val="16"/>
        </w:rPr>
        <w:t>for additional information. Additionally, there is a $334 reclassification into earnings from our equity method investments.</w:t>
      </w:r>
    </w:p>
    <w:p>
      <w:pPr>
        <w:pStyle w:val="TextBody"/>
        <w:bidi w:val="0"/>
        <w:spacing w:lineRule="auto" w:line="288" w:before="200" w:after="283"/>
        <w:jc w:val="left"/>
        <w:rPr/>
      </w:pPr>
      <w:r>
        <w:rPr>
          <w:rFonts w:ascii="Times New Roman;sans-serif" w:hAnsi="Times New Roman;sans-serif"/>
          <w:b/>
          <w:color w:val="000000"/>
          <w:sz w:val="10"/>
        </w:rPr>
        <w:t xml:space="preserve">(2) </w:t>
      </w:r>
      <w:r>
        <w:rPr>
          <w:rFonts w:ascii="Times New Roman;sans-serif" w:hAnsi="Times New Roman;sans-serif"/>
          <w:b w:val="false"/>
          <w:color w:val="000000"/>
          <w:sz w:val="16"/>
        </w:rPr>
        <w:t>Includes $8,748 and $9,219 of dividends on redeemable preferred non-controlling interests for the year ended December 31, 2024 and 2023, respectively.</w:t>
      </w:r>
    </w:p>
    <w:p>
      <w:pPr>
        <w:pStyle w:val="TextBody"/>
        <w:bidi w:val="0"/>
        <w:spacing w:lineRule="auto" w:line="288"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REDEEMABLE NON-CONTROLLING INTEREST, REDEEMABLE PREFERRED NON-CONTROLLING INTEREST AND STOCKHOLDERS' DEFICIT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20521" w:type="dxa"/>
        <w:jc w:val="center"/>
        <w:tblInd w:w="0" w:type="dxa"/>
        <w:tblLayout w:type="fixed"/>
        <w:tblCellMar>
          <w:top w:w="28" w:type="dxa"/>
          <w:left w:w="28" w:type="dxa"/>
          <w:bottom w:w="28" w:type="dxa"/>
          <w:right w:w="28" w:type="dxa"/>
        </w:tblCellMar>
      </w:tblPr>
      <w:tblGrid>
        <w:gridCol w:w="622"/>
        <w:gridCol w:w="355"/>
        <w:gridCol w:w="269"/>
        <w:gridCol w:w="109"/>
        <w:gridCol w:w="109"/>
        <w:gridCol w:w="109"/>
        <w:gridCol w:w="480"/>
        <w:gridCol w:w="481"/>
        <w:gridCol w:w="161"/>
        <w:gridCol w:w="109"/>
        <w:gridCol w:w="109"/>
        <w:gridCol w:w="109"/>
        <w:gridCol w:w="221"/>
        <w:gridCol w:w="241"/>
        <w:gridCol w:w="109"/>
        <w:gridCol w:w="109"/>
        <w:gridCol w:w="109"/>
        <w:gridCol w:w="109"/>
        <w:gridCol w:w="480"/>
        <w:gridCol w:w="481"/>
        <w:gridCol w:w="161"/>
        <w:gridCol w:w="109"/>
        <w:gridCol w:w="109"/>
        <w:gridCol w:w="109"/>
        <w:gridCol w:w="196"/>
        <w:gridCol w:w="406"/>
        <w:gridCol w:w="109"/>
        <w:gridCol w:w="109"/>
        <w:gridCol w:w="109"/>
        <w:gridCol w:w="109"/>
        <w:gridCol w:w="525"/>
        <w:gridCol w:w="526"/>
        <w:gridCol w:w="161"/>
        <w:gridCol w:w="109"/>
        <w:gridCol w:w="109"/>
        <w:gridCol w:w="109"/>
        <w:gridCol w:w="196"/>
        <w:gridCol w:w="331"/>
        <w:gridCol w:w="109"/>
        <w:gridCol w:w="109"/>
        <w:gridCol w:w="109"/>
        <w:gridCol w:w="109"/>
        <w:gridCol w:w="202"/>
        <w:gridCol w:w="420"/>
        <w:gridCol w:w="114"/>
        <w:gridCol w:w="109"/>
        <w:gridCol w:w="109"/>
        <w:gridCol w:w="109"/>
        <w:gridCol w:w="196"/>
        <w:gridCol w:w="751"/>
        <w:gridCol w:w="109"/>
        <w:gridCol w:w="109"/>
        <w:gridCol w:w="109"/>
        <w:gridCol w:w="109"/>
        <w:gridCol w:w="263"/>
        <w:gridCol w:w="565"/>
        <w:gridCol w:w="148"/>
        <w:gridCol w:w="109"/>
        <w:gridCol w:w="109"/>
        <w:gridCol w:w="109"/>
        <w:gridCol w:w="279"/>
        <w:gridCol w:w="600"/>
        <w:gridCol w:w="157"/>
        <w:gridCol w:w="327"/>
        <w:gridCol w:w="886"/>
        <w:gridCol w:w="161"/>
        <w:gridCol w:w="327"/>
        <w:gridCol w:w="196"/>
        <w:gridCol w:w="661"/>
        <w:gridCol w:w="109"/>
        <w:gridCol w:w="327"/>
        <w:gridCol w:w="751"/>
        <w:gridCol w:w="301"/>
        <w:gridCol w:w="327"/>
        <w:gridCol w:w="196"/>
        <w:gridCol w:w="736"/>
        <w:gridCol w:w="109"/>
        <w:gridCol w:w="327"/>
        <w:gridCol w:w="196"/>
        <w:gridCol w:w="736"/>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Total Stockholders'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29,477,766 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144,399,037 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(774,156)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fractional shares on warrant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put option on forward purchase contract - Meteora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(1,635,783)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Issuance of Class A common stock for vesting of equity awards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Issuance of Class A common stock under the ATM program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Deconsolidation of entities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paid-in-kind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29,701,146 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144,399,037 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(1,635,783)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(477,852)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Issuance of Class A common stock under the ATM program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Issuance of Class A common stock for vesting of equity awards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(71,500,000)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30,065,260 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71,500,000 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72,899,037 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(1,635,783)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(147,831)</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Represents the equity awards vested net of shares of Class A common stock withheld for taxes. Please see Note 16. </w:t>
      </w:r>
      <w:r>
        <w:rPr>
          <w:rFonts w:ascii="Times New Roman;sans-serif" w:hAnsi="Times New Roman;sans-serif"/>
          <w:b w:val="false"/>
          <w:i/>
          <w:color w:val="000000"/>
          <w:sz w:val="16"/>
        </w:rPr>
        <w:t>Stock-based Compensation</w:t>
      </w:r>
      <w:r>
        <w:rPr>
          <w:color w:val="000000"/>
        </w:rPr>
        <w:t xml:space="preserve"> </w:t>
      </w:r>
      <w:r>
        <w:rPr>
          <w:rFonts w:ascii="Times New Roman;sans-serif" w:hAnsi="Times New Roman;sans-serif"/>
          <w:b w:val="false"/>
          <w:color w:val="000000"/>
          <w:sz w:val="16"/>
        </w:rPr>
        <w:t xml:space="preserve">for additional information. </w:t>
      </w:r>
    </w:p>
    <w:p>
      <w:pPr>
        <w:pStyle w:val="TextBody"/>
        <w:bidi w:val="0"/>
        <w:spacing w:lineRule="auto" w:line="288" w:before="200" w:after="283"/>
        <w:ind w:left="0" w:right="0" w:firstLine="72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As of May 30, 2023, two of our RNG facilities, Emerald and Sapphire were deconsolidated and accounted for under equity method as per ASC 323 </w:t>
      </w:r>
      <w:r>
        <w:rPr>
          <w:rFonts w:ascii="Times New Roman;sans-serif" w:hAnsi="Times New Roman;sans-serif"/>
          <w:b w:val="false"/>
          <w:i/>
          <w:color w:val="000000"/>
          <w:sz w:val="16"/>
        </w:rPr>
        <w:t>Investments—Equity Method and Joint Ventures</w:t>
      </w:r>
      <w:r>
        <w:rPr>
          <w:rFonts w:ascii="Times New Roman;sans-serif" w:hAnsi="Times New Roman;sans-serif"/>
          <w:b w:val="false"/>
          <w:color w:val="000000"/>
          <w:sz w:val="16"/>
        </w:rPr>
        <w:t xml:space="preserve">. Please see Note 3. </w:t>
      </w:r>
      <w:r>
        <w:rPr>
          <w:rFonts w:ascii="Times New Roman;sans-serif" w:hAnsi="Times New Roman;sans-serif"/>
          <w:b w:val="false"/>
          <w:i/>
          <w:color w:val="000000"/>
          <w:sz w:val="16"/>
        </w:rPr>
        <w:t>Investment in Other Entities</w:t>
      </w:r>
      <w:r>
        <w:rPr>
          <w:color w:val="000000"/>
        </w:rPr>
        <w:t xml:space="preserve"> </w:t>
      </w:r>
      <w:r>
        <w:rPr>
          <w:rFonts w:ascii="Times New Roman;sans-serif" w:hAnsi="Times New Roman;sans-serif"/>
          <w:b w:val="false"/>
          <w:color w:val="000000"/>
          <w:sz w:val="16"/>
        </w:rPr>
        <w:t xml:space="preserve">and Note 12. </w:t>
      </w:r>
      <w:r>
        <w:rPr>
          <w:rFonts w:ascii="Times New Roman;sans-serif" w:hAnsi="Times New Roman;sans-serif"/>
          <w:b w:val="false"/>
          <w:i/>
          <w:color w:val="000000"/>
          <w:sz w:val="16"/>
        </w:rPr>
        <w:t>Variable Interest Entities</w:t>
      </w:r>
      <w:r>
        <w:rPr>
          <w:color w:val="000000"/>
        </w:rPr>
        <w:t xml:space="preserve"> </w:t>
      </w:r>
      <w:r>
        <w:rPr>
          <w:rFonts w:ascii="Times New Roman;sans-serif" w:hAnsi="Times New Roman;sans-serif"/>
          <w:b w:val="false"/>
          <w:color w:val="000000"/>
          <w:sz w:val="16"/>
        </w:rPr>
        <w:t xml:space="preserve">for additional information. </w:t>
      </w:r>
    </w:p>
    <w:p>
      <w:pPr>
        <w:pStyle w:val="TextBody"/>
        <w:bidi w:val="0"/>
        <w:spacing w:lineRule="auto" w:line="288" w:before="200" w:after="283"/>
        <w:ind w:left="0" w:right="0" w:firstLine="72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 xml:space="preserve">During the years ended December 31, 2024 and December 31, 2023, the Company issued 36,353 and 90,103 shares of Class A common stock under the Company's ATM program. Please see Note 2. </w:t>
      </w:r>
      <w:r>
        <w:rPr>
          <w:rFonts w:ascii="Times New Roman;sans-serif" w:hAnsi="Times New Roman;sans-serif"/>
          <w:b w:val="false"/>
          <w:i/>
          <w:color w:val="000000"/>
          <w:sz w:val="16"/>
        </w:rPr>
        <w:t xml:space="preserve">Summary of Significant Accounting Policies </w:t>
      </w:r>
      <w:r>
        <w:rPr>
          <w:rFonts w:ascii="Times New Roman;sans-serif" w:hAnsi="Times New Roman;sans-serif"/>
          <w:b w:val="false"/>
          <w:color w:val="000000"/>
          <w:sz w:val="16"/>
        </w:rPr>
        <w:t xml:space="preserve">and Note 13. </w:t>
      </w:r>
      <w:r>
        <w:rPr>
          <w:rFonts w:ascii="Times New Roman;sans-serif" w:hAnsi="Times New Roman;sans-serif"/>
          <w:b w:val="false"/>
          <w:i/>
          <w:color w:val="000000"/>
          <w:sz w:val="16"/>
        </w:rPr>
        <w:t xml:space="preserve">Redeemable non-controlling interests, Redeemable preferred non-controlling interests and Stockholders' Deficit </w:t>
      </w:r>
      <w:r>
        <w:rPr>
          <w:rFonts w:ascii="Times New Roman;sans-serif" w:hAnsi="Times New Roman;sans-serif"/>
          <w:b w:val="false"/>
          <w:color w:val="000000"/>
          <w:sz w:val="16"/>
        </w:rPr>
        <w:t>for additional information.</w:t>
      </w:r>
    </w:p>
    <w:p>
      <w:pPr>
        <w:pStyle w:val="TextBody"/>
        <w:bidi w:val="0"/>
        <w:spacing w:lineRule="auto" w:line="288"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before="0" w:after="0"/>
        <w:jc w:val="center"/>
        <w:rPr/>
      </w:pPr>
      <w:r>
        <w:rPr/>
      </w:r>
    </w:p>
    <w:tbl>
      <w:tblPr>
        <w:tblW w:w="8829" w:type="dxa"/>
        <w:jc w:val="left"/>
        <w:tblInd w:w="0" w:type="dxa"/>
        <w:tblLayout w:type="fixed"/>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73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commodity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and long-term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disposal of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 term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4"/>
        <w:gridCol w:w="2517"/>
        <w:gridCol w:w="2529"/>
        <w:gridCol w:w="196"/>
        <w:gridCol w:w="646"/>
        <w:gridCol w:w="109"/>
        <w:gridCol w:w="109"/>
        <w:gridCol w:w="109"/>
        <w:gridCol w:w="109"/>
        <w:gridCol w:w="196"/>
        <w:gridCol w:w="646"/>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investment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Notes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Repayment of Convertible Note Payable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Sunoma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finance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equipment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Reimbursement of financing costs by joint venture partner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of Class A common stock under the ATM program,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restricted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$3,212 and $5,475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asset retirement obligation included in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arising from lease modifications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included in Property, Plant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into three operating segments based on the characteristics and the nature of products and services. The three operating segments are - RNG Fuel, Fuel Station Services and Renewable Power.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prepared in accordance with generally accepted accounting principles in the United States ("U.S. GAAP") and includes the accounts of the Company and all other entities in which the Company has a controlling financial interest: OPAL Renewable Power LLC (formerly Fortistar Methane 3 LLC (“FM3”) and Fortistar Methane 4 LLC), Sunoma Holdings, LLC (“Sunoma”), Central Valley LLC (“Central Valley”), Reynolds RNG LLC (“Reynolds”), Beacon RNG LLC (“Beacon”), New River LLC (“New River”), Prince William RNG LLC (“Prince William”), Cottonwood RNG LLC ("Cottonwood"), Polk County RNG LLC (“Polk County”), OPAL Contracting LLC (formerly Fortistar Contracting LLC), OPAL RNG LLC (formerly Fortistar RNG LLC), and OPAL Fuel station services LLC (“Fuel Station Services”). The Company’s audited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consolidated balance sheets and as a non-redeemable non-controlling interests in the consolidated statements of changes in redeemable non-controlling interests, redeemable preferred non-controlling interests and Stockholders' (deficit) equity.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reclassified certain Asset retirement obligations from current to non-current in its consolidated balance sheet as of December 31, 2023.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Investments in unconsolidated entities in which the Company has influence over the operating or financial decisions are accounted for under the equity method.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accounted for its ownership interests in Pine Bend RNG LLC ("Pine Bend"), Noble Road RNG LLC ("Noble Road"), Paragon RNG LLC ("Paragon"), Emerald RNG LLC ("Emerald"), Sapphire RNG LLC ("Sapphire"), Land2Gas LLC (the "SJI Joint Venture"), Atlantic RNG LLC ("Atlantic"), Burlington RNG LLC ("Burlington") and GREP BTB Holdings LLC ("GREP") under the equity method.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impairment assessment of goodwill, and the fair value of derivative instruments. Actual results could differ from those estimates.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Adopted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adopted ASU 2023-07 in the year ended December 31, 2024 and applied the standard retrospectively for all periods presented. Please see Note 11. </w:t>
      </w:r>
      <w:r>
        <w:rPr>
          <w:rFonts w:ascii="Times New Roman;sans-serif" w:hAnsi="Times New Roman;sans-serif"/>
          <w:b w:val="false"/>
          <w:i/>
          <w:color w:val="000000"/>
          <w:sz w:val="20"/>
        </w:rPr>
        <w:t>Reportable Segments</w:t>
      </w:r>
      <w:r>
        <w:rPr>
          <w:rFonts w:ascii="Times New Roman;sans-serif" w:hAnsi="Times New Roman;sans-serif"/>
          <w:b w:val="false"/>
          <w:color w:val="000000"/>
          <w:sz w:val="20"/>
        </w:rPr>
        <w:t>, for additional information.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FASB issued Accounting Standards Update No. 2023-06, Disclosure Improvements - Codification Amendments in response to SEC's Disclosure Update and Simplification Initiative ("ASU 2023-06"). The update requires certain additional disclosures including but not limited to accounting policy on relating to cash flows associated with derivative instruments and their related gains and losses in statement of cash flows, methods used in the diluted earnings per share computation for each dilutive security, disclosures related to assets mortgaged, pledged or otherwise subject to lien and collateralized obligations, disclosure of amounts and terms of unused lines of credit, unfunded commitments, weighted average interest rate on short-term borrowings, preference of preferred stock in an involuntary liquidation if the liquidation preference is other than par or stated value and disclosure of amounts at risk with an individual counterparty if the amount exceeds 10% of stockholder's equity. The Company adopted ASU 2023-06 in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2024. The adoption did not have a material effect on the Company’s financial position, results of operations, cash flows or disclosures.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that leasehold improvements associated with common control leases be amortized by the lessee over the useful life of the leasehold improvements to the common control group (regardless of the lease term) as long as the lessee controls the use of the underlying asset and accounts for the underlying asset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adopted ASU 2023-01 in the year ended December 31, 2024. The adoption did not have a material effect on the Company’s financial position, results of operations, cash flows or disclosures.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Not Yet Adopted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FASB issued Accounting Standards Update No. 2023-05, Business Combinations- Joint Venture Formations (Subtopic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The Company is currently evaluating the impact of the adoption of ASU 2023-05 on its consolidated financial statements.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Standards Update No. 2023-09, Income Taxes (“Topic 740”): Improvements to Income Tax Disclosures,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The standard requires disaggregated information about a reporting entity's effective tax rate reconciliation as well as information on income taxes paid. This ASU becomes effective for public companies for annual periods beginning after December 15, 2024. Early adoption is permitted for annual financial statements that have not yet been issued or made available for issuance. The Company is currently evaluating the impact this ASU will have on its consolidated financial statements and related disclosures.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primarily consist of money market accounts, cash on deposit with banks and highly liquid investments with original maturities of three months or less from the date of purchase.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December 31,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center"/>
        <w:rPr/>
      </w:pPr>
      <w:r>
        <w:rPr/>
      </w:r>
    </w:p>
    <w:tbl>
      <w:tblPr>
        <w:tblW w:w="7208" w:type="dxa"/>
        <w:jc w:val="center"/>
        <w:tblInd w:w="0" w:type="dxa"/>
        <w:tblLayout w:type="fixed"/>
        <w:tblCellMar>
          <w:top w:w="28" w:type="dxa"/>
          <w:left w:w="28" w:type="dxa"/>
          <w:bottom w:w="28" w:type="dxa"/>
          <w:right w:w="28" w:type="dxa"/>
        </w:tblCellMar>
      </w:tblPr>
      <w:tblGrid>
        <w:gridCol w:w="1443"/>
        <w:gridCol w:w="1269"/>
        <w:gridCol w:w="1277"/>
        <w:gridCol w:w="109"/>
        <w:gridCol w:w="109"/>
        <w:gridCol w:w="109"/>
        <w:gridCol w:w="255"/>
        <w:gridCol w:w="873"/>
        <w:gridCol w:w="132"/>
        <w:gridCol w:w="109"/>
        <w:gridCol w:w="109"/>
        <w:gridCol w:w="109"/>
        <w:gridCol w:w="253"/>
        <w:gridCol w:w="867"/>
        <w:gridCol w:w="185"/>
      </w:tblGrid>
      <w:tr>
        <w:trPr/>
        <w:tc>
          <w:tcPr>
            <w:tcW w:w="14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Restricted cash - current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Restricted cash - non - current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Restricted cash - current as of December 31, 2024 consists of $972 related to debt reserve on Sunoma Loan. Restricted cash - current as of December 31, 2023 consists of $3,361 related to debt reserve on the Sunoma Loan and $1,034 related to deposit on our interconnections payments. Restricted cash is classified as short term when the restriction is expected to be lifted within 12 months.</w:t>
      </w:r>
    </w:p>
    <w:p>
      <w:pPr>
        <w:pStyle w:val="TextBody"/>
        <w:bidi w:val="0"/>
        <w:spacing w:lineRule="auto" w:line="288" w:before="0" w:after="200"/>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Restricted cash - non - current as of December 31, 2024 includes restricted cash held as collateral related to the collateral requirements on our debt facilities and gas security deposit. Restricted cash - non - current as of December 31, 2023 includes restricted cash held as collateral related to the collateral requirements on our debt facilities.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but less than one year at the time of purchase to be short term investments. The short term investments of $— and $9,875 as of December 31, 2024 and December 31, 2023, respectively. The amounts in these money market accounts are liquid and available for general use.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Earnout Liabilities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completed in July 2022 (“Business Combination”) and pursuant to a sponsor letter agreement, ArcLight CTC Holdings II, L.P.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As of December 31, 2024 and 2023 number of shares subject to forfeiture was 716,650 (the "Sponsor Earnout Awards"). The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OPAL Fuels equity holders were eligible to receive an aggregate of 10,000,000 shares of Class B and Class D common stock upon the Company achieving each earn-out event during the earn-out period (the "Opal Earnout Awards"). Earn-out events were not achieved as of December 31, 2024 and the earnout award has been expired.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For the years ended December 31, 2024 and December 31, 2023, the Company recorded total gains from Earnout Awards </w:t>
      </w:r>
      <w:r>
        <w:rPr>
          <w:rFonts w:ascii="Times New Roman;sans-serif" w:hAnsi="Times New Roman;sans-serif"/>
          <w:b w:val="false"/>
          <w:color w:val="000000"/>
          <w:sz w:val="20"/>
          <w:shd w:fill="FFFFFF" w:val="clear"/>
        </w:rPr>
        <w:t xml:space="preserve">of $1,596 and </w:t>
      </w:r>
      <w:r>
        <w:rPr>
          <w:rFonts w:ascii="Times New Roman;sans-serif" w:hAnsi="Times New Roman;sans-serif"/>
          <w:b w:val="false"/>
          <w:color w:val="000000"/>
          <w:sz w:val="20"/>
        </w:rPr>
        <w:t>$6,890, respectively, in its consolidated statements of operations. As of December 31, 2024 and December 31, 2023, the Company record</w:t>
      </w:r>
      <w:r>
        <w:rPr>
          <w:rFonts w:ascii="Times New Roman;sans-serif" w:hAnsi="Times New Roman;sans-serif"/>
          <w:b w:val="false"/>
          <w:color w:val="000000"/>
          <w:sz w:val="20"/>
          <w:shd w:fill="FFFFFF" w:val="clear"/>
        </w:rPr>
        <w:t xml:space="preserve">ed a Sponsor Earnout liability of $304 </w:t>
      </w:r>
      <w:r>
        <w:rPr>
          <w:rFonts w:ascii="Times New Roman;sans-serif" w:hAnsi="Times New Roman;sans-serif"/>
          <w:b w:val="false"/>
          <w:color w:val="000000"/>
          <w:sz w:val="20"/>
        </w:rPr>
        <w:t>and $1,900, respectively, on its consolidated balance sheets.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ownership interest during the period. The net income or loss attributable to Redeemable non-controlling interests is reflected in the consolidated statement of operations.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At each balance sheet date, the mezzanine equity classified Redeemable non-controlling interests is adjusted down to their maximum redemption value if necessary, with an offset in Stockholders' equity. As of December 31, 2024, the maximum redemption va</w:t>
      </w:r>
      <w:r>
        <w:rPr>
          <w:rFonts w:ascii="Times New Roman;sans-serif" w:hAnsi="Times New Roman;sans-serif"/>
          <w:b w:val="false"/>
          <w:color w:val="000000"/>
          <w:sz w:val="20"/>
          <w:shd w:fill="FFFFFF" w:val="clear"/>
        </w:rPr>
        <w:t>lue was $482,863.</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issues stock-based compensation utilizing stock options, performance units and restricted stock units. In accordance with ASC 718, </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xml:space="preserve">,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Forfeitures are recognized as they occur. Please see Note 16.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xml:space="preserve">, for additional information.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Project development and startup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years ended December 31, 2024 and 2023, the Company is presenting these expenses in a separate line within operating expenses to provide additional information to the readers of the financial statements regarding the ongoing profitability of our RNG projects in operation.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the types of expenses classified under this expense category:</w:t>
      </w:r>
    </w:p>
    <w:tbl>
      <w:tblPr>
        <w:tblW w:w="6350" w:type="dxa"/>
        <w:jc w:val="center"/>
        <w:tblInd w:w="0" w:type="dxa"/>
        <w:tblLayout w:type="fixed"/>
        <w:tblCellMar>
          <w:top w:w="28" w:type="dxa"/>
          <w:left w:w="28" w:type="dxa"/>
          <w:bottom w:w="28" w:type="dxa"/>
          <w:right w:w="28" w:type="dxa"/>
        </w:tblCellMar>
      </w:tblPr>
      <w:tblGrid>
        <w:gridCol w:w="1332"/>
        <w:gridCol w:w="1165"/>
        <w:gridCol w:w="1177"/>
        <w:gridCol w:w="109"/>
        <w:gridCol w:w="109"/>
        <w:gridCol w:w="109"/>
        <w:gridCol w:w="211"/>
        <w:gridCol w:w="721"/>
        <w:gridCol w:w="109"/>
        <w:gridCol w:w="109"/>
        <w:gridCol w:w="109"/>
        <w:gridCol w:w="109"/>
        <w:gridCol w:w="211"/>
        <w:gridCol w:w="61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Virtual pipeline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Relates to virtual pipeline costs on our Prince William facility. These are temporary transportation costs incurred until a permanent pipeline is completed, which we currently anticipate in the second half of 2025.</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(loss) attributable to Class A common stockholders by the weighted average number of Class A common stock outstanding during the period.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 amounts due from the sale of RNG, natural gas, gas transportation, construction contracts, service contracts, environmental attributes, electricity, capacity, and LFG for which the Company has an unconditional right to payment. The accounts receivable are the net estimate realizable value between the invoiced accounts receivable and allowance for credit losses.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based on past 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 allowance for credit losses as of December 31, 2024 and December 31, 2023.</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Fuel Tax Credit Receivable/Payable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accrued federal fuel tax credits of $0.50 per gasoline gallon equivalent of CNG that the Company sold as vehicle fuel in 2024. At December 31, 2024 and 2023, fuel tax credits receivable were $5,639 and $5,345, respectively. Under the terms of its fuel sales agreements with certain of its customers, the Company is obligated to share portions of these tax credits. At December 31, 2024 and 2023, the amounts of fuel tax credits owed to customers were $4,422 and $4,558, respectively. The Company recorded its portion of tax credits earned as a reduction to cost of sales — RNG fuel in the consolidated statements of operations.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is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An asset retirement obligation is classified as short-term if it is expected to be settled within one year. If the obligation is expected to be settled beyond one year, it is classified as long-term.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estimated the value of its total asset retirement obligations to be $7,886 and $6,728,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December 31, 2024:</w:t>
      </w:r>
    </w:p>
    <w:tbl>
      <w:tblPr>
        <w:tblW w:w="5879" w:type="dxa"/>
        <w:jc w:val="center"/>
        <w:tblInd w:w="0" w:type="dxa"/>
        <w:tblLayout w:type="fixed"/>
        <w:tblCellMar>
          <w:top w:w="28" w:type="dxa"/>
          <w:left w:w="28" w:type="dxa"/>
          <w:bottom w:w="28" w:type="dxa"/>
          <w:right w:w="28" w:type="dxa"/>
        </w:tblCellMar>
      </w:tblPr>
      <w:tblGrid>
        <w:gridCol w:w="1657"/>
        <w:gridCol w:w="1454"/>
        <w:gridCol w:w="1463"/>
        <w:gridCol w:w="280"/>
        <w:gridCol w:w="820"/>
        <w:gridCol w:w="205"/>
      </w:tblGrid>
      <w:tr>
        <w:trPr/>
        <w:tc>
          <w:tcPr>
            <w:tcW w:w="165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2023 - Current and non-current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the year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Deletion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retirement obligation</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retirement obligation, net of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ASC 606 Revenue from Contracts with Customers</w:t>
      </w:r>
      <w:r>
        <w:rPr>
          <w:color w:val="000000"/>
        </w:rPr>
        <w:t xml:space="preserve"> </w:t>
      </w:r>
      <w:r>
        <w:rPr>
          <w:rFonts w:ascii="Times New Roman;sans-serif" w:hAnsi="Times New Roman;sans-serif"/>
          <w:b w:val="false"/>
          <w:color w:val="000000"/>
          <w:sz w:val="20"/>
        </w:rPr>
        <w:t>("ASC 606")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reader. The price is fixed at contracted rates and the Producers pay approximately 30 days after month-end. As such, transportation sales are recognized over time, using the output method to measure progress.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Energy Marketing, LLC (together with its affiliates, "NextEra")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2024 and 2023, the Company earned net revenues after discount and fees of $68,416 and $56,069, respectively, under this contract which was recorded as part of Revenues - RNG Fuel. For the years ended December 31, 2024 and 2023, the Company earned net revenues after discount and fees of $38,841 and $28,468, respectively, which was recorded as part of Revenues - Fuel Station Services.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entered into an agreement with a counterparty to sell LCFSs at one of our RNG facilities for a period of 7 years at a fixed contract price which has a certain predetermined floor and ceiling price per LCFS. The counterparty has the right to apply any excess payment made calculated as the difference between the adjusted Oil Price Information Service price and the floor price per the contract, against future sales of LCFSs during the contract term. Therefore, it includes a variable consideration that is constrained and is incorporated into the contract price only to the extent that it is probable that a significant reversal of the cumulative revenue recognized under the contract will not occur in a future period. As of December 31, 2024, the Company recorded $2,185 related to this agreement as part of Other long-term liabilities on the consolidated balance sheet.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and fourth quarters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("MMBtus"). One of these contracts has a term of 3-years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years ended December 31, 2024 and 2023, the Company earned net revenues of $16,286 and $16,325, respectively under this contract which were recorded as part of Revenues - Renewable Power in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changes implemented by the European Union Commission took effect on November 21, 2024 that excluded biomethane produced outside of the European Union from being certified as eligible to be sold in accordance with the European Union Renewable Energy Directive. As a result, all of our contracts governing sales of ISCC Carbon Credits were terminated on November 21, 2024. Following such terminations, we expect to continue to earn revenues from sale of electricity generated by these Renewable Power facilities and the associated Environmental Attributes.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October 2024, the Company initiated the generation of Renewable Thermal Certificates ("RTCs"). RTCs are generated from the conversion of biogas to any thermal application (including power generation, heating or otherwise) and work similarly to renewable energy certificates ("RECs") used in electricity markets. RTCs are verified and certified by the Midwest Renewable Energy Tracking System (M-RETS). The M-RETS Renewable Thermal Tracking System issues one RTC for every dekatherm of RNG injected into the gas system.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RTCs, renewable energy credits ("RECs"), ISCC Carbon Credits and LCFS are generally recorded as revenue when the certificates related to them are delivered to a buyer. However, the Company may recognize revenue from the sale of RECs at the time of the related Renewable Power sales when the contract provides that title to the Environmental Attributes transfers at the time of production, the Company's price to the buyer is fixed, and collection of the sales proceeds is certain.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Guarantees ("ASC 460"), and not as a separate performance obligation.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company estimates warranty costs based on historical claims experience, and other factors. Actual warranty claims may differ from the estimates, and adjustments to the liability are made as necessary. The Company accrued $171 and $132 of warranty reserves under accrued expense and other current liabilities as of December 31, 2024, and December 31,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For additional information on lease revenues earned, please see Note 8. </w:t>
      </w:r>
      <w:r>
        <w:rPr>
          <w:rFonts w:ascii="Times New Roman;sans-serif" w:hAnsi="Times New Roman;sans-serif"/>
          <w:b w:val="false"/>
          <w:i/>
          <w:color w:val="000000"/>
          <w:sz w:val="20"/>
        </w:rPr>
        <w:t>Leases.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center"/>
        <w:rPr/>
      </w:pPr>
      <w:r>
        <w:rPr/>
      </w:r>
    </w:p>
    <w:tbl>
      <w:tblPr>
        <w:tblW w:w="6696" w:type="dxa"/>
        <w:jc w:val="center"/>
        <w:tblInd w:w="0" w:type="dxa"/>
        <w:tblLayout w:type="fixed"/>
        <w:tblCellMar>
          <w:top w:w="28" w:type="dxa"/>
          <w:left w:w="28" w:type="dxa"/>
          <w:bottom w:w="28" w:type="dxa"/>
          <w:right w:w="28" w:type="dxa"/>
        </w:tblCellMar>
      </w:tblPr>
      <w:tblGrid>
        <w:gridCol w:w="1343"/>
        <w:gridCol w:w="1179"/>
        <w:gridCol w:w="1183"/>
        <w:gridCol w:w="109"/>
        <w:gridCol w:w="109"/>
        <w:gridCol w:w="109"/>
        <w:gridCol w:w="211"/>
        <w:gridCol w:w="826"/>
        <w:gridCol w:w="109"/>
        <w:gridCol w:w="109"/>
        <w:gridCol w:w="109"/>
        <w:gridCol w:w="109"/>
        <w:gridCol w:w="211"/>
        <w:gridCol w:w="82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Environmental credits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Lease revenue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revenues of $16,286 and $16,325 for the years ended December 31, 2024 and 2023, from customers domiciled outside of United States. </w:t>
      </w:r>
    </w:p>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Includes management fee revenues earned from management of operations of equity method entities.</w:t>
      </w:r>
    </w:p>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Lease revenue relates to approximately thirty-five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13% and 19%, respectively of revenue was recognized over time, and the remainder was for products and services transferred at a point in time.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8931" w:type="dxa"/>
        <w:jc w:val="center"/>
        <w:tblInd w:w="0" w:type="dxa"/>
        <w:tblLayout w:type="fixed"/>
        <w:tblCellMar>
          <w:top w:w="28" w:type="dxa"/>
          <w:left w:w="28" w:type="dxa"/>
          <w:bottom w:w="28" w:type="dxa"/>
          <w:right w:w="28" w:type="dxa"/>
        </w:tblCellMar>
      </w:tblPr>
      <w:tblGrid>
        <w:gridCol w:w="2220"/>
        <w:gridCol w:w="1952"/>
        <w:gridCol w:w="1963"/>
        <w:gridCol w:w="109"/>
        <w:gridCol w:w="109"/>
        <w:gridCol w:w="109"/>
        <w:gridCol w:w="211"/>
        <w:gridCol w:w="631"/>
        <w:gridCol w:w="109"/>
        <w:gridCol w:w="109"/>
        <w:gridCol w:w="109"/>
        <w:gridCol w:w="109"/>
        <w:gridCol w:w="211"/>
        <w:gridCol w:w="826"/>
        <w:gridCol w:w="154"/>
      </w:tblGrid>
      <w:tr>
        <w:trPr/>
        <w:tc>
          <w:tcPr>
            <w:tcW w:w="222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613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Gain on deconsolidation of VIEs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Gain on transfer of non-financial asset in exchange for services received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2,211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non-cash gain on deconsolidation of Emerald and Sapphire on May 30, 2023.</w:t>
      </w:r>
    </w:p>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the fair value of RINs transferred as consideration for services received.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completion of specified units of work. Except for claims, such amounts will be billed over the remaining life of the contract.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7016" w:type="dxa"/>
        <w:jc w:val="center"/>
        <w:tblInd w:w="0" w:type="dxa"/>
        <w:tblLayout w:type="fixed"/>
        <w:tblCellMar>
          <w:top w:w="28" w:type="dxa"/>
          <w:left w:w="28" w:type="dxa"/>
          <w:bottom w:w="28" w:type="dxa"/>
          <w:right w:w="28" w:type="dxa"/>
        </w:tblCellMar>
      </w:tblPr>
      <w:tblGrid>
        <w:gridCol w:w="1496"/>
        <w:gridCol w:w="1310"/>
        <w:gridCol w:w="1318"/>
        <w:gridCol w:w="255"/>
        <w:gridCol w:w="873"/>
        <w:gridCol w:w="132"/>
        <w:gridCol w:w="109"/>
        <w:gridCol w:w="109"/>
        <w:gridCol w:w="109"/>
        <w:gridCol w:w="253"/>
        <w:gridCol w:w="867"/>
        <w:gridCol w:w="185"/>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and estimated earnings in excess of billings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retainage,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total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recognized revenue of $3,746 that was included in "Contract liabilities" at December 31, 2023. During the twelve months ended December 31, 2023, the Company recognized revenue of $8,013 that was included in "Contract liabilities" at December 31, 2022.</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Parts Inventory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$20 as of December 31, 2024 and 2023, respectively. Cost is determined using the average cost method.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Capital Spares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center"/>
        <w:rPr/>
      </w:pPr>
      <w:r>
        <w:rPr/>
      </w:r>
    </w:p>
    <w:tbl>
      <w:tblPr>
        <w:tblW w:w="5831" w:type="dxa"/>
        <w:jc w:val="center"/>
        <w:tblInd w:w="0" w:type="dxa"/>
        <w:tblLayout w:type="fixed"/>
        <w:tblCellMar>
          <w:top w:w="28" w:type="dxa"/>
          <w:left w:w="28" w:type="dxa"/>
          <w:bottom w:w="28" w:type="dxa"/>
          <w:right w:w="28" w:type="dxa"/>
        </w:tblCellMar>
      </w:tblPr>
      <w:tblGrid>
        <w:gridCol w:w="951"/>
        <w:gridCol w:w="834"/>
        <w:gridCol w:w="840"/>
        <w:gridCol w:w="109"/>
        <w:gridCol w:w="109"/>
        <w:gridCol w:w="109"/>
        <w:gridCol w:w="842"/>
        <w:gridCol w:w="842"/>
        <w:gridCol w:w="11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 years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shorter of lease term or useful life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years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 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Lease term</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 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useful life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the Company's income statement. Leases consist primarily of operating leases for site leases on landfills/dairy farms, office facilities and finance leases for site leases and vehicles. The Company determines if an arrangement is or contains a lease at inception. The Company accounts for lease and non-lease components as a single lease component and does not recognize right-of-use assets and lease liabilities for leases with a term of 12 months or less.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right-of-use assets and liabilities are recognized at the lease commencement date based on the present value of lease payments over the lease term. Lease payments consist primarily of the fixed payments under the arrangement, less any lease incentives. The Company generally uses an incremental borrowing rate estimated based on the information available at the lease commencement date or on the date of lease modification, if applicable, to determine the present value of lease payments unless the implicit rate is readily determinable. The Company estimates its incremental borrowing rate based on the rate of interest it would have to pay to borrow on a collateralized basis with an equal lease payment amount, over a similar term, and in a similar economic environment. Generally, the lease term is based on non-cancelable lease term when determining the lease assets and liabilities. The lease terms may include periods under options to extend or terminate the lease when it is reasonably certain that the Company will exercise that option.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right-of-use assets, operating lease liabilities, current, and operating lease liabilities, non-current on the Company's consolidated balance sheets. Finance leases are included in property and equipment, net, accrued and other current liabilities, and other non-current liabilities on the Company's consolidated balance sheets.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are recognized on a straight-line basis over the lease terms. Finance lease assets are amortized on a straight-line basis over the shorter of the estimated useful lives of the assets or the lease terms.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Fees incurred for obtaining new loans or debt restructuring are deferred and amortized to interest expense over the life of the related debt using effective interest method. Unamortized financing costs are written off when the related debt is extinguished. Deferred financing costs (or debt issuance costs) are reported as a reduction of the carrying value of the long-term debt in the consolidated balance sheets.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years ended December 31, 2024 and 2023, the Company recorded $10,365 and $7,354 as part of Cost of sales - Fuel Station Services in its consolidated statements of operations to adjust environmental credits held for sale to lower of cost and net realizable value.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Accrued environmental credit rebates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environmental credit rebates represent the Company's liabilities for dispensing services provided by third-party vendors. As of December 31, 2024 and 2023, the balance of Accrued environmental credit rebates was $5,391 and $4,057 respectively.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December 31, 2024, the Company had a backlog of $66,384.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Major maintenance is a component of maintenance expense and encompasses overhauls of internal combustion engines, gas compressors and electrical generators. Major maintenance is expensed as incurred. Major maintenance expense was $7,637 and $7,240 for the years ended December 31, 2024 and 2023 respectively, and is included in cost of sales — Renewable Power in the consolidated statements of operations.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Goodwill represents the excess of purchase price of an acquisition over the fair value of net assets acquired in a business combination subject to ASC 805,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The Company performs its annual test on December 31.</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$51.2 million of the goodwill balance is attributable to the acquisition of Beacon and is included within the RNG segment. Beacon meets the definition of a business under ASC 805 and is considered a reporting unit for goodwill assessment purposes.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its annual goodwill impairment test for the Beacon reporting unit as of December 31, 2024. For this test, the Company bypassed the qualitative assessment and proceeded directly to the quantitative impairment test. The quantitative test used a combination of an income valuation methodology, using a discounted cash flow analysis ("DCF"), and a market valuation methodology, using the guideline public company method. With this approach, the fair value measurement is based on significant inputs that are not observable in the market and thus the fair value measurement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categorized within Level 3 of the fair value hierarchy. Significant assumptions used in the DCF projection included growth in RIN prices, future sales volumes based on production capacities and a terminal value based on a range of terminal earnings before interest, taxes, depreciation, and amortization. The future cash flows were discounted to present value using a weighted average cost of capital of the company and its closest competitors.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the quantitative assessment indicated that the fair value of the Company’s reporting unit exceeded its carrying amount as of the measurement date, resulting in no impairment loss as of December 31, 2024.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Intangible Assets and Liabilities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 of three Power Purchase Agreements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 Company recorded $2,016 impairment expense for the year ended December 31, 2024. There was no material impairment expense recorded for the year ended December 31,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determined by considering (i) internally developed discounted cash flows for the asset group, (ii) information available regarding the current market value for such assets and/or (iii) estimates of the costs to replace an asset.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estimates the fair value of its derivative instruments using available market information in accordance with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and applies hedge accounting. The Company records the fair value of the interest rate swap as an asset or liability on its consolidated balance sheet. The effective portion of the swap is recorded in Accumulated other comprehensive income.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 of credit risk consist principally of cash, cash equivalents, restricted cash, short term investments, derivative instruments and trade accounts receivable.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Company accounts for income taxes in accordance with ASC Topic 740,</w:t>
      </w:r>
      <w:r>
        <w:rPr>
          <w:color w:val="000000"/>
        </w:rPr>
        <w:t xml:space="preserve"> </w:t>
      </w:r>
      <w:r>
        <w:rPr>
          <w:rFonts w:ascii="Times New Roman;sans-serif" w:hAnsi="Times New Roman;sans-serif"/>
          <w:b w:val="false"/>
          <w:i/>
          <w:color w:val="000000"/>
          <w:sz w:val="20"/>
        </w:rPr>
        <w:t>Accounting for Income Taxes</w:t>
      </w:r>
      <w:r>
        <w:rPr>
          <w:color w:val="000000"/>
        </w:rPr>
        <w:t xml:space="preserve"> </w:t>
      </w:r>
      <w:r>
        <w:rPr>
          <w:rFonts w:ascii="Times New Roman;sans-serif" w:hAnsi="Times New Roman;sans-serif"/>
          <w:b w:val="false"/>
          <w:color w:val="000000"/>
          <w:sz w:val="20"/>
        </w:rPr>
        <w:t xml:space="preserve">(“ASC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 penalties related to unrecognized tax benefits on the interest expense line and other expense line, respectively, in the accompanying consolidated statement of operations. Accrued interest and penalties are included on the related liability lines in the consolidated balance sheet. As of December 31, 2024, the Company does not have any amounts recorded in connection to uncertain tax positions.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elects to account for investment tax credits using the flow-through method. Under this method, investment tax credits are recognized as a reduction of income tax expense in the period in which the credit is generated. The Company has elected not to defer the recognition of these credits as a deferred tax asset, which would otherwise be recognized under the deferral method. This accounting treatment is in accordance with the applicable financial reporting standards and reflects management's judgment that the flow-through method more accurately represents the economic benefits of the investment tax credits to the Company. During the third quarter of 2024, tax credits generated from the Emerald RNG facility were transferred to a third-party and net proceeds of $8,906 from the sale were distributed to The Company. As permitted under the flow-through method, the tax benefit associated with the transfer is recorded as a reduction of income taxes.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two customers accounted for 52% of revenue. For the year ended December 31, 2023, two customers accounted for 47% of revenue. At December 31, 2024, two customers accounted for 50% of accounts receivable. At December 31, 2023, two customers accounted for 54% of accounts receivable.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one vendor accounted for 17% of the accounts payable. As of December 31, 2023, one vendor accounted for 32% of the accounts payable.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Investment Tax Credits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2024, the Company sold to a third-party purchaser certain transferable Investment Tax Credits ("ITCs") that had been generated by the Company from its investments in the Renewable Natural Gas segment.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by electing the flow-through method to recognize the ITC benefit when it arises.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sale of tax credits, totaling $8,906, were received in cash and recorded as a credit to income tax expense as of December 31, 2024. The cash flows related to the total income tax benefits are presented in the statement of cash flow in the ‘Net income (loss)’ line item in operating activities. Legal and insurance fees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totaling $1,440, consisting of $1,182 of buyer's expenses paid by the Company which are recorded as part of Income Tax Benefit and $258 of the Company's costs have been recorded as Project development and startup costs. Transaction costs are deductible for income tax purposes.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Investment in other entities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2024 and 2023, the Company did not identify any impairments on its investments in other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income (loss) from equity method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classify our portion of income (loss) from equity method investments to Operating income.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apply the cumulative earnings approach for classifying distributions received from equity method investees. Distributions are classified as cash inflows from operating activities unless they exceed the investor's cumulative equity in earnings, in which case the excess is classified as cash inflows from investing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center"/>
        <w:rPr/>
      </w:pPr>
      <w:r>
        <w:rPr/>
      </w:r>
    </w:p>
    <w:tbl>
      <w:tblPr>
        <w:tblW w:w="10639" w:type="dxa"/>
        <w:jc w:val="left"/>
        <w:tblInd w:w="0" w:type="dxa"/>
        <w:tblLayout w:type="fixed"/>
        <w:tblCellMar>
          <w:top w:w="28" w:type="dxa"/>
          <w:left w:w="28" w:type="dxa"/>
          <w:bottom w:w="28" w:type="dxa"/>
          <w:right w:w="28" w:type="dxa"/>
        </w:tblCellMar>
      </w:tblPr>
      <w:tblGrid>
        <w:gridCol w:w="829"/>
        <w:gridCol w:w="320"/>
        <w:gridCol w:w="322"/>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Emerald and Sapphire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deferred financing costs and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from equity method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adjustments into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by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on investment in equity method investment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of investment in equity method investment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deconsolidation of Emerald and Sapphire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basis difference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by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on investment in equity method investment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of investment in equity method investment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basis difference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Recorded as part of cash flows from operating activities for the year ended December 31, 2024 and 2023.</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Recorded as part of cash flows from investing activities for the years ended December 31, 2024 and 2023. </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Represents gain on the deconsolidation of previously consolidated entities due to the loss of controlling financial interest in May 2023. Recorded as part of Other income in our consolidated statement of operations for the year ended December 31, 2023.</w:t>
      </w:r>
    </w:p>
    <w:p>
      <w:pPr>
        <w:pStyle w:val="TextBody"/>
        <w:bidi w:val="0"/>
        <w:spacing w:lineRule="auto" w:line="288" w:before="0" w:after="20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Reflected in Income from equity method investments in the consolidated statements of operations for the year ended December 31, 2024 and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from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center"/>
        <w:rPr/>
      </w:pPr>
      <w:r>
        <w:rPr/>
      </w:r>
    </w:p>
    <w:tbl>
      <w:tblPr>
        <w:tblW w:w="7751" w:type="dxa"/>
        <w:jc w:val="center"/>
        <w:tblInd w:w="0" w:type="dxa"/>
        <w:tblLayout w:type="fixed"/>
        <w:tblCellMar>
          <w:top w:w="28" w:type="dxa"/>
          <w:left w:w="28" w:type="dxa"/>
          <w:bottom w:w="28" w:type="dxa"/>
          <w:right w:w="28" w:type="dxa"/>
        </w:tblCellMar>
      </w:tblPr>
      <w:tblGrid>
        <w:gridCol w:w="1422"/>
        <w:gridCol w:w="1250"/>
        <w:gridCol w:w="1257"/>
        <w:gridCol w:w="317"/>
        <w:gridCol w:w="1244"/>
        <w:gridCol w:w="164"/>
        <w:gridCol w:w="109"/>
        <w:gridCol w:w="109"/>
        <w:gridCol w:w="109"/>
        <w:gridCol w:w="344"/>
        <w:gridCol w:w="1175"/>
        <w:gridCol w:w="251"/>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Revenue </w:t>
            </w:r>
            <w:r>
              <w:rPr>
                <w:rFonts w:ascii="Times New Roman;sans-serif" w:hAnsi="Times New Roman;sans-serif"/>
                <w:b w:val="false"/>
                <w:color w:val="000000"/>
                <w:sz w:val="13"/>
              </w:rPr>
              <w:t>(1)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Net income from equity method investments </w:t>
            </w:r>
            <w:r>
              <w:rPr>
                <w:rFonts w:ascii="Times New Roman;sans-serif" w:hAnsi="Times New Roman;sans-serif"/>
                <w:b w:val="false"/>
                <w:color w:val="000000"/>
                <w:sz w:val="13"/>
              </w:rPr>
              <w:t>(1)</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from equity method investments represents our portion of the net income from equity method investments including amortization of any basis differences.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financial information for our portion of the assets and liabilities in equity method investees in the aggregate is as follows:</w:t>
      </w:r>
    </w:p>
    <w:tbl>
      <w:tblPr>
        <w:tblW w:w="5740" w:type="dxa"/>
        <w:jc w:val="center"/>
        <w:tblInd w:w="0" w:type="dxa"/>
        <w:tblLayout w:type="fixed"/>
        <w:tblCellMar>
          <w:top w:w="28" w:type="dxa"/>
          <w:left w:w="28" w:type="dxa"/>
          <w:bottom w:w="28" w:type="dxa"/>
          <w:right w:w="28" w:type="dxa"/>
        </w:tblCellMar>
      </w:tblPr>
      <w:tblGrid>
        <w:gridCol w:w="694"/>
        <w:gridCol w:w="610"/>
        <w:gridCol w:w="615"/>
        <w:gridCol w:w="349"/>
        <w:gridCol w:w="1195"/>
        <w:gridCol w:w="180"/>
        <w:gridCol w:w="109"/>
        <w:gridCol w:w="109"/>
        <w:gridCol w:w="109"/>
        <w:gridCol w:w="344"/>
        <w:gridCol w:w="1175"/>
        <w:gridCol w:w="251"/>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91,215 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40,605 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33,552 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Biotown Note receivable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100% ownership interest in Reynolds which held a note receivable of $10,450 to Biotown. On July 15, 2022, Biotown repaid the total amount outstanding under the Note receivable.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initially recorded the fair value of the Note receivable — variable fee component of $1,538 as an allocation of the initial investment balance of $10,450. The Company and recorded payment-in-kind interest income of $207 and $413 as a reduction to interest and financing expense, net in the consolidated statement of operations for the years ended December 31, 2024 and 2023, respectively.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 variable fee component of $2,509 and $2,302 is recorded as a long-term asset on its consolidated balance sheets as of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December 31,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center"/>
        <w:rPr/>
      </w:pPr>
      <w:r>
        <w:rPr/>
      </w:r>
    </w:p>
    <w:tbl>
      <w:tblPr>
        <w:tblW w:w="5859" w:type="dxa"/>
        <w:jc w:val="center"/>
        <w:tblInd w:w="0" w:type="dxa"/>
        <w:tblLayout w:type="fixed"/>
        <w:tblCellMar>
          <w:top w:w="28" w:type="dxa"/>
          <w:left w:w="28" w:type="dxa"/>
          <w:bottom w:w="28" w:type="dxa"/>
          <w:right w:w="28" w:type="dxa"/>
        </w:tblCellMar>
      </w:tblPr>
      <w:tblGrid>
        <w:gridCol w:w="1076"/>
        <w:gridCol w:w="943"/>
        <w:gridCol w:w="950"/>
        <w:gridCol w:w="232"/>
        <w:gridCol w:w="908"/>
        <w:gridCol w:w="119"/>
        <w:gridCol w:w="109"/>
        <w:gridCol w:w="109"/>
        <w:gridCol w:w="109"/>
        <w:gridCol w:w="231"/>
        <w:gridCol w:w="905"/>
        <w:gridCol w:w="168"/>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Construction in progress </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175,060 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Land lease - finance lease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 finance leases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458,258 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339,493 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$3,212 of interest capitalized from our general borrowings for the year ended December 31, 2024 and $5,475 for the year ended December 31,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20, 2023, our wholly owned subsidiary entered into an Asset Purchase and Sale Agreement (for the purposes of this paragraph, the “Agreement”) with Washington Gas Light Company ("WGL") with respect to a gas pipeline extension and associated interconnection facilities (the “Pipeline Project”) that is contemplated as part of the subsidiary's RNG production facility at the Prince William County landfill located in Manassas, Virginia. The Agreement obligates the subsidiary to develop, plan and permit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was on or prior to October 20, 2024. During the second quarter of 2024, the agreement was amended to move the closing date to fourth quarter of 2025.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concluded that the arrangement does not constitute a transaction with a customer under ASC 606, and the Pipeline and its related easements represent a single distinct asset that will be derecognized at the point in time when the transferee gains control.</w:t>
      </w:r>
    </w:p>
    <w:p>
      <w:pPr>
        <w:pStyle w:val="TextBody"/>
        <w:bidi w:val="0"/>
        <w:spacing w:lineRule="auto" w:line="288" w:before="0" w:after="200"/>
        <w:jc w:val="both"/>
        <w:rPr/>
      </w:pPr>
      <w:r>
        <w:rPr>
          <w:rFonts w:ascii="Times New Roman;sans-serif" w:hAnsi="Times New Roman;sans-serif"/>
          <w:b w:val="false"/>
          <w:color w:val="000000"/>
          <w:sz w:val="20"/>
        </w:rPr>
        <w:t xml:space="preserve">As of December 31, 2024, the Company had $7.75 million capitalized as CIP related to the construction of the asset. In the fourth quarter of 2024, the Company noted an increase in the construction budget and considered the asset for impairment under ASC 360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The Company estimates that its capitalized costs, combined with remaining budgeted construction expenditures, will reach $37.0 million by the asset’s completion date. In contrast, the Company expects to receive a payment of $23.1 million from WGL in exchange for the Pipeline, net of taxes. As a result, the asset does not meet the recoverability test as of December 31, 2024.</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calculate the amount of impairment, the Company further assessed the fair value of the Pipeline using the replacement cost approach. This approach is based on the premise that a prudent investor would pay no more for an asset of similar utility than its replacement or reproduction cost. The cost to replace the asset would include the cost of constructing a similar asset of equivalent utility at prices applicable at the valuation date. To estimate the fair value, the Company used the current cost of producing or constructing a similar new item, reduced for depreciation. The results of the impairment assessment indicated that the fair value of the asset exceeded its carrying amount as of the measurement date, resulting in no impairment loss as of December 31,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Construction in progress consists of capital expenditures on construction of RNG generation facilities including, but not limited to Cottonwood, Central Valley RNG projects and RNG dispensing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ans-serif" w:hAnsi="Times New Roman;sans-serif"/>
          <w:b w:val="false"/>
          <w:color w:val="000000"/>
          <w:sz w:val="20"/>
        </w:rPr>
        <w:t xml:space="preserve">Polk County became operational in the fourth quarter of 2024. Regarding the Central Valley RNG projects, please refer to Note 17.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on property, plant, and equipment for the years ended December 31, 2024 and December 31, 2023 was $17,176 and $13,481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December 31, 2024 and December 31, 2023:</w:t>
      </w:r>
    </w:p>
    <w:tbl>
      <w:tblPr>
        <w:tblW w:w="9415" w:type="dxa"/>
        <w:jc w:val="center"/>
        <w:tblInd w:w="0" w:type="dxa"/>
        <w:tblLayout w:type="fixed"/>
        <w:tblCellMar>
          <w:top w:w="28" w:type="dxa"/>
          <w:left w:w="28" w:type="dxa"/>
          <w:bottom w:w="28" w:type="dxa"/>
          <w:right w:w="28" w:type="dxa"/>
        </w:tblCellMar>
      </w:tblPr>
      <w:tblGrid>
        <w:gridCol w:w="1287"/>
        <w:gridCol w:w="1132"/>
        <w:gridCol w:w="1135"/>
        <w:gridCol w:w="109"/>
        <w:gridCol w:w="109"/>
        <w:gridCol w:w="109"/>
        <w:gridCol w:w="211"/>
        <w:gridCol w:w="721"/>
        <w:gridCol w:w="109"/>
        <w:gridCol w:w="109"/>
        <w:gridCol w:w="109"/>
        <w:gridCol w:w="109"/>
        <w:gridCol w:w="276"/>
        <w:gridCol w:w="826"/>
        <w:gridCol w:w="144"/>
        <w:gridCol w:w="109"/>
        <w:gridCol w:w="109"/>
        <w:gridCol w:w="109"/>
        <w:gridCol w:w="220"/>
        <w:gridCol w:w="642"/>
        <w:gridCol w:w="114"/>
        <w:gridCol w:w="109"/>
        <w:gridCol w:w="109"/>
        <w:gridCol w:w="109"/>
        <w:gridCol w:w="377"/>
        <w:gridCol w:w="377"/>
        <w:gridCol w:w="536"/>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Amortization</w:t>
              <w:br/>
              <w:t>Period</w:t>
              <w:br/>
              <w:t>(Years)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tbl>
      <w:tblPr>
        <w:tblW w:w="9415" w:type="dxa"/>
        <w:jc w:val="center"/>
        <w:tblInd w:w="0" w:type="dxa"/>
        <w:tblLayout w:type="fixed"/>
        <w:tblCellMar>
          <w:top w:w="28" w:type="dxa"/>
          <w:left w:w="28" w:type="dxa"/>
          <w:bottom w:w="28" w:type="dxa"/>
          <w:right w:w="28" w:type="dxa"/>
        </w:tblCellMar>
      </w:tblPr>
      <w:tblGrid>
        <w:gridCol w:w="1287"/>
        <w:gridCol w:w="1132"/>
        <w:gridCol w:w="1135"/>
        <w:gridCol w:w="109"/>
        <w:gridCol w:w="109"/>
        <w:gridCol w:w="109"/>
        <w:gridCol w:w="211"/>
        <w:gridCol w:w="721"/>
        <w:gridCol w:w="109"/>
        <w:gridCol w:w="109"/>
        <w:gridCol w:w="109"/>
        <w:gridCol w:w="109"/>
        <w:gridCol w:w="276"/>
        <w:gridCol w:w="826"/>
        <w:gridCol w:w="144"/>
        <w:gridCol w:w="109"/>
        <w:gridCol w:w="109"/>
        <w:gridCol w:w="109"/>
        <w:gridCol w:w="220"/>
        <w:gridCol w:w="642"/>
        <w:gridCol w:w="114"/>
        <w:gridCol w:w="109"/>
        <w:gridCol w:w="109"/>
        <w:gridCol w:w="109"/>
        <w:gridCol w:w="377"/>
        <w:gridCol w:w="377"/>
        <w:gridCol w:w="536"/>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Amortization</w:t>
              <w:br/>
              <w:t>Period</w:t>
              <w:br/>
              <w:t>(years)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years ended December 31, 2024 and 2023 was $274 and $563, respectively. At December 31, 2024, estimated future amortization expense for intangible assets is as follows:</w:t>
      </w:r>
    </w:p>
    <w:tbl>
      <w:tblPr>
        <w:tblW w:w="2031" w:type="dxa"/>
        <w:jc w:val="center"/>
        <w:tblInd w:w="0" w:type="dxa"/>
        <w:tblLayout w:type="fixed"/>
        <w:tblCellMar>
          <w:top w:w="28" w:type="dxa"/>
          <w:left w:w="28" w:type="dxa"/>
          <w:bottom w:w="28" w:type="dxa"/>
          <w:right w:w="28" w:type="dxa"/>
        </w:tblCellMar>
      </w:tblPr>
      <w:tblGrid>
        <w:gridCol w:w="379"/>
        <w:gridCol w:w="334"/>
        <w:gridCol w:w="337"/>
        <w:gridCol w:w="211"/>
        <w:gridCol w:w="61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center"/>
        <w:rPr/>
      </w:pPr>
      <w:r>
        <w:rPr/>
      </w:r>
    </w:p>
    <w:tbl>
      <w:tblPr>
        <w:tblW w:w="7249" w:type="dxa"/>
        <w:jc w:val="center"/>
        <w:tblInd w:w="0" w:type="dxa"/>
        <w:tblLayout w:type="fixed"/>
        <w:tblCellMar>
          <w:top w:w="28" w:type="dxa"/>
          <w:left w:w="28" w:type="dxa"/>
          <w:bottom w:w="28" w:type="dxa"/>
          <w:right w:w="28" w:type="dxa"/>
        </w:tblCellMar>
      </w:tblPr>
      <w:tblGrid>
        <w:gridCol w:w="939"/>
        <w:gridCol w:w="825"/>
        <w:gridCol w:w="830"/>
        <w:gridCol w:w="211"/>
        <w:gridCol w:w="721"/>
        <w:gridCol w:w="109"/>
        <w:gridCol w:w="109"/>
        <w:gridCol w:w="109"/>
        <w:gridCol w:w="109"/>
        <w:gridCol w:w="422"/>
        <w:gridCol w:w="1234"/>
        <w:gridCol w:w="218"/>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December 31, 2024 and December 31, 2023:</w:t>
      </w:r>
    </w:p>
    <w:tbl>
      <w:tblPr>
        <w:tblW w:w="7837" w:type="dxa"/>
        <w:jc w:val="center"/>
        <w:tblInd w:w="0" w:type="dxa"/>
        <w:tblLayout w:type="fixed"/>
        <w:tblCellMar>
          <w:top w:w="28" w:type="dxa"/>
          <w:left w:w="28" w:type="dxa"/>
          <w:bottom w:w="28" w:type="dxa"/>
          <w:right w:w="28" w:type="dxa"/>
        </w:tblCellMar>
      </w:tblPr>
      <w:tblGrid>
        <w:gridCol w:w="1336"/>
        <w:gridCol w:w="1171"/>
        <w:gridCol w:w="1182"/>
        <w:gridCol w:w="109"/>
        <w:gridCol w:w="109"/>
        <w:gridCol w:w="109"/>
        <w:gridCol w:w="317"/>
        <w:gridCol w:w="1244"/>
        <w:gridCol w:w="164"/>
        <w:gridCol w:w="109"/>
        <w:gridCol w:w="109"/>
        <w:gridCol w:w="109"/>
        <w:gridCol w:w="313"/>
        <w:gridCol w:w="1228"/>
        <w:gridCol w:w="228"/>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OPAL Term Loan and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borrowings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principal maturities of debt are expected as follows, excluding any undrawn debt facilities as of the date of the consolidated balance sheet: </w:t>
      </w:r>
    </w:p>
    <w:tbl>
      <w:tblPr>
        <w:tblW w:w="6176" w:type="dxa"/>
        <w:jc w:val="center"/>
        <w:tblInd w:w="0" w:type="dxa"/>
        <w:tblLayout w:type="fixed"/>
        <w:tblCellMar>
          <w:top w:w="28" w:type="dxa"/>
          <w:left w:w="28" w:type="dxa"/>
          <w:bottom w:w="28" w:type="dxa"/>
          <w:right w:w="28" w:type="dxa"/>
        </w:tblCellMar>
      </w:tblPr>
      <w:tblGrid>
        <w:gridCol w:w="379"/>
        <w:gridCol w:w="334"/>
        <w:gridCol w:w="337"/>
        <w:gridCol w:w="109"/>
        <w:gridCol w:w="109"/>
        <w:gridCol w:w="109"/>
        <w:gridCol w:w="306"/>
        <w:gridCol w:w="1200"/>
        <w:gridCol w:w="158"/>
        <w:gridCol w:w="109"/>
        <w:gridCol w:w="109"/>
        <w:gridCol w:w="109"/>
        <w:gridCol w:w="261"/>
        <w:gridCol w:w="894"/>
        <w:gridCol w:w="135"/>
        <w:gridCol w:w="109"/>
        <w:gridCol w:w="109"/>
        <w:gridCol w:w="109"/>
        <w:gridCol w:w="211"/>
        <w:gridCol w:w="82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 The Credit Agreement provides for up to $450.0 million of initial and delayed draw term loans (with such delayed draw term loans available for up to 18 months after closing) and $50.0 million of revolving loans. The proceeds from the facility 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December 31, 2024, the Company is in compliance with the covenants under the OPAL Term Loan. Additionally, the OPAL Term Loan contains restrictions on distributions and additional indebtedness.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$1,250.</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outstanding loan balance (current and non-current) excluding deferred financing costs was $286,617 and $186,618, respectively. During the year ended December 31, 2024, the Company drew down $85,000 including $15,000 drawn under revolver loan. The Company utilized $29,088 of availability under the revolver loan. Of this amount, $14,088 was utilized for the issuance of letters of credit to support the operations of the Borrower and the Guarantors, while $15,000 was drawn to support working capital needs.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in financing fees. The amounts outstanding under the Sunoma Loan are secured by the assets of Sunoma. On July 19, 2022, Sunoma completed the conversion of the construction loan into a permanent loan and increased the commitment from $20,000 to $23,000. The maturity date is July 19, 2033. The outstanding loans under the Sunoma Loan Agreement bear interest at an annual fixed rates of 7.8%, and 8.2% per annum during the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outstanding loan balance (current and non-current) excluding deferred financing costs was $20,846 and $22,453,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of December 31, 2024 and December 31, 2023.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2021, the Company acquired the remaining ownership interests in Beacon and signed an unsecured, contingently convertible note (the "Convertible Note Payable") with ARCC Beacon LLC ARCC Beacon LLC, a Delaware limited liability company and affiliate of Ares Management Corporation, for a total aggregate amount for $50,000 at an interest rate of 8.00% per annum.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repaid the outstanding balance in full on September 1, 2023.</w:t>
      </w: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loan was fully repaid in April 2023.</w:t>
      </w: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2023, the Company repaid in full the remaining outstanding loan under this facility.</w:t>
      </w:r>
    </w:p>
    <w:p>
      <w:pPr>
        <w:pStyle w:val="TextBody"/>
        <w:bidi w:val="0"/>
        <w:spacing w:lineRule="auto" w:line="288" w:before="0" w:after="200"/>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effective interest rate including amortization of debt issuance costs on OPAL Term Loan was 8.8%.</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 interest rate on the Sunoma Loan was 8.7%.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weighted average effective interest rate including amortization of debt issuance costs on the Senior Secured Credit Facility was 5.1% including a margin plus SOFR. The debt was repaid in full in March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weighted average effective interest rate including amortization of debt issuance costs on OPAL Term Loan was 7.4%.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interest rate on the Sunoma Loan was 9.00%.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payment-in-kind interest rate on Convertible Note Payable was 8.00%. The loan was fully repaid in September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and financing expense, net for the year ended December 31, 2024 and 2023:</w:t>
      </w:r>
    </w:p>
    <w:tbl>
      <w:tblPr>
        <w:tblW w:w="6185" w:type="dxa"/>
        <w:jc w:val="center"/>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Payable mark-to-market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$3,212 and $5,475 of interest capitalized and recorded as part of Property, Plant and Equipment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0" w:after="200"/>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 contractual term of these arrangements may include options to extend/renew, terminate the agreement upon the occurrence of certain actions by a government authority or regulatory agency or terminate the agreement and purchase the underlying station for fair market value. We determine if an arrangement contains a lease at inception by assessing whether an identified asset exists and if the customer has the right to control the use of the identified asset. Accordingly, we have determined that the FPAs contain a lease component for the use of the Fueling Station in addition to the non-lease components related to providing CNG/RNG as well as providing all-inclusive maintenance and warranty services. The lease components of the FPAs are considered to be operating leases with variable consideration. The adjustments to payments are based on a variety of factors including changes in an index or rate (such as the market price of natural gas and utilities), the amount of fuel dispensed from the station, annual escalators, volume discounts and discounts for tax and environmental credits retained by the Company. The Company excludes taxes assessed by a government authority that are imposed on and concurrent with the FPA transaction collected by the Company from the customer. As per ASC 842</w:t>
      </w:r>
      <w:r>
        <w:rPr>
          <w:color w:val="000000"/>
        </w:rPr>
        <w:t xml:space="preserve">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the revenue is recognized in the period earned.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amount we expect to derive from the underlying asset following the end of the lease term based on the remaining economic life of the asset. Our FPAs generally do not include any residual value guarantees. The Company typically expects the underlying asset to have no residual value following the end of the lease term. Agreements which include renewal and termination options are included in the lease terms if we believe the options are "reasonably certain" to be exercised by the lessee or if an option to extend is controlled by the Company.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$8,146 and $3,943 related to the lease portion of the FPAs for the years ended December 31, 2024, and 2023, respectively. The Company allocated the contract consideration between the lease component and non-lease components on a relative standalone selling price basis. The Company utilized a combination of approaches to estimate the standalone selling prices when directly observable selling price was not available. These estimates were developed through the use of information available such as market conditions and prices, jurisdictional-specific facts, and internal estimates when market data is not available. In instances where there are no observable standalone selling prices for a component, significant judgement is required in determining the standalone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Renewable Power revenues are $970 and $1,016 related to the lease element of the PPAs for the years ended December 31, 2024 and 2023, respectively.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MD Digester ("MD") and VS Digester ("VS"). During the year ended December 31, 2024, the Company revised the commercial operation date for its leases for MD and VS which changed the lease term for both the leases. The Company treated this as a lease modification and increased its right-of-use asset and corresponding lease liability by $1,109 on its consolidated balance sheet as of December 31, 2024, using the incremental borrowing rate from 7.28% to 7.53%.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2023, OPAL entered into an Amended and Restated Lease Agreement with a counter party which amended the payment terms to include a minimum volume requirement that requires OPAL to pay lease payments of $1 per GGE of CNG pumped with annual minimum volumes for the lease term.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three site leases and the one office lease are operating 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 expense for the site leases is included as part of Cost of sales - RNG Fuel in its consolidated statements of operations for the years ended December 31, 2024 and 2023. The lease expense for the office lease is recorded as part Selling, general and administrative expenses in its consolidated statements of operations for the years ended December 31, 2024 and 2023.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approximately 108 vehicles in our FM3 and OPAL Fuel Station Services subsidiaries. The leases contain repurchase options at the end of the lease term and the sum total of the lease payments represents substantially the fair value of the asset.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December 31, 2024 and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3"/>
        <w:gridCol w:w="626"/>
        <w:gridCol w:w="628"/>
        <w:gridCol w:w="109"/>
        <w:gridCol w:w="109"/>
        <w:gridCol w:w="109"/>
        <w:gridCol w:w="1290"/>
        <w:gridCol w:w="1275"/>
        <w:gridCol w:w="1278"/>
        <w:gridCol w:w="109"/>
        <w:gridCol w:w="109"/>
        <w:gridCol w:w="109"/>
        <w:gridCol w:w="335"/>
        <w:gridCol w:w="1173"/>
        <w:gridCol w:w="173"/>
        <w:gridCol w:w="109"/>
        <w:gridCol w:w="109"/>
        <w:gridCol w:w="109"/>
        <w:gridCol w:w="331"/>
        <w:gridCol w:w="1155"/>
        <w:gridCol w:w="247"/>
      </w:tblGrid>
      <w:tr>
        <w:trPr/>
        <w:tc>
          <w:tcPr>
            <w:tcW w:w="7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12,731</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12,301</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Site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9,550</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9,048</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Total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22,281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21,349</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Sites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 lease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3,364</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2,036</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 lease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19,713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19,212</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23,077</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21,248</w:t>
            </w: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Operating and Finance lease right-of-use asset and corresponding lease liabilities represent the present value of lease payments for the remaining term of the lease. The discount rate used ranged from 3.59% to 8.01%.</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years ended December 31, 2024 and 2023:</w:t>
      </w:r>
    </w:p>
    <w:tbl>
      <w:tblPr>
        <w:tblW w:w="10205" w:type="dxa"/>
        <w:jc w:val="center"/>
        <w:tblInd w:w="0" w:type="dxa"/>
        <w:tblLayout w:type="fixed"/>
        <w:tblCellMar>
          <w:top w:w="28" w:type="dxa"/>
          <w:left w:w="28" w:type="dxa"/>
          <w:bottom w:w="28" w:type="dxa"/>
          <w:right w:w="28" w:type="dxa"/>
        </w:tblCellMar>
      </w:tblPr>
      <w:tblGrid>
        <w:gridCol w:w="1351"/>
        <w:gridCol w:w="1170"/>
        <w:gridCol w:w="1174"/>
        <w:gridCol w:w="109"/>
        <w:gridCol w:w="109"/>
        <w:gridCol w:w="109"/>
        <w:gridCol w:w="1220"/>
        <w:gridCol w:w="1193"/>
        <w:gridCol w:w="1196"/>
        <w:gridCol w:w="109"/>
        <w:gridCol w:w="109"/>
        <w:gridCol w:w="109"/>
        <w:gridCol w:w="211"/>
        <w:gridCol w:w="616"/>
        <w:gridCol w:w="109"/>
        <w:gridCol w:w="109"/>
        <w:gridCol w:w="109"/>
        <w:gridCol w:w="109"/>
        <w:gridCol w:w="211"/>
        <w:gridCol w:w="616"/>
        <w:gridCol w:w="157"/>
      </w:tblGrid>
      <w:tr>
        <w:trPr/>
        <w:tc>
          <w:tcPr>
            <w:tcW w:w="135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years ended December 31, 2024 and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center"/>
        <w:rPr/>
      </w:pPr>
      <w:r>
        <w:rPr/>
      </w:r>
    </w:p>
    <w:tbl>
      <w:tblPr>
        <w:tblW w:w="6236" w:type="dxa"/>
        <w:jc w:val="center"/>
        <w:tblInd w:w="0" w:type="dxa"/>
        <w:tblLayout w:type="fixed"/>
        <w:tblCellMar>
          <w:top w:w="28" w:type="dxa"/>
          <w:left w:w="28" w:type="dxa"/>
          <w:bottom w:w="28" w:type="dxa"/>
          <w:right w:w="28" w:type="dxa"/>
        </w:tblCellMar>
      </w:tblPr>
      <w:tblGrid>
        <w:gridCol w:w="1498"/>
        <w:gridCol w:w="1317"/>
        <w:gridCol w:w="1325"/>
        <w:gridCol w:w="109"/>
        <w:gridCol w:w="109"/>
        <w:gridCol w:w="109"/>
        <w:gridCol w:w="517"/>
        <w:gridCol w:w="517"/>
        <w:gridCol w:w="73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years</w:t>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December 31, 2024:</w:t>
      </w:r>
    </w:p>
    <w:tbl>
      <w:tblPr>
        <w:tblW w:w="10205" w:type="dxa"/>
        <w:jc w:val="center"/>
        <w:tblInd w:w="0" w:type="dxa"/>
        <w:tblLayout w:type="fixed"/>
        <w:tblCellMar>
          <w:top w:w="28" w:type="dxa"/>
          <w:left w:w="28" w:type="dxa"/>
          <w:bottom w:w="28" w:type="dxa"/>
          <w:right w:w="28" w:type="dxa"/>
        </w:tblCellMar>
      </w:tblPr>
      <w:tblGrid>
        <w:gridCol w:w="935"/>
        <w:gridCol w:w="692"/>
        <w:gridCol w:w="698"/>
        <w:gridCol w:w="109"/>
        <w:gridCol w:w="109"/>
        <w:gridCol w:w="109"/>
        <w:gridCol w:w="211"/>
        <w:gridCol w:w="721"/>
        <w:gridCol w:w="271"/>
        <w:gridCol w:w="109"/>
        <w:gridCol w:w="109"/>
        <w:gridCol w:w="109"/>
        <w:gridCol w:w="223"/>
        <w:gridCol w:w="493"/>
        <w:gridCol w:w="287"/>
        <w:gridCol w:w="109"/>
        <w:gridCol w:w="109"/>
        <w:gridCol w:w="109"/>
        <w:gridCol w:w="318"/>
        <w:gridCol w:w="930"/>
        <w:gridCol w:w="409"/>
        <w:gridCol w:w="109"/>
        <w:gridCol w:w="109"/>
        <w:gridCol w:w="109"/>
        <w:gridCol w:w="248"/>
        <w:gridCol w:w="724"/>
        <w:gridCol w:w="318"/>
        <w:gridCol w:w="109"/>
        <w:gridCol w:w="109"/>
        <w:gridCol w:w="109"/>
        <w:gridCol w:w="211"/>
        <w:gridCol w:w="721"/>
        <w:gridCol w:w="160"/>
      </w:tblGrid>
      <w:tr>
        <w:trPr/>
        <w:tc>
          <w:tcPr>
            <w:tcW w:w="93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Vehicle and Equipment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Site lease - Finance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0" w:after="20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swap contract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 entered into an interest rate swap for the notional amount of $30,000 of the OPAL Term Loan at a fixed interest rate of 3.354% with a maturity date of September 1, 2028 to hedge the SOFR-based floating interest rate.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swap was designated and qualified as a cash flow hedge. The Company uses interest rate swaps for the management of interest rate risk exposure, as an interest rate swap effectively converts a portion of the Company’s debt from a floating to a fixed rate. Credit risk is the failure of the counter party to perform under the terms of the swap contract. When the fair value of the swap contract is positive, the counter party owes the Company creating a credit risk. The interest rate swap is an agreement between the Company and counterparties in which the Company agrees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 By using commodity swaps, the Company exposes itself to credit risk. Credit risk is the failure of the counter party to perform under the terms of the swap contract. When the fair value of the swap contract is positive, the counter party owes the Company creating a credit risk.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the interest rate swap as an asset or liability on its balance sheet. This instrument is classified as Level 2 in the fair value hierarchy. The effective portion of the swap is recorded in accumulated other comprehensive income. A periodic settlement of $96 was recorded under Prepaid expense and other current assets for the year ended December 31, 2024. The Company expects to release $238 from the Other Comprehensive Income in the next twelve months.</w:t>
      </w:r>
    </w:p>
    <w:tbl>
      <w:tblPr>
        <w:tblW w:w="10205" w:type="dxa"/>
        <w:jc w:val="center"/>
        <w:tblInd w:w="0" w:type="dxa"/>
        <w:tblLayout w:type="fixed"/>
        <w:tblCellMar>
          <w:top w:w="28" w:type="dxa"/>
          <w:left w:w="28" w:type="dxa"/>
          <w:bottom w:w="28" w:type="dxa"/>
          <w:right w:w="28" w:type="dxa"/>
        </w:tblCellMar>
      </w:tblPr>
      <w:tblGrid>
        <w:gridCol w:w="1164"/>
        <w:gridCol w:w="1021"/>
        <w:gridCol w:w="1027"/>
        <w:gridCol w:w="322"/>
        <w:gridCol w:w="714"/>
        <w:gridCol w:w="169"/>
        <w:gridCol w:w="109"/>
        <w:gridCol w:w="109"/>
        <w:gridCol w:w="109"/>
        <w:gridCol w:w="350"/>
        <w:gridCol w:w="674"/>
        <w:gridCol w:w="182"/>
        <w:gridCol w:w="109"/>
        <w:gridCol w:w="109"/>
        <w:gridCol w:w="109"/>
        <w:gridCol w:w="1157"/>
        <w:gridCol w:w="1143"/>
        <w:gridCol w:w="1628"/>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portion of the interest rate swaps</w:t>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portion of the interest rate swaps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consolidated statement of operations were as follows:</w:t>
      </w:r>
    </w:p>
    <w:tbl>
      <w:tblPr>
        <w:tblW w:w="10205" w:type="dxa"/>
        <w:jc w:val="center"/>
        <w:tblInd w:w="0" w:type="dxa"/>
        <w:tblLayout w:type="fixed"/>
        <w:tblCellMar>
          <w:top w:w="28" w:type="dxa"/>
          <w:left w:w="28" w:type="dxa"/>
          <w:bottom w:w="28" w:type="dxa"/>
          <w:right w:w="28" w:type="dxa"/>
        </w:tblCellMar>
      </w:tblPr>
      <w:tblGrid>
        <w:gridCol w:w="1152"/>
        <w:gridCol w:w="1012"/>
        <w:gridCol w:w="1015"/>
        <w:gridCol w:w="211"/>
        <w:gridCol w:w="406"/>
        <w:gridCol w:w="109"/>
        <w:gridCol w:w="109"/>
        <w:gridCol w:w="109"/>
        <w:gridCol w:w="109"/>
        <w:gridCol w:w="211"/>
        <w:gridCol w:w="616"/>
        <w:gridCol w:w="109"/>
        <w:gridCol w:w="109"/>
        <w:gridCol w:w="109"/>
        <w:gridCol w:w="109"/>
        <w:gridCol w:w="1378"/>
        <w:gridCol w:w="1374"/>
        <w:gridCol w:w="1958"/>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(Loss) Gain Recognized in Operations from Derivatives</w:t>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Net periodic settlements - interest rate swaps </w:t>
            </w:r>
            <w:r>
              <w:rPr>
                <w:rFonts w:ascii="Times New Roman;sans-serif" w:hAnsi="Times New Roman;sans-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prior 2023 year includes $334 reclassification into earnings from our equity method investments and $812 reclassification on the gain on termination of interest rate swaps on May 30,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There were no amounts offset in the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the period-end dates. In addition, there were no collateral balances with counterparties outstanding as of the period-end dates.</w:t>
      </w:r>
    </w:p>
    <w:p>
      <w:pPr>
        <w:pStyle w:val="TextBody"/>
        <w:bidi w:val="0"/>
        <w:spacing w:lineRule="auto" w:line="288" w:before="0" w:after="20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and natural gas.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entered into an International Swaps and Derivatives Association ("ISDA") agreement with NextEra, a related party, in November 2019. Pursuant to the agreement, the Company entered into two additional commodity swaps in October 2022 for a period of one to two years with contract prices ranging between $65.50 and $68.50 per MWh. The swaps are expected to be settled by physical delivery on a monthly basis. The Company elected the normal purchase and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 xml:space="preserve">and hedging </w:t>
      </w:r>
      <w:r>
        <w:rPr>
          <w:rFonts w:ascii="Times New Roman;sans-serif" w:hAnsi="Times New Roman;sans-serif"/>
          <w:b w:val="false"/>
          <w:color w:val="000000"/>
          <w:sz w:val="20"/>
        </w:rPr>
        <w:t>("ASC 815"). The Company continues to meet the normal purchase normal sale exclusion for all the reporting periods presented.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entered into an electricity supply agreement with a utility provider for purchase of electricity to be used at one of our RNG facilities for a period of two years with a monthly notional quantity ranging between 1,875 and 2,145 kilo-watt hour ("kWh") and with fixed contract price $0.0599 per kWh. The forward contract is expected to be settled by physical delivery of electricity on a monthly basis. The Company elected the normal purchase normal sale exclusion and will not apply fair value accounting under ASC 815. The Company continues to meet the normal purchase normal sale exclusion for all the reporting periods presented.</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Company entered into a second confirmation under the ISDA to sell energy and related green attributes (i.e., RECs) to NextEra. Under this confirmation, the Company delivered a total of 5,000 MWh of power to NextEra on an hourly basis within the fourth quarter of 2024 between November and December 31, 2024. Sale of energy is accounted under ASC 815 with the contract settled as of December 31, 2024. The associated RECs will be delivered to NextEra on or before April 15, 2025 and are accounted for under ASC 606. </w:t>
      </w:r>
    </w:p>
    <w:p>
      <w:pPr>
        <w:pStyle w:val="TextBody"/>
        <w:bidi w:val="0"/>
        <w:spacing w:lineRule="auto" w:line="288" w:before="0" w:after="200"/>
        <w:ind w:left="0" w:right="0" w:firstLine="450"/>
        <w:jc w:val="both"/>
        <w:rPr/>
      </w:pPr>
      <w:r>
        <w:rPr>
          <w:rFonts w:ascii="Times New Roman;sans-serif" w:hAnsi="Times New Roman;sans-serif"/>
          <w:b w:val="false"/>
          <w:color w:val="242424"/>
          <w:sz w:val="20"/>
        </w:rPr>
        <w:t>In</w:t>
      </w:r>
      <w:r>
        <w:rPr>
          <w:color w:val="000000"/>
        </w:rPr>
        <w:t xml:space="preserve"> </w:t>
      </w:r>
      <w:r>
        <w:rPr>
          <w:rFonts w:ascii="Times New Roman;sans-serif" w:hAnsi="Times New Roman;sans-serif"/>
          <w:b w:val="false"/>
          <w:color w:val="000000"/>
          <w:sz w:val="20"/>
        </w:rPr>
        <w:t xml:space="preserve">December 2024, the Company entered into an power purchase and sale agreement with a NextEra for sale of electricity with a fixed quantity of 30,660 MWH over a one-year term, with a contract price of $43.60 per MWH. The forward contract is expected to be settled by physical delivery of electricity on a monthly basis. The Company elected the normal purchase normal sale exclusion and will not apply fair value accounting under ASC 815. </w:t>
      </w:r>
    </w:p>
    <w:p>
      <w:pPr>
        <w:pStyle w:val="TextBody"/>
        <w:bidi w:val="0"/>
        <w:spacing w:lineRule="auto" w:line="288" w:before="0" w:after="200"/>
        <w:ind w:left="0" w:right="0" w:firstLine="450"/>
        <w:jc w:val="both"/>
        <w:rPr/>
      </w:pPr>
      <w:r>
        <w:rPr>
          <w:rFonts w:ascii="Times New Roman;sans-serif" w:hAnsi="Times New Roman;sans-serif"/>
          <w:b w:val="false"/>
          <w:color w:val="242424"/>
          <w:sz w:val="20"/>
        </w:rPr>
        <w:t>The Company entered into an ISDA agreement with NextEra, a related party in November 2022. Pursuant to the agreement, i</w:t>
      </w:r>
      <w:r>
        <w:rPr>
          <w:rFonts w:ascii="Times New Roman;sans-serif" w:hAnsi="Times New Roman;sans-serif"/>
          <w:b w:val="false"/>
          <w:color w:val="000000"/>
          <w:sz w:val="20"/>
        </w:rPr>
        <w:t>n December 2024 the Company entered in 15-month pay variable receive fixed cash settled electricity commodity swap with NextEra. The Company will receive Fixed Price $56.15 per MWh and pay Floating Price. Total notional quantity of the contract is 10,919 MWH. The Company applied fair value accounting under ASC 815 for this transaction.</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ISDA agreement with JPMorgan Chase Bank, National Association, New York Branch (“JPMorgan”) in September 2024. Pursuant to the agreement, in January 2025 the Company entered in two 17-month pay variable receive fixed cash settled natural gas commodity swaps with fixed price of $3.875 per MMBTU and total notional quantity of 850,000 MMBTUs each. The Company will apply fair value accounting under ASC 815 for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consolidated statements of operations for the years ended December 31, 2024 and 2023:</w:t>
      </w:r>
    </w:p>
    <w:tbl>
      <w:tblPr>
        <w:tblW w:w="9383" w:type="dxa"/>
        <w:jc w:val="center"/>
        <w:tblInd w:w="0" w:type="dxa"/>
        <w:tblLayout w:type="fixed"/>
        <w:tblCellMar>
          <w:top w:w="28" w:type="dxa"/>
          <w:left w:w="28" w:type="dxa"/>
          <w:bottom w:w="28" w:type="dxa"/>
          <w:right w:w="28" w:type="dxa"/>
        </w:tblCellMar>
      </w:tblPr>
      <w:tblGrid>
        <w:gridCol w:w="1568"/>
        <w:gridCol w:w="1381"/>
        <w:gridCol w:w="1385"/>
        <w:gridCol w:w="984"/>
        <w:gridCol w:w="984"/>
        <w:gridCol w:w="987"/>
        <w:gridCol w:w="211"/>
        <w:gridCol w:w="466"/>
        <w:gridCol w:w="109"/>
        <w:gridCol w:w="109"/>
        <w:gridCol w:w="109"/>
        <w:gridCol w:w="109"/>
        <w:gridCol w:w="211"/>
        <w:gridCol w:w="61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29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of (loss) gain recognized</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2955" w:type="dxa"/>
            <w:gridSpan w:val="3"/>
            <w:vMerge w:val="continue"/>
            <w:tcBorders/>
            <w:tcMar>
              <w:top w:w="0" w:type="dxa"/>
              <w:left w:w="0" w:type="dxa"/>
              <w:bottom w:w="0" w:type="dxa"/>
              <w:right w:w="0" w:type="dxa"/>
            </w:tcMar>
            <w:vAlign w:val="center"/>
          </w:tcPr>
          <w:p>
            <w:pPr>
              <w:pStyle w:val="Normal"/>
              <w:bidi w:val="0"/>
              <w:jc w:val="left"/>
              <w:rPr/>
            </w:pPr>
            <w:r>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realized gain</w:t>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Renewable Power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unrealized gain (loss)</w:t>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Renewable Power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and unrealized gain</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Renewable Power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December 31, 2024 and December 31, 2023:</w:t>
      </w:r>
    </w:p>
    <w:tbl>
      <w:tblPr>
        <w:tblW w:w="10205" w:type="dxa"/>
        <w:jc w:val="center"/>
        <w:tblInd w:w="0" w:type="dxa"/>
        <w:tblLayout w:type="fixed"/>
        <w:tblCellMar>
          <w:top w:w="28" w:type="dxa"/>
          <w:left w:w="28" w:type="dxa"/>
          <w:bottom w:w="28" w:type="dxa"/>
          <w:right w:w="28" w:type="dxa"/>
        </w:tblCellMar>
      </w:tblPr>
      <w:tblGrid>
        <w:gridCol w:w="1271"/>
        <w:gridCol w:w="1115"/>
        <w:gridCol w:w="1122"/>
        <w:gridCol w:w="414"/>
        <w:gridCol w:w="798"/>
        <w:gridCol w:w="215"/>
        <w:gridCol w:w="109"/>
        <w:gridCol w:w="109"/>
        <w:gridCol w:w="109"/>
        <w:gridCol w:w="381"/>
        <w:gridCol w:w="845"/>
        <w:gridCol w:w="200"/>
        <w:gridCol w:w="109"/>
        <w:gridCol w:w="109"/>
        <w:gridCol w:w="109"/>
        <w:gridCol w:w="930"/>
        <w:gridCol w:w="930"/>
        <w:gridCol w:w="1330"/>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 - current portion of unrealized loss on commodity swaps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non - current portion</w:t>
            </w:r>
          </w:p>
        </w:tc>
      </w:tr>
    </w:tbl>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2022, the Company recorded derivative liabilities for the outstanding put option to Meteora Capital Partners and its affiliates "Meteora", the Sponsor Earnout Awards and the OPAL Earnout Awards. The put option with Meteora expired in January 2023. The change in fair value on Sponsor Earnout and OPAL Earnout Awards is recorded as change in fair value of derivative instruments, net in the consolidated statement of operations for the years ended December 31, 2024 and 2023.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consolidated statements of operations for the years ended December 31, 2024 and 2023:</w:t>
      </w:r>
    </w:p>
    <w:tbl>
      <w:tblPr>
        <w:tblW w:w="10205" w:type="dxa"/>
        <w:jc w:val="left"/>
        <w:tblInd w:w="0" w:type="dxa"/>
        <w:tblLayout w:type="fixed"/>
        <w:tblCellMar>
          <w:top w:w="28" w:type="dxa"/>
          <w:left w:w="28" w:type="dxa"/>
          <w:bottom w:w="28" w:type="dxa"/>
          <w:right w:w="28" w:type="dxa"/>
        </w:tblCellMar>
      </w:tblPr>
      <w:tblGrid>
        <w:gridCol w:w="700"/>
        <w:gridCol w:w="615"/>
        <w:gridCol w:w="616"/>
        <w:gridCol w:w="109"/>
        <w:gridCol w:w="109"/>
        <w:gridCol w:w="109"/>
        <w:gridCol w:w="289"/>
        <w:gridCol w:w="845"/>
        <w:gridCol w:w="149"/>
        <w:gridCol w:w="149"/>
        <w:gridCol w:w="149"/>
        <w:gridCol w:w="149"/>
        <w:gridCol w:w="289"/>
        <w:gridCol w:w="845"/>
        <w:gridCol w:w="149"/>
        <w:gridCol w:w="109"/>
        <w:gridCol w:w="109"/>
        <w:gridCol w:w="109"/>
        <w:gridCol w:w="1361"/>
        <w:gridCol w:w="1342"/>
        <w:gridCol w:w="190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0" w:after="20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which are considered Level 2 in the fair value hierarchy, of $297,624 and $196,542 as of December 31, 2024 and December 31, 2023, respectively, approximates its fair value because our interest rate is variable and reflects current market rates.</w:t>
      </w:r>
    </w:p>
    <w:p>
      <w:pPr>
        <w:pStyle w:val="TextBody"/>
        <w:bidi w:val="0"/>
        <w:spacing w:lineRule="auto" w:line="288" w:before="0" w:after="200"/>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December 31, 2024, was determined using a Monte Carlo valuation model with a distribution of potential outcomes on a daily basis over the 2.56 years remaining in the vesting window. Assumptions used in the valuation are as follows: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Current stock price — The Company's closing stock price of $3.39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Expected volatility —50% based on historical and implied volatilities of selected industry peers deemed to be comparable to our business corresponding to the expected term of the awards;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Risk-free interest rate — 4.26% based on the U.S. Treasury yield curve in effect at the time of issuance for zero-coupon U.S. Treasury notes with maturities corresponding to the expected 2.56 year term of the earnout period;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Dividend yield - zero.</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December 31, 2024 and December 31, 2023 was determined to be zero as their expiration date is December 31, 2024 and the Company does not expect to achieve the earn-out target.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Convertible note receivable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July, 2024, the Company purchased a convertible note pursuant to which the Company has the right to convert the note into shares of common stock of the investee. The note has a term of 12 months from the closing date, unless paid or converted earlier in accordance with the terms of the agreement. The convertible note receivable is classified as available-for-sale. The Company elected to measure the convertible note receivable initially and subsequently at fair value with changes reported in earnings to accurately reflect current market expectations and conditions. The convertible note receivable is accounted for based on “Level 3” inputs, which consist of unobservable inputs and reflect management’s estimates of assumptions that market participants would use in pricing the asset. The Company reported the aggregate fair value as a separate line item in the consolidated balance sheets. Changes in fair value, including interest income, are presented under the Other Income line item in the consolidated statement of operations. As of December 31,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fair value of the convertible note equaled to $760. The Company estimates the fair value of its convertible note receivable using a weighted probability model which considers two potential settlement scenarios over the term of the note, discounted to the reporting date. The valuation of the conversion option is determined using option pricing model, which incorporate key assumptions and estimates, including expected volatility, the anticipated term of the instrument, and applicable risk-free interest rate.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December 31, 2024.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December 31, 2024 and December 31, 2023, set forth by level, within the fair value hierarchy:</w:t>
      </w:r>
    </w:p>
    <w:tbl>
      <w:tblPr>
        <w:tblW w:w="10205" w:type="dxa"/>
        <w:jc w:val="center"/>
        <w:tblInd w:w="0" w:type="dxa"/>
        <w:tblLayout w:type="fixed"/>
        <w:tblCellMar>
          <w:top w:w="28" w:type="dxa"/>
          <w:left w:w="28" w:type="dxa"/>
          <w:bottom w:w="28" w:type="dxa"/>
          <w:right w:w="28" w:type="dxa"/>
        </w:tblCellMar>
      </w:tblPr>
      <w:tblGrid>
        <w:gridCol w:w="2082"/>
        <w:gridCol w:w="1827"/>
        <w:gridCol w:w="1832"/>
        <w:gridCol w:w="246"/>
        <w:gridCol w:w="475"/>
        <w:gridCol w:w="109"/>
        <w:gridCol w:w="109"/>
        <w:gridCol w:w="109"/>
        <w:gridCol w:w="109"/>
        <w:gridCol w:w="212"/>
        <w:gridCol w:w="410"/>
        <w:gridCol w:w="109"/>
        <w:gridCol w:w="109"/>
        <w:gridCol w:w="109"/>
        <w:gridCol w:w="109"/>
        <w:gridCol w:w="211"/>
        <w:gridCol w:w="616"/>
        <w:gridCol w:w="109"/>
        <w:gridCol w:w="109"/>
        <w:gridCol w:w="109"/>
        <w:gridCol w:w="109"/>
        <w:gridCol w:w="211"/>
        <w:gridCol w:w="616"/>
        <w:gridCol w:w="159"/>
      </w:tblGrid>
      <w:tr>
        <w:trPr/>
        <w:tc>
          <w:tcPr>
            <w:tcW w:w="208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2024</w:t>
            </w:r>
          </w:p>
        </w:tc>
      </w:tr>
      <w:tr>
        <w:trPr/>
        <w:tc>
          <w:tcPr>
            <w:tcW w:w="57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0"/>
              <w:jc w:val="left"/>
              <w:rPr/>
            </w:pPr>
            <w:r>
              <w:rPr>
                <w:rFonts w:ascii="Times New Roman;sans-serif" w:hAnsi="Times New Roman;sans-serif"/>
                <w:b w:val="false"/>
                <w:color w:val="000000"/>
                <w:sz w:val="20"/>
              </w:rPr>
              <w:t xml:space="preserve">Cash and cash equivalents and restricted cash - current and non-current </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82"/>
        <w:gridCol w:w="1827"/>
        <w:gridCol w:w="1832"/>
        <w:gridCol w:w="246"/>
        <w:gridCol w:w="475"/>
        <w:gridCol w:w="109"/>
        <w:gridCol w:w="109"/>
        <w:gridCol w:w="109"/>
        <w:gridCol w:w="109"/>
        <w:gridCol w:w="212"/>
        <w:gridCol w:w="410"/>
        <w:gridCol w:w="109"/>
        <w:gridCol w:w="109"/>
        <w:gridCol w:w="109"/>
        <w:gridCol w:w="109"/>
        <w:gridCol w:w="211"/>
        <w:gridCol w:w="616"/>
        <w:gridCol w:w="109"/>
        <w:gridCol w:w="109"/>
        <w:gridCol w:w="109"/>
        <w:gridCol w:w="109"/>
        <w:gridCol w:w="211"/>
        <w:gridCol w:w="616"/>
        <w:gridCol w:w="159"/>
      </w:tblGrid>
      <w:tr>
        <w:trPr/>
        <w:tc>
          <w:tcPr>
            <w:tcW w:w="208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r>
      <w:tr>
        <w:trPr/>
        <w:tc>
          <w:tcPr>
            <w:tcW w:w="57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Cash and cash equivalents and restricted cash - current and non-current </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balances in money market accounts of $19,786 and $31,965, respectively as of December 31, 2024 and December 31, 2023.</w:t>
      </w:r>
    </w:p>
    <w:p>
      <w:pPr>
        <w:pStyle w:val="TextBody"/>
        <w:bidi w:val="0"/>
        <w:spacing w:lineRule="auto" w:line="288" w:before="0" w:after="200"/>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year ended December 31, 2024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Fortistar and other affiliates, subsidiaries and entities under common control with Fortistar or NextEra.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RNG Investments, LLC, a Delaware limited liability company and an affiliate of Fortistar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$2,416 and paid-in-kind preferred dividend of $2,590 for the years ended December 31, 2024 and 2023,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 xml:space="preserve">for additional information. As of December 31, 2024 and 2023, there was accrued preferred dividends payable of $— and $604 respectively.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$8,054 and paid-in-kind preferred dividend of $8,421 for the years ended December 31, 2024 and 2023 respectively. As of December 31, 2024 and 2023, there was accrued preferred dividends payable of $0 and $2,013,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 Company earned net revenues after discount and fees of $68,416 under this contract which was recorded as part of Revenues - RNG Fuel and revenues of $38,841, under this contract which was recorded as part of Revenues - Fuel Station Services.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For the year ended December 31, 2023, the Company earned net revenues after discount and fees of $56,069 under this contract which was recorded as part of Revenues - RNG Fuel and revenues of $28,468, under this contract which was recorded as part of Revenues -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 and REC sales contracts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entered into commodity swap contracts on a periodic basis. As of December 31, 2024 and 2023, there were one and three commodity swap contracts outstanding respectively.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Instruments and Fair Value Measurements</w:t>
      </w:r>
      <w:r>
        <w:rPr>
          <w:color w:val="000000"/>
        </w:rPr>
        <w:t xml:space="preserve"> </w:t>
      </w:r>
      <w:r>
        <w:rPr>
          <w:rFonts w:ascii="Times New Roman;sans-serif" w:hAnsi="Times New Roman;sans-serif"/>
          <w:b w:val="false"/>
          <w:color w:val="000000"/>
          <w:sz w:val="20"/>
        </w:rPr>
        <w:t>for additional information. Additionally, the Company has contracts to sell RECs and capacity to NextEra on multiple Renewable Power facilities at market price. The Company recorded $6,912 and $6,614 as revenues earned under these contracts during the years ended December 31, 2024 and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entered into an ISDA confirmation to sell specified capacity attributes (5 MW/month) to NextEra for one year period from January to December 2025. The confirmation is expected to be settled by physical delivery on a monthly basis and is accounted for under ASC 606.</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$(255) and $(1,212) as its share of net (loss) income for the years ended December 31, 2024 and 2023. </w:t>
      </w:r>
    </w:p>
    <w:p>
      <w:pPr>
        <w:pStyle w:val="TextBody"/>
        <w:bidi w:val="0"/>
        <w:spacing w:lineRule="auto" w:line="288" w:before="0" w:after="20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contracts with equity method investment entities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wholly owned subsidiary, OPAL Fuel Station Services contracted with Pine Bend, Noble Road, Biotown, Emerald and Sapphire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consolidated financial statements.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these contracts each runs for a term of 10 years. The Company receives non-cash consideration in the form of RINs or LCFSs for providing these services and recognizes the RINs or LCFSs received as inventory based on their estimated fair value at contract inception. For the years ended December 31, 2024 and 2023, the Company earned environmental processing fees of $9,677 and $2,615, net of intersegment elimination, under this agreement which are included in Fuel Station Services revenues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automatically renews annually on January 1 of each year, unless either party chooses to terminate with a written notice of 180 days. Termination may also occur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2024 and 2023, there have been no material services provided by the Company's employees to Fortistar.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initial term of the agreement was for thirty-six months and renews automatically on an annual basis unless the termination occurs earlier due to dissolution of the Company or it is terminated by the Company’s secured lenders in certain circumstances.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2023, Ms. Ann Anthony gave notice of her intention to resign as Chief Financial Officer ("CFO") of the Company. 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 on a cumulative basis. The interim services agreement is expected to be terminated in second quarter of 2025 in connection with Opal's retention of Mr. Kazi as CFO in February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tbl>
      <w:tblPr>
        <w:tblW w:w="6428" w:type="dxa"/>
        <w:jc w:val="center"/>
        <w:tblInd w:w="0" w:type="dxa"/>
        <w:tblLayout w:type="fixed"/>
        <w:tblCellMar>
          <w:top w:w="28" w:type="dxa"/>
          <w:left w:w="28" w:type="dxa"/>
          <w:bottom w:w="28" w:type="dxa"/>
          <w:right w:w="28" w:type="dxa"/>
        </w:tblCellMar>
      </w:tblPr>
      <w:tblGrid>
        <w:gridCol w:w="1044"/>
        <w:gridCol w:w="917"/>
        <w:gridCol w:w="919"/>
        <w:gridCol w:w="109"/>
        <w:gridCol w:w="109"/>
        <w:gridCol w:w="109"/>
        <w:gridCol w:w="303"/>
        <w:gridCol w:w="885"/>
        <w:gridCol w:w="156"/>
        <w:gridCol w:w="156"/>
        <w:gridCol w:w="156"/>
        <w:gridCol w:w="156"/>
        <w:gridCol w:w="303"/>
        <w:gridCol w:w="885"/>
        <w:gridCol w:w="221"/>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480"/>
        <w:jc w:val="both"/>
        <w:rPr/>
      </w:pPr>
      <w:r>
        <w:rPr/>
      </w:r>
    </w:p>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various balances for related parties included in our consolidated balance sheets as of December 31,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before="0" w:after="0"/>
        <w:jc w:val="center"/>
        <w:rPr/>
      </w:pPr>
      <w:r>
        <w:rPr/>
      </w:r>
    </w:p>
    <w:tbl>
      <w:tblPr>
        <w:tblW w:w="9843" w:type="dxa"/>
        <w:jc w:val="center"/>
        <w:tblInd w:w="0" w:type="dxa"/>
        <w:tblLayout w:type="fixed"/>
        <w:tblCellMar>
          <w:top w:w="28" w:type="dxa"/>
          <w:left w:w="28" w:type="dxa"/>
          <w:bottom w:w="28" w:type="dxa"/>
          <w:right w:w="28" w:type="dxa"/>
        </w:tblCellMar>
      </w:tblPr>
      <w:tblGrid>
        <w:gridCol w:w="1397"/>
        <w:gridCol w:w="1232"/>
        <w:gridCol w:w="1241"/>
        <w:gridCol w:w="109"/>
        <w:gridCol w:w="109"/>
        <w:gridCol w:w="109"/>
        <w:gridCol w:w="954"/>
        <w:gridCol w:w="954"/>
        <w:gridCol w:w="957"/>
        <w:gridCol w:w="109"/>
        <w:gridCol w:w="109"/>
        <w:gridCol w:w="109"/>
        <w:gridCol w:w="211"/>
        <w:gridCol w:w="721"/>
        <w:gridCol w:w="109"/>
        <w:gridCol w:w="109"/>
        <w:gridCol w:w="109"/>
        <w:gridCol w:w="109"/>
        <w:gridCol w:w="211"/>
        <w:gridCol w:w="72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AR - NextEra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equity method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 - Fortistar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 - Costar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three operating segments based on the characteristics of its renewable power generation, dispensing portfolio, production and sale of renewable gas, and nature of other products and services.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reportable segments disclosure is aligned with the information and internal reporting provided to our Chief Operating Decision Makers (“CODM”). Our Co-CEOs, Adam Comora and Jon Maurer, jointly fulfill the role of the CODM. The CODM evaluates performance based on segment net income. For all of the segments, the CODM uses segment net income in the annual budgeting and monthly forecasting process. The CODM considers budget-to-current forecast and prior forecast-to-current forecast variances for segment net income on a monthly basis for evaluating performance of each segment and making decisions about allocating capital and other resources to each segment.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operating segments are RNG Fuel, Fuel Station Services and Renewable Power. The Company has determined that each of the three operating segments meets the characteristics of a reportable segment under U.S. GAAP. </w:t>
      </w:r>
    </w:p>
    <w:p>
      <w:pPr>
        <w:pStyle w:val="TextBody"/>
        <w:bidi w:val="0"/>
        <w:spacing w:lineRule="auto" w:line="288" w:before="0" w:after="20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 xml:space="preserve">The RNG Fuel segment relates to all RNG supply directly related to the generation and sale of brown gas and environmental credits, and consists of: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lineRule="auto" w:line="288" w:before="0" w:after="20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and 2023, the Company has accounted for its interests in Pine Bend, Noble Road, GREP, Paragon and SJI under the equity method of accounting and the results of operations of Beacon, New River, Polk County, Cottonwood, Central Valley, Prince William and Sunoma were consolidated in its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period between May 30, 2023 and December 31, 2024. </w:t>
      </w:r>
    </w:p>
    <w:p>
      <w:pPr>
        <w:pStyle w:val="TextBody"/>
        <w:bidi w:val="0"/>
        <w:spacing w:lineRule="auto" w:line="288" w:before="0" w:after="20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Central Valley, Cottonwood and projects included in SJI Joint Venture (Atlantic and Burlington) are not operational. Prince William commenced operations during the second quarter of 2024, Sapphire commenced operations during the third quarter of 2024, Polk commenced operations during the fourth quarter of 2024. </w:t>
      </w:r>
    </w:p>
    <w:p>
      <w:pPr>
        <w:pStyle w:val="TextBody"/>
        <w:bidi w:val="0"/>
        <w:spacing w:lineRule="auto" w:line="288" w:before="0" w:after="20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 xml:space="preserve">Through its Fuel Station Services segment, the Company provides construction and maintenance services to third-party owners of vehicle Fueling Stations and performs fuel dispensing activities including generation and minting of environmental credits. This segment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and a manufacturing division that builds Compact Fueling Systems and Defueling systems.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 </w:t>
      </w:r>
    </w:p>
    <w:p>
      <w:pPr>
        <w:pStyle w:val="TextBody"/>
        <w:bidi w:val="0"/>
        <w:spacing w:lineRule="auto" w:line="288" w:before="0" w:after="20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 xml:space="preserve">The Renewable Power portfolio segment generates renewable power and associated environmental credits through methane-rich landfills which is then sold to public utilities throughout the United States. The Renewable Power portfolio operates primarily in Southern California. </w:t>
      </w:r>
    </w:p>
    <w:p>
      <w:pPr>
        <w:pStyle w:val="TextBody"/>
        <w:bidi w:val="0"/>
        <w:spacing w:lineRule="auto" w:line="288" w:before="0" w:after="20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 xml:space="preserve">Consists of activities managed and maintained at the Company corporate level primarily including but not limited to: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Executive, accounting, finance, sales activities such as: payroll, stock compensation expense, travel and other related costs.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 xml:space="preserve">Insurance, professional fees (audit, tax, legal etc.).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 the financial data used to calculate each reportable segment’s net income (loss) and includes reconciliations to Opal’s consolidated revenue and consolidated net income (loss) for the year ended December 31, 2024 :</w:t>
      </w:r>
    </w:p>
    <w:p>
      <w:pPr>
        <w:pStyle w:val="TextBody"/>
        <w:bidi w:val="0"/>
        <w:spacing w:before="0" w:after="200"/>
        <w:ind w:left="0" w:right="0" w:firstLine="36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4"/>
        <w:gridCol w:w="722"/>
        <w:gridCol w:w="723"/>
        <w:gridCol w:w="109"/>
        <w:gridCol w:w="109"/>
        <w:gridCol w:w="109"/>
        <w:gridCol w:w="211"/>
        <w:gridCol w:w="721"/>
        <w:gridCol w:w="109"/>
        <w:gridCol w:w="109"/>
        <w:gridCol w:w="109"/>
        <w:gridCol w:w="109"/>
        <w:gridCol w:w="258"/>
        <w:gridCol w:w="1010"/>
        <w:gridCol w:w="133"/>
        <w:gridCol w:w="109"/>
        <w:gridCol w:w="109"/>
        <w:gridCol w:w="109"/>
        <w:gridCol w:w="251"/>
        <w:gridCol w:w="858"/>
        <w:gridCol w:w="129"/>
        <w:gridCol w:w="109"/>
        <w:gridCol w:w="109"/>
        <w:gridCol w:w="109"/>
        <w:gridCol w:w="211"/>
        <w:gridCol w:w="757"/>
        <w:gridCol w:w="109"/>
        <w:gridCol w:w="109"/>
        <w:gridCol w:w="109"/>
        <w:gridCol w:w="109"/>
        <w:gridCol w:w="109"/>
        <w:gridCol w:w="211"/>
        <w:gridCol w:w="826"/>
        <w:gridCol w:w="158"/>
      </w:tblGrid>
      <w:tr>
        <w:trPr/>
        <w:tc>
          <w:tcPr>
            <w:tcW w:w="106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i/>
                <w:color w:val="000000"/>
                <w:sz w:val="20"/>
              </w:rPr>
            </w:pPr>
            <w:r>
              <w:rPr>
                <w:rFonts w:ascii="Times New Roman;sans-serif" w:hAnsi="Times New Roman;sans-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form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Segment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Consolidated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ind w:left="0" w:right="0" w:firstLine="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Fuel Station Services - gain on RNG dispensing, and gain on asset disposal</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Renewable Power - asset impairment</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Corporate - information technology expense, legal and professional advisor fees, and other overhead expenses</w:t>
      </w:r>
    </w:p>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other financial data for the reportable segments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50"/>
        <w:gridCol w:w="798"/>
        <w:gridCol w:w="799"/>
        <w:gridCol w:w="109"/>
        <w:gridCol w:w="109"/>
        <w:gridCol w:w="109"/>
        <w:gridCol w:w="211"/>
        <w:gridCol w:w="826"/>
        <w:gridCol w:w="109"/>
        <w:gridCol w:w="109"/>
        <w:gridCol w:w="109"/>
        <w:gridCol w:w="109"/>
        <w:gridCol w:w="442"/>
        <w:gridCol w:w="694"/>
        <w:gridCol w:w="188"/>
        <w:gridCol w:w="109"/>
        <w:gridCol w:w="109"/>
        <w:gridCol w:w="109"/>
        <w:gridCol w:w="364"/>
        <w:gridCol w:w="702"/>
        <w:gridCol w:w="190"/>
        <w:gridCol w:w="109"/>
        <w:gridCol w:w="109"/>
        <w:gridCol w:w="109"/>
        <w:gridCol w:w="288"/>
        <w:gridCol w:w="554"/>
        <w:gridCol w:w="149"/>
        <w:gridCol w:w="109"/>
        <w:gridCol w:w="109"/>
        <w:gridCol w:w="109"/>
        <w:gridCol w:w="109"/>
        <w:gridCol w:w="211"/>
        <w:gridCol w:w="826"/>
        <w:gridCol w:w="160"/>
      </w:tblGrid>
      <w:tr>
        <w:trPr/>
        <w:tc>
          <w:tcPr>
            <w:tcW w:w="9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 the financial data used to calculate each reportable segment’s net income (loss) and includes reconciliations to Opal’s consolidated revenue and consolidated net income (loss) for the year ended December 31, 2023 :</w:t>
      </w:r>
    </w:p>
    <w:tbl>
      <w:tblPr>
        <w:tblW w:w="10205" w:type="dxa"/>
        <w:jc w:val="center"/>
        <w:tblInd w:w="0" w:type="dxa"/>
        <w:tblLayout w:type="fixed"/>
        <w:tblCellMar>
          <w:top w:w="28" w:type="dxa"/>
          <w:left w:w="28" w:type="dxa"/>
          <w:bottom w:w="28" w:type="dxa"/>
          <w:right w:w="28" w:type="dxa"/>
        </w:tblCellMar>
      </w:tblPr>
      <w:tblGrid>
        <w:gridCol w:w="956"/>
        <w:gridCol w:w="659"/>
        <w:gridCol w:w="660"/>
        <w:gridCol w:w="109"/>
        <w:gridCol w:w="109"/>
        <w:gridCol w:w="109"/>
        <w:gridCol w:w="211"/>
        <w:gridCol w:w="721"/>
        <w:gridCol w:w="109"/>
        <w:gridCol w:w="109"/>
        <w:gridCol w:w="109"/>
        <w:gridCol w:w="109"/>
        <w:gridCol w:w="279"/>
        <w:gridCol w:w="1095"/>
        <w:gridCol w:w="144"/>
        <w:gridCol w:w="109"/>
        <w:gridCol w:w="109"/>
        <w:gridCol w:w="109"/>
        <w:gridCol w:w="275"/>
        <w:gridCol w:w="942"/>
        <w:gridCol w:w="143"/>
        <w:gridCol w:w="109"/>
        <w:gridCol w:w="109"/>
        <w:gridCol w:w="109"/>
        <w:gridCol w:w="217"/>
        <w:gridCol w:w="740"/>
        <w:gridCol w:w="112"/>
        <w:gridCol w:w="109"/>
        <w:gridCol w:w="109"/>
        <w:gridCol w:w="109"/>
        <w:gridCol w:w="109"/>
        <w:gridCol w:w="211"/>
        <w:gridCol w:w="826"/>
        <w:gridCol w:w="161"/>
      </w:tblGrid>
      <w:tr>
        <w:trPr/>
        <w:tc>
          <w:tcPr>
            <w:tcW w:w="9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Fuel Station Services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Renewable Power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Corporate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Consolidated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ind w:left="0" w:right="0" w:firstLine="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Fuel Station Services - gain on recognition of RINs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Corporate - gain on mark-to-market for OPAL and Sponsor Earnout Awards, loss on extinguishment of debt, insurance other overhead expenses</w:t>
      </w:r>
    </w:p>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other financial data for the reportable segments:</w:t>
      </w:r>
    </w:p>
    <w:tbl>
      <w:tblPr>
        <w:tblW w:w="10205" w:type="dxa"/>
        <w:jc w:val="center"/>
        <w:tblInd w:w="0" w:type="dxa"/>
        <w:tblLayout w:type="fixed"/>
        <w:tblCellMar>
          <w:top w:w="28" w:type="dxa"/>
          <w:left w:w="28" w:type="dxa"/>
          <w:bottom w:w="28" w:type="dxa"/>
          <w:right w:w="28" w:type="dxa"/>
        </w:tblCellMar>
      </w:tblPr>
      <w:tblGrid>
        <w:gridCol w:w="797"/>
        <w:gridCol w:w="655"/>
        <w:gridCol w:w="656"/>
        <w:gridCol w:w="109"/>
        <w:gridCol w:w="109"/>
        <w:gridCol w:w="109"/>
        <w:gridCol w:w="211"/>
        <w:gridCol w:w="826"/>
        <w:gridCol w:w="109"/>
        <w:gridCol w:w="109"/>
        <w:gridCol w:w="109"/>
        <w:gridCol w:w="109"/>
        <w:gridCol w:w="422"/>
        <w:gridCol w:w="624"/>
        <w:gridCol w:w="169"/>
        <w:gridCol w:w="109"/>
        <w:gridCol w:w="109"/>
        <w:gridCol w:w="109"/>
        <w:gridCol w:w="344"/>
        <w:gridCol w:w="664"/>
        <w:gridCol w:w="180"/>
        <w:gridCol w:w="109"/>
        <w:gridCol w:w="109"/>
        <w:gridCol w:w="109"/>
        <w:gridCol w:w="288"/>
        <w:gridCol w:w="554"/>
        <w:gridCol w:w="149"/>
        <w:gridCol w:w="109"/>
        <w:gridCol w:w="109"/>
        <w:gridCol w:w="109"/>
        <w:gridCol w:w="211"/>
        <w:gridCol w:w="406"/>
        <w:gridCol w:w="109"/>
        <w:gridCol w:w="211"/>
        <w:gridCol w:w="826"/>
        <w:gridCol w:w="159"/>
      </w:tblGrid>
      <w:tr>
        <w:trPr/>
        <w:tc>
          <w:tcPr>
            <w:tcW w:w="79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754,609 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outlines the revenue from our two major customers, along with their respective percentages of revenue by each segment.</w:t>
      </w:r>
    </w:p>
    <w:tbl>
      <w:tblPr>
        <w:tblW w:w="10197"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211"/>
        <w:gridCol w:w="826"/>
        <w:gridCol w:w="109"/>
        <w:gridCol w:w="109"/>
        <w:gridCol w:w="109"/>
        <w:gridCol w:w="109"/>
        <w:gridCol w:w="537"/>
        <w:gridCol w:w="537"/>
        <w:gridCol w:w="1340"/>
        <w:gridCol w:w="109"/>
        <w:gridCol w:w="109"/>
        <w:gridCol w:w="109"/>
        <w:gridCol w:w="211"/>
        <w:gridCol w:w="721"/>
        <w:gridCol w:w="109"/>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61"/>
        <w:gridCol w:w="581"/>
        <w:gridCol w:w="584"/>
        <w:gridCol w:w="109"/>
        <w:gridCol w:w="109"/>
        <w:gridCol w:w="109"/>
        <w:gridCol w:w="360"/>
        <w:gridCol w:w="361"/>
        <w:gridCol w:w="276"/>
        <w:gridCol w:w="131"/>
        <w:gridCol w:w="131"/>
        <w:gridCol w:w="131"/>
        <w:gridCol w:w="536"/>
        <w:gridCol w:w="536"/>
        <w:gridCol w:w="1338"/>
        <w:gridCol w:w="131"/>
        <w:gridCol w:w="131"/>
        <w:gridCol w:w="131"/>
        <w:gridCol w:w="360"/>
        <w:gridCol w:w="361"/>
        <w:gridCol w:w="276"/>
        <w:gridCol w:w="131"/>
        <w:gridCol w:w="131"/>
        <w:gridCol w:w="131"/>
        <w:gridCol w:w="499"/>
        <w:gridCol w:w="499"/>
        <w:gridCol w:w="147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r>
      <w:tr>
        <w:trPr/>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42,028 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28,581 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held equity interests in seven VIEs — Sunoma, GREP, Emerald, Sapphire, Paragon, SJI Joint Venture (RNG Atlantic and RNG Burlington) and Central Valley. GREP, Emerald, Sapphire, Paragon and SJI were presented as equity method investments and the remaining two VIEs — Sunoma and Central Valley are consolidated by the Company.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balance sheets summarizes the major consolidated balance sheet items for consolidated VIEs as of December 31, 2024 and 2023. The information is presented on an aggregate basis based on similar risk and reward characteristics and the nature of our involvement with the VIEs, such as: </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0" w:after="200"/>
        <w:ind w:left="0" w:right="0" w:hanging="540"/>
        <w:jc w:val="both"/>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consolidated balance sheets. Equity is listed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before="0" w:after="0"/>
        <w:jc w:val="center"/>
        <w:rPr/>
      </w:pPr>
      <w:r>
        <w:rPr/>
      </w:r>
    </w:p>
    <w:tbl>
      <w:tblPr>
        <w:tblW w:w="6447" w:type="dxa"/>
        <w:jc w:val="center"/>
        <w:tblInd w:w="0" w:type="dxa"/>
        <w:tblLayout w:type="fixed"/>
        <w:tblCellMar>
          <w:top w:w="28" w:type="dxa"/>
          <w:left w:w="28" w:type="dxa"/>
          <w:bottom w:w="28" w:type="dxa"/>
          <w:right w:w="28" w:type="dxa"/>
        </w:tblCellMar>
      </w:tblPr>
      <w:tblGrid>
        <w:gridCol w:w="1287"/>
        <w:gridCol w:w="1128"/>
        <w:gridCol w:w="1140"/>
        <w:gridCol w:w="283"/>
        <w:gridCol w:w="829"/>
        <w:gridCol w:w="148"/>
        <w:gridCol w:w="109"/>
        <w:gridCol w:w="109"/>
        <w:gridCol w:w="109"/>
        <w:gridCol w:w="280"/>
        <w:gridCol w:w="820"/>
        <w:gridCol w:w="205"/>
      </w:tblGrid>
      <w:tr>
        <w:trPr/>
        <w:tc>
          <w:tcPr>
            <w:tcW w:w="12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As of</w:t>
              <w:br/>
              <w:t>December 31,</w:t>
              <w:b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Non-redeemable non-controlling interests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Equity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are (i) 30,065,260 shares of Class A common stock issued and 28,429,477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conversion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Fortistar, through its subsidiary OPAL Holdco LLC, converted 71,500,000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 Subsequent to the exchange, Fortistar holds 72,899,037 shares of Class D common stock and 71,500,000 shares of Class B common stock.</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ATM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36,353 shares of Class A common stock under the ATM Program during the year ended December 31, 2024 at prices ranging between $4.34 and $5.68 and received net proceeds of $170.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90,103 shares of Class A common stock under the ATM Program during the year ended December 31, 2023 at prices ranging between $5.52 and $5.85 and received net proceeds of $366.</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the Company issued 300,000 Series A-1 preferred units to Hillman in return for Hillman’s non-controlling interest in four RNG project subsidiaries.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were issuable (in whole or in increments) at the Company’s discretion prior to June 30, 2022. During the year ended December 31, 2023, the Company had drawn $100,000 and issued 1,000,000 Series A preferred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the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repaid all outstanding paid-in-kind preferred dividends at that time.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2023 to December 31, 2024:</w:t>
      </w:r>
    </w:p>
    <w:tbl>
      <w:tblPr>
        <w:tblW w:w="10205" w:type="dxa"/>
        <w:jc w:val="left"/>
        <w:tblInd w:w="0" w:type="dxa"/>
        <w:tblLayout w:type="fixed"/>
        <w:tblCellMar>
          <w:top w:w="28" w:type="dxa"/>
          <w:left w:w="28" w:type="dxa"/>
          <w:bottom w:w="28" w:type="dxa"/>
          <w:right w:w="28" w:type="dxa"/>
        </w:tblCellMar>
      </w:tblPr>
      <w:tblGrid>
        <w:gridCol w:w="1118"/>
        <w:gridCol w:w="819"/>
        <w:gridCol w:w="823"/>
        <w:gridCol w:w="109"/>
        <w:gridCol w:w="109"/>
        <w:gridCol w:w="109"/>
        <w:gridCol w:w="413"/>
        <w:gridCol w:w="413"/>
        <w:gridCol w:w="181"/>
        <w:gridCol w:w="122"/>
        <w:gridCol w:w="122"/>
        <w:gridCol w:w="122"/>
        <w:gridCol w:w="237"/>
        <w:gridCol w:w="812"/>
        <w:gridCol w:w="122"/>
        <w:gridCol w:w="109"/>
        <w:gridCol w:w="109"/>
        <w:gridCol w:w="109"/>
        <w:gridCol w:w="488"/>
        <w:gridCol w:w="488"/>
        <w:gridCol w:w="181"/>
        <w:gridCol w:w="115"/>
        <w:gridCol w:w="115"/>
        <w:gridCol w:w="115"/>
        <w:gridCol w:w="224"/>
        <w:gridCol w:w="878"/>
        <w:gridCol w:w="115"/>
        <w:gridCol w:w="109"/>
        <w:gridCol w:w="109"/>
        <w:gridCol w:w="109"/>
        <w:gridCol w:w="211"/>
        <w:gridCol w:w="826"/>
        <w:gridCol w:w="164"/>
      </w:tblGrid>
      <w:tr>
        <w:trPr/>
        <w:tc>
          <w:tcPr>
            <w:tcW w:w="11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 attributable to OPAL Fuels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dispositions of assets and (iv) major acquisitions of assets outside of the Company’s primary business.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is November 29, 2025.</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NextEra Series A preferred units on which the redemption option has been exercised prior to redeeming any Hillman Series A-1 preferred units. If elected, the holder may convert all or a portion of its Preferred Units into a number of common units equal to: (i) the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lineRule="auto" w:line="288" w:before="0" w:after="2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Business Combination, OPAL Fuels and its members caused the existing limited liability company agreement to be amended and restated. In connection therewith, all of the common units of OPAL Fuels LLC issued and outstanding immediately prior to the Business Combination were re-classified into 144,399,037 Class B Units. Each Class B Unit is paired with a single non-economic share of Class D common stock issued by the Company. Each pair of Class B Unit and a single share of Class D common stock is exchangeable to either a single share of Class A common stock or a single share of Class C common stock at the holder's option. Upon an exchange for Class A common stock, the Company has the option to redeem shares for cash at their market value.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consolidated statements of change in Redeemable non-controlling interests, Redeemable preferred non-controlling interests and stockholders' deficit. At each balance sheet date, the Redeemable non-controlling interests are adjusted up to their redemption value if necessary, with an offset in stockholders' deficit. As of December 31, 2024, the Company recorded $482,863 to adjust the carrying value to their redemption value based on a five-day VWAP of $3.34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Net Income Per Share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before="0" w:after="0"/>
        <w:jc w:val="center"/>
        <w:rPr/>
      </w:pPr>
      <w:r>
        <w:rPr/>
      </w:r>
    </w:p>
    <w:tbl>
      <w:tblPr>
        <w:tblW w:w="8914" w:type="dxa"/>
        <w:jc w:val="center"/>
        <w:tblInd w:w="0" w:type="dxa"/>
        <w:tblLayout w:type="fixed"/>
        <w:tblCellMar>
          <w:top w:w="28" w:type="dxa"/>
          <w:left w:w="28" w:type="dxa"/>
          <w:bottom w:w="28" w:type="dxa"/>
          <w:right w:w="28" w:type="dxa"/>
        </w:tblCellMar>
      </w:tblPr>
      <w:tblGrid>
        <w:gridCol w:w="2115"/>
        <w:gridCol w:w="1858"/>
        <w:gridCol w:w="1862"/>
        <w:gridCol w:w="109"/>
        <w:gridCol w:w="109"/>
        <w:gridCol w:w="109"/>
        <w:gridCol w:w="315"/>
        <w:gridCol w:w="766"/>
        <w:gridCol w:w="109"/>
        <w:gridCol w:w="109"/>
        <w:gridCol w:w="109"/>
        <w:gridCol w:w="109"/>
        <w:gridCol w:w="244"/>
        <w:gridCol w:w="837"/>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27,494,016 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for the year ended December 31, 2024 does not include 1,635,783 shares in treasury and 716,650 shares that are issued and outstanding but are contingent on achieving earnout targets. </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in which EPS is presented, the following securities were excluded from the computation of diluted EPS since their impact would have been antidilutive:</w:t>
      </w:r>
    </w:p>
    <w:tbl>
      <w:tblPr>
        <w:tblW w:w="5730" w:type="dxa"/>
        <w:jc w:val="center"/>
        <w:tblInd w:w="0" w:type="dxa"/>
        <w:tblLayout w:type="fixed"/>
        <w:tblCellMar>
          <w:top w:w="28" w:type="dxa"/>
          <w:left w:w="28" w:type="dxa"/>
          <w:bottom w:w="28" w:type="dxa"/>
          <w:right w:w="28" w:type="dxa"/>
        </w:tblCellMar>
      </w:tblPr>
      <w:tblGrid>
        <w:gridCol w:w="797"/>
        <w:gridCol w:w="701"/>
        <w:gridCol w:w="706"/>
        <w:gridCol w:w="109"/>
        <w:gridCol w:w="109"/>
        <w:gridCol w:w="109"/>
        <w:gridCol w:w="593"/>
        <w:gridCol w:w="593"/>
        <w:gridCol w:w="176"/>
        <w:gridCol w:w="138"/>
        <w:gridCol w:w="138"/>
        <w:gridCol w:w="138"/>
        <w:gridCol w:w="593"/>
        <w:gridCol w:w="593"/>
        <w:gridCol w:w="23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OPAL Fuels Class B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diluted income per share of Class A common stock for the years ended December 31, 2024 and 2023 does not include Redeemable preferred non-controlling interests because the substantive contingency for conversion has not been met as of December 31, 2024. It does not include 716,650 Sponsor Earnout Awards and 10,000,000 OPAL Earnout Awards as their target share price and adjusted EBITDA contingencies have not been met as of December 31, 2024. It does not include 763,908 Sponsor Earnout Awards and 10,000,000 OPAL Earnout Awards as their target share price and adjusted EBITDA contingencies have not been met as of December 31, 2023. It also does not include redeemable non-controlling interests (OPAL Fuels Class B units)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Opal Fuels Inc.'s investment in Opal Fuels LLC would be offset by a full valuation allowance. Prior to the Business Combinations, Legacy Fortistar and its subsidiaries were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estimates.</w:t>
      </w:r>
    </w:p>
    <w:tbl>
      <w:tblPr>
        <w:tblW w:w="4071" w:type="dxa"/>
        <w:jc w:val="center"/>
        <w:tblInd w:w="0" w:type="dxa"/>
        <w:tblLayout w:type="fixed"/>
        <w:tblCellMar>
          <w:top w:w="28" w:type="dxa"/>
          <w:left w:w="28" w:type="dxa"/>
          <w:bottom w:w="28" w:type="dxa"/>
          <w:right w:w="28" w:type="dxa"/>
        </w:tblCellMar>
      </w:tblPr>
      <w:tblGrid>
        <w:gridCol w:w="592"/>
        <w:gridCol w:w="519"/>
        <w:gridCol w:w="524"/>
        <w:gridCol w:w="109"/>
        <w:gridCol w:w="109"/>
        <w:gridCol w:w="109"/>
        <w:gridCol w:w="211"/>
        <w:gridCol w:w="691"/>
        <w:gridCol w:w="109"/>
        <w:gridCol w:w="109"/>
        <w:gridCol w:w="109"/>
        <w:gridCol w:w="109"/>
        <w:gridCol w:w="211"/>
        <w:gridCol w:w="40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effective tax rate for the year ended December 31, 2024 and 2023 was -62% and —%, respectively. During the third quarter of 2024, the Company recognized the tax benefit associated with the sale of investment tax credits to a counterparty. Per ASC 740-10-25-46, the Company uses the flow-through method to account for investment tax credits (ITCs). Under the flow-through method, an entity immediately recognizes the cost savings from the tax credit. The entire investment tax credit is accounted for as a reduction in income tax expense in the year the asset is acquired. Accordingly, a temporary difference does not exist when an entity elects to use the flow-through method. Therefore, the Company recognized a total income tax benefit of $8,906 during the year ended December 31, 2024 and $— for year ended December 31, 2023.</w:t>
      </w:r>
    </w:p>
    <w:tbl>
      <w:tblPr>
        <w:tblW w:w="9496" w:type="dxa"/>
        <w:jc w:val="center"/>
        <w:tblInd w:w="0" w:type="dxa"/>
        <w:tblLayout w:type="fixed"/>
        <w:tblCellMar>
          <w:top w:w="28" w:type="dxa"/>
          <w:left w:w="28" w:type="dxa"/>
          <w:bottom w:w="28" w:type="dxa"/>
          <w:right w:w="28" w:type="dxa"/>
        </w:tblCellMar>
      </w:tblPr>
      <w:tblGrid>
        <w:gridCol w:w="1692"/>
        <w:gridCol w:w="1488"/>
        <w:gridCol w:w="1499"/>
        <w:gridCol w:w="109"/>
        <w:gridCol w:w="109"/>
        <w:gridCol w:w="109"/>
        <w:gridCol w:w="211"/>
        <w:gridCol w:w="691"/>
        <w:gridCol w:w="109"/>
        <w:gridCol w:w="109"/>
        <w:gridCol w:w="109"/>
        <w:gridCol w:w="109"/>
        <w:gridCol w:w="216"/>
        <w:gridCol w:w="219"/>
        <w:gridCol w:w="271"/>
        <w:gridCol w:w="109"/>
        <w:gridCol w:w="109"/>
        <w:gridCol w:w="109"/>
        <w:gridCol w:w="211"/>
        <w:gridCol w:w="721"/>
        <w:gridCol w:w="109"/>
        <w:gridCol w:w="109"/>
        <w:gridCol w:w="109"/>
        <w:gridCol w:w="109"/>
        <w:gridCol w:w="216"/>
        <w:gridCol w:w="219"/>
        <w:gridCol w:w="316"/>
      </w:tblGrid>
      <w:tr>
        <w:trPr/>
        <w:tc>
          <w:tcPr>
            <w:tcW w:w="169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Tax at Federal Statutory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Tax on Earnings attributable to noncontrolling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Section 6418/ITC Sale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deconsolidation of entities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State Taxes,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Stock 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Proceeds from Sale of ITCs, net of selling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Change in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before="0" w:after="0"/>
        <w:jc w:val="center"/>
        <w:rPr/>
      </w:pPr>
      <w:r>
        <w:rPr/>
      </w:r>
    </w:p>
    <w:tbl>
      <w:tblPr>
        <w:tblW w:w="6650" w:type="dxa"/>
        <w:jc w:val="center"/>
        <w:tblInd w:w="0" w:type="dxa"/>
        <w:tblLayout w:type="fixed"/>
        <w:tblCellMar>
          <w:top w:w="28" w:type="dxa"/>
          <w:left w:w="28" w:type="dxa"/>
          <w:bottom w:w="28" w:type="dxa"/>
          <w:right w:w="28" w:type="dxa"/>
        </w:tblCellMar>
      </w:tblPr>
      <w:tblGrid>
        <w:gridCol w:w="1403"/>
        <w:gridCol w:w="1230"/>
        <w:gridCol w:w="1236"/>
        <w:gridCol w:w="109"/>
        <w:gridCol w:w="109"/>
        <w:gridCol w:w="109"/>
        <w:gridCol w:w="211"/>
        <w:gridCol w:w="721"/>
        <w:gridCol w:w="109"/>
        <w:gridCol w:w="109"/>
        <w:gridCol w:w="109"/>
        <w:gridCol w:w="109"/>
        <w:gridCol w:w="211"/>
        <w:gridCol w:w="721"/>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163j interest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NOL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NOL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or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Opal Fuels, Inc.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2024. For purposes of determining pre-tax income/(loss) for the pre-IPO period, the Company relied on the historical financial statements of Opal Fuels, LLC as this is the best information to represent the historic pre-tax income/(loss) of Opal Fuels Inc. As of December 31, 2024, Opal Fuels, Inc. is in a three-year cumulative income position, excluding non-recurring items, of approximately $1.1 million. However, the primary driver of the cumulative income position as of December 31, 2024,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deferred tax assets from state net operating loss carryforwards aggregating $30.3 million as of December 31, 2024 representing state tax benefits, net of federal taxes, of approximately $1.4 million. These loss carryforwards are subject to ten, fifteen, twenty-year, or indefinite carryforward periods, with $26.1 million expiring between 2032-2044, and $4.2 million with no expiration. The Company has provided valuation allowances of $30.3 million and $16.6 million as of December 31, 2024 and 2023, respectively, against the state tax loss carryforwards, representing the portion of carryforward losses that the Company believes are not likely to be realized.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Federal income tax purposes, the 2021 through 2024 tax years remain open for examination. For state tax purposes, the 2021 through 2024 tax years remain open for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 xml:space="preserve">16. Stock-based Compensation </w:t>
      </w:r>
    </w:p>
    <w:p>
      <w:pPr>
        <w:pStyle w:val="TextBody"/>
        <w:bidi w:val="0"/>
        <w:spacing w:lineRule="auto" w:line="288" w:before="0" w:after="20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over three years and expire ten years from the date of grant.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issued in 2024 was determined to be $3.40 based on Black Scholes model based on the share price of $4.96, exercise price of $5.02, expiration of 10 years, annual risk free interest rate of 3.96% and volatility of 55%.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stock options issued in 2023 was determined to be $5.26 based on Black Scholes model based on the share price of $6.97, exercise price of $6.97, expiration of 10 years, annual risk free interest rate of 4.04% and volatility of 65%.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during the year ended December 31, 2024, consisted of the following (in thousands, except for share and per share data): </w:t>
      </w:r>
    </w:p>
    <w:tbl>
      <w:tblPr>
        <w:tblW w:w="10205" w:type="dxa"/>
        <w:jc w:val="center"/>
        <w:tblInd w:w="0" w:type="dxa"/>
        <w:tblLayout w:type="fixed"/>
        <w:tblCellMar>
          <w:top w:w="28" w:type="dxa"/>
          <w:left w:w="28" w:type="dxa"/>
          <w:bottom w:w="28" w:type="dxa"/>
          <w:right w:w="28" w:type="dxa"/>
        </w:tblCellMar>
      </w:tblPr>
      <w:tblGrid>
        <w:gridCol w:w="958"/>
        <w:gridCol w:w="840"/>
        <w:gridCol w:w="845"/>
        <w:gridCol w:w="409"/>
        <w:gridCol w:w="370"/>
        <w:gridCol w:w="330"/>
        <w:gridCol w:w="109"/>
        <w:gridCol w:w="109"/>
        <w:gridCol w:w="109"/>
        <w:gridCol w:w="787"/>
        <w:gridCol w:w="787"/>
        <w:gridCol w:w="789"/>
        <w:gridCol w:w="109"/>
        <w:gridCol w:w="109"/>
        <w:gridCol w:w="109"/>
        <w:gridCol w:w="1005"/>
        <w:gridCol w:w="1005"/>
        <w:gridCol w:w="1426"/>
      </w:tblGrid>
      <w:tr>
        <w:trPr/>
        <w:tc>
          <w:tcPr>
            <w:tcW w:w="95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 (Years)</w:t>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Cancelled/Forfeited/Expired</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(37,527)</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December 31, 2024</w:t>
            </w:r>
          </w:p>
        </w:tc>
        <w:tc>
          <w:tcPr>
            <w:tcW w:w="11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stock options granted during the year ended December 31, 2024 was $3.40 per share.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of the outstanding stock options is zero as of December 31, 2024 and December 31, 2023.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Units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units were contingent upon Company achieving certain Adjusted EBITDA and production targets. The grant date fair value of these awards was estimated using the closing share price of the Company's stock on the date of the grant and the compensation cost related to these awards is recognized based on the relative satisfaction of the performance condition as of the reporting date. The applicable performance period for performance units granted in 2023 is January 1, 2023 to December 31, 2025, and all such performance units are scheduled to vest on March 31, 2026 subject to achievement of certain performance criteria. The applicable performance period for performance units granted in 2024 is January 1, 2024 to December 31, 2026, and all such performance units are scheduled to vest on March 31, 2027 subject to achievement of certain performance criteria.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before="0" w:after="0"/>
        <w:jc w:val="center"/>
        <w:rPr/>
      </w:pPr>
      <w:r>
        <w:rPr/>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239,680 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456,308 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(51,524)</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643,591 </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RSUs are convertible into shares of the Company’s common stock upon vesting on a one-to-one basis, and generally contain time-based vesting conditions. The RSUs generally vest over the service period of one to three years.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unvested shares as of December 31, 2024, and changes during the year ended December 31, 2024, is presented below.</w:t>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949,936 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1,470,202 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(326,888)</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Withheld for settlement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(115,843)</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1,886,825 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shares vested during the years ended December 31, 2024 and 2023, was $3,095 and $3,210, respectively.</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year ended December 31,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96% of the Profit Interests issued vested.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86% of the Profit Interests issued vested. There were no forfeitures during the years ended December 31, 2023 and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before="0" w:after="0"/>
        <w:jc w:val="center"/>
        <w:rPr/>
      </w:pPr>
      <w:r>
        <w:rPr/>
      </w:r>
    </w:p>
    <w:tbl>
      <w:tblPr>
        <w:tblW w:w="4446" w:type="dxa"/>
        <w:jc w:val="center"/>
        <w:tblInd w:w="0" w:type="dxa"/>
        <w:tblLayout w:type="fixed"/>
        <w:tblCellMar>
          <w:top w:w="28" w:type="dxa"/>
          <w:left w:w="28" w:type="dxa"/>
          <w:bottom w:w="28" w:type="dxa"/>
          <w:right w:w="28" w:type="dxa"/>
        </w:tblCellMar>
      </w:tblPr>
      <w:tblGrid>
        <w:gridCol w:w="679"/>
        <w:gridCol w:w="596"/>
        <w:gridCol w:w="600"/>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unvested awards yet to be recognized as of December 31, 2024 totaled $10,986 and is expected to be recognized, on a weighted average basis, over 2 years.</w:t>
      </w:r>
    </w:p>
    <w:p>
      <w:pPr>
        <w:pStyle w:val="TextBody"/>
        <w:bidi w:val="0"/>
        <w:spacing w:before="160" w:after="283"/>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Company was required to maintain fourteen and nine standby letters of credit totaling $15,120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Guaranty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13, 2024, OPAL Paragon entered into a tax credit purchasing agreement with Apollo Management Holdings, L.P., ("Buyer"), pursuant to which OPAL Paragon sold $11,096 investment tax credits to the buyer for net proceeds of $8,906. If the tax credits are disallowed or recaptured from the Buyer, OPAL Paragon will be required to return the purchase price and pay any taxes, interests or penalties incurred.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above transaction, the Company entered into an agreement that guarantees Opal Paragon's obligations up to $16,644. This amount decreases 20% annually for five years.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related to the Company’s material pending legal proceedings as of the date of this report, other than ordinary routine litigation incidental to the business.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since recorded mechanic’s liens against each of the projects for $4,900 (MD) and $2,000 (VS), and recently filed actions with the Stanislaus and San Joaquin County Superior Courts, respectively, to enforce their liens. It is expected that these claims will be stayed and consolidated with the pending arbitration proceeding.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Former Development Partner/Construction Manager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Wasatch Resource Recovery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 -in -common interest in certain real estate and operating assets used by Wasatch (the “Project Interest”). As a result of the acquisition, Wasatch RNG has the option to increase the Wasatch Interest and the Project Interest.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INSIDER TRADING POLICY</w:t>
      </w:r>
    </w:p>
    <w:p>
      <w:pPr>
        <w:pStyle w:val="TextBody"/>
        <w:bidi w:val="0"/>
        <w:spacing w:before="0" w:after="200"/>
        <w:ind w:left="0" w:right="0" w:firstLine="100"/>
        <w:jc w:val="left"/>
        <w:rPr/>
      </w:pPr>
      <w:r>
        <w:rPr/>
      </w: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THIS POLICY WAS APPROVED BY THE BOARD ON JULY 22, 2022, revised August 17, 2022</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1.GENERAL PURPOSE</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Federal securities laws prohibit the purchase or sale of securities by persons who are aware of and/or in possession of material nonpublic information (“</w:t>
      </w:r>
      <w:r>
        <w:rPr>
          <w:rFonts w:ascii="Times New Roman;sans-serif" w:hAnsi="Times New Roman;sans-serif"/>
          <w:b/>
          <w:color w:val="000000"/>
          <w:sz w:val="24"/>
        </w:rPr>
        <w:t>MNPI</w:t>
      </w:r>
      <w:r>
        <w:rPr>
          <w:color w:val="000000"/>
        </w:rPr>
        <w:t>”</w:t>
      </w:r>
      <w:r>
        <w:rPr>
          <w:rFonts w:ascii="Times New Roman;sans-serif" w:hAnsi="Times New Roman;sans-serif"/>
          <w:b w:val="false"/>
          <w:color w:val="000000"/>
          <w:sz w:val="24"/>
        </w:rPr>
        <w:t>) about a company, as well as the disclosure of MNPI about a company to another person who then trades on the basis of that information. These transactions are commonly referred to as “insider trading.”</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OPAL Fuels Inc. and its subsidiaries (hereinafter referred to as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or “</w:t>
      </w:r>
      <w:r>
        <w:rPr>
          <w:rFonts w:ascii="Times New Roman;sans-serif" w:hAnsi="Times New Roman;sans-serif"/>
          <w:b/>
          <w:color w:val="000000"/>
          <w:sz w:val="24"/>
        </w:rPr>
        <w:t>us</w:t>
      </w:r>
      <w:r>
        <w:rPr>
          <w:color w:val="000000"/>
        </w:rPr>
        <w:t>”</w:t>
      </w:r>
      <w:r>
        <w:rPr>
          <w:rFonts w:ascii="Times New Roman;sans-serif" w:hAnsi="Times New Roman;sans-serif"/>
          <w:b w:val="false"/>
          <w:color w:val="000000"/>
          <w:sz w:val="24"/>
        </w:rPr>
        <w:t>) is committed to promoting high standards of honest and ethical business conduct and compliance with laws, rules and regulations. Accordingly, our Board of Directors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has adopted this Insider Trading Policy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to promote compliance with insider trading laws.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If you are considering trading our stock or other securities, please keep these three key points in mind: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aNever buy or sell our securities based on MNPI;</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bKeep all MNPI confidential, including from your family and friends; and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cWhen in doubt about whether you have MNPI, ask John Coghlin, General Counsel, before trading.</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A copy of this Policy is to be delivered to all current employees of the Company following its adoption. Each new employee shall receive a copy of this Policy upon commencement of his or her relationship with the Company. For purposes of this Policy, (i) each employee of Fortistar Capital Inc.(together with its affiliates, “</w:t>
      </w:r>
      <w:r>
        <w:rPr>
          <w:rFonts w:ascii="Times New Roman;sans-serif" w:hAnsi="Times New Roman;sans-serif"/>
          <w:b/>
          <w:color w:val="000000"/>
          <w:sz w:val="24"/>
        </w:rPr>
        <w:t>Fortistar</w:t>
      </w:r>
      <w:r>
        <w:rPr>
          <w:color w:val="000000"/>
        </w:rPr>
        <w:t>”</w:t>
      </w:r>
      <w:r>
        <w:rPr>
          <w:rFonts w:ascii="Times New Roman;sans-serif" w:hAnsi="Times New Roman;sans-serif"/>
          <w:b w:val="false"/>
          <w:color w:val="000000"/>
          <w:sz w:val="24"/>
        </w:rPr>
        <w:t>) who engages in services on behalf of the Company pursuant to or in connection with that certain Administrative Services Agreement, between Fortistar Services 2 LLC and the Company, dated as of December 31, 2020 (the “</w:t>
      </w:r>
      <w:r>
        <w:rPr>
          <w:rFonts w:ascii="Times New Roman;sans-serif" w:hAnsi="Times New Roman;sans-serif"/>
          <w:b/>
          <w:color w:val="000000"/>
          <w:sz w:val="24"/>
        </w:rPr>
        <w:t>Fortistar Services Agreement</w:t>
      </w:r>
      <w:r>
        <w:rPr>
          <w:color w:val="000000"/>
        </w:rPr>
        <w:t>”</w:t>
      </w:r>
      <w:r>
        <w:rPr>
          <w:rFonts w:ascii="Times New Roman;sans-serif" w:hAnsi="Times New Roman;sans-serif"/>
          <w:b w:val="false"/>
          <w:color w:val="000000"/>
          <w:sz w:val="24"/>
        </w:rPr>
        <w:t>), by and between OPAL Fuels LLC and Fortistar Services 2 LLC, and (ii) each Fortistar employee providing services on behalf of CoStar Partners LLC (together with its affiliates, “</w:t>
      </w:r>
      <w:r>
        <w:rPr>
          <w:rFonts w:ascii="Times New Roman;sans-serif" w:hAnsi="Times New Roman;sans-serif"/>
          <w:b/>
          <w:color w:val="000000"/>
          <w:sz w:val="24"/>
        </w:rPr>
        <w:t>CoStar</w:t>
      </w:r>
      <w:r>
        <w:rPr>
          <w:color w:val="000000"/>
        </w:rPr>
        <w:t>”</w:t>
      </w:r>
      <w:r>
        <w:rPr>
          <w:rFonts w:ascii="Times New Roman;sans-serif" w:hAnsi="Times New Roman;sans-serif"/>
          <w:b w:val="false"/>
          <w:color w:val="000000"/>
          <w:sz w:val="24"/>
        </w:rPr>
        <w:t>, and collectively with Fortistar, the “</w:t>
      </w:r>
      <w:r>
        <w:rPr>
          <w:rFonts w:ascii="Times New Roman;sans-serif" w:hAnsi="Times New Roman;sans-serif"/>
          <w:b/>
          <w:color w:val="000000"/>
          <w:sz w:val="24"/>
        </w:rPr>
        <w:t>Service Providers</w:t>
      </w:r>
      <w:r>
        <w:rPr>
          <w:color w:val="000000"/>
        </w:rPr>
        <w:t>”</w:t>
      </w:r>
      <w:r>
        <w:rPr>
          <w:rFonts w:ascii="Times New Roman;sans-serif" w:hAnsi="Times New Roman;sans-serif"/>
          <w:b w:val="false"/>
          <w:color w:val="000000"/>
          <w:sz w:val="24"/>
        </w:rPr>
        <w:t>) who engages in information technology services on behalf of the Company pursuant to or in connection with that certain Master Services Agreement, dated June 1, 2021, by and between OPAL Fuels LLC and CoStar (the “</w:t>
      </w:r>
      <w:r>
        <w:rPr>
          <w:rFonts w:ascii="Times New Roman;sans-serif" w:hAnsi="Times New Roman;sans-serif"/>
          <w:b/>
          <w:color w:val="000000"/>
          <w:sz w:val="24"/>
        </w:rPr>
        <w:t>CoStar Services Agreement</w:t>
      </w:r>
      <w:r>
        <w:rPr>
          <w:color w:val="000000"/>
        </w:rPr>
        <w:t xml:space="preserve">” </w:t>
      </w:r>
      <w:r>
        <w:rPr>
          <w:rFonts w:ascii="Times New Roman;sans-serif" w:hAnsi="Times New Roman;sans-serif"/>
          <w:b w:val="false"/>
          <w:color w:val="000000"/>
          <w:sz w:val="24"/>
        </w:rPr>
        <w:t>and together with the Fortistar Services Agreement, the “</w:t>
      </w:r>
      <w:r>
        <w:rPr>
          <w:rFonts w:ascii="Times New Roman;sans-serif" w:hAnsi="Times New Roman;sans-serif"/>
          <w:b/>
          <w:color w:val="000000"/>
          <w:sz w:val="24"/>
        </w:rPr>
        <w:t>Service Agreemen</w:t>
      </w:r>
      <w:r>
        <w:rPr>
          <w:rFonts w:ascii="Times New Roman;sans-serif" w:hAnsi="Times New Roman;sans-serif"/>
          <w:b w:val="false"/>
          <w:color w:val="000000"/>
          <w:sz w:val="24"/>
        </w:rPr>
        <w:t>ts”), are also deemed to be subject to this Policy. This Policy shall be included in the 2022 Employee Handbook provided to all employees of the Company.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foregoing persons is responsible for understanding and following this Policy and for the consequences of any actions you may take. Our General Counsel will assist with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r>
        <w:rPr>
          <w:rFonts w:ascii="Times New Roman;sans-serif" w:hAnsi="Times New Roman;sans-serif"/>
          <w:b w:val="false"/>
          <w:color w:val="000000"/>
          <w:sz w:val="24"/>
        </w:rPr>
        <w:t>implementing, interpreting and enforcing this Policy, pre-clearing trading activities of certain people, and pre-approving any Rule 10b5-1 Plans.</w:t>
      </w:r>
      <w:r>
        <w:rPr>
          <w:rFonts w:ascii="Times New Roman;sans-serif" w:hAnsi="Times New Roman;sans-serif"/>
          <w:b w:val="false"/>
          <w:color w:val="000000"/>
          <w:sz w:val="16"/>
        </w:rPr>
        <w:t>1</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1.PERSONS COVERED BY THIS POLICY</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This Policy applies to (i) our employees, contractors, consultants, officers, and Board members, any employees of the Service Providers who provide services pursuant to or in connection with the Services Agreements as well as to their immediate family members</w:t>
      </w:r>
      <w:r>
        <w:rPr>
          <w:rFonts w:ascii="Times New Roman;sans-serif" w:hAnsi="Times New Roman;sans-serif"/>
          <w:b w:val="false"/>
          <w:color w:val="000000"/>
          <w:sz w:val="16"/>
        </w:rPr>
        <w:t>2</w:t>
      </w:r>
      <w:r>
        <w:rPr>
          <w:rFonts w:ascii="Times New Roman;sans-serif" w:hAnsi="Times New Roman;sans-serif"/>
          <w:b w:val="false"/>
          <w:color w:val="000000"/>
          <w:sz w:val="24"/>
        </w:rPr>
        <w:t>, people sharing their households and anyone subject to their influence or control; and (ii) to entities such as venture capital funds, partnerships, trusts and corporations that are controlled by any of the foregoing persons. We refer to all of these individuals and entities in this Policy collectively as “</w:t>
      </w:r>
      <w:r>
        <w:rPr>
          <w:rFonts w:ascii="Times New Roman;sans-serif" w:hAnsi="Times New Roman;sans-serif"/>
          <w:b/>
          <w:color w:val="000000"/>
          <w:sz w:val="24"/>
        </w:rPr>
        <w:t>Insiders</w:t>
      </w:r>
      <w:r>
        <w:rPr>
          <w:rFonts w:ascii="Times New Roman;sans-serif" w:hAnsi="Times New Roman;sans-serif"/>
          <w:b w:val="false"/>
          <w:color w:val="000000"/>
          <w:sz w:val="24"/>
        </w:rPr>
        <w:t>.” This Policy also applies to any other person who receives MNPI from any Insider.</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Additional trading restrictions in this Policy apply to our executive officers and directors (“</w:t>
      </w:r>
      <w:r>
        <w:rPr>
          <w:rFonts w:ascii="Times New Roman;sans-serif" w:hAnsi="Times New Roman;sans-serif"/>
          <w:b/>
          <w:color w:val="000000"/>
          <w:sz w:val="24"/>
        </w:rPr>
        <w:t>Section 16 Officers</w:t>
      </w:r>
      <w:r>
        <w:rPr>
          <w:color w:val="000000"/>
        </w:rPr>
        <w:t>”</w:t>
      </w:r>
      <w:r>
        <w:rPr>
          <w:rFonts w:ascii="Times New Roman;sans-serif" w:hAnsi="Times New Roman;sans-serif"/>
          <w:b w:val="false"/>
          <w:color w:val="000000"/>
          <w:sz w:val="24"/>
        </w:rPr>
        <w:t xml:space="preserve">) and to the individuals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w:t>
      </w:r>
      <w:r>
        <w:rPr>
          <w:rFonts w:ascii="Times New Roman;sans-serif" w:hAnsi="Times New Roman;sans-serif"/>
          <w:b/>
          <w:color w:val="000000"/>
          <w:sz w:val="24"/>
        </w:rPr>
        <w:t>Designated Insiders</w:t>
      </w:r>
      <w:r>
        <w:rPr>
          <w:color w:val="000000"/>
        </w:rPr>
        <w:t>”</w:t>
      </w:r>
      <w:r>
        <w:rPr>
          <w:rFonts w:ascii="Times New Roman;sans-serif" w:hAnsi="Times New Roman;sans-serif"/>
          <w:b w:val="false"/>
          <w:color w:val="000000"/>
          <w:sz w:val="24"/>
        </w:rPr>
        <w:t>) who are not Section 16 Officers but who have regular access to MNPI in the normal course of their job. The list of Designated Insiders may be modified by our General Counsel.</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continues to apply following termination of employment or other relationship with the Company until after the second trading day that any MNPI in the Insider’s possession has become public or is no longer material.</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1.DEFINITION OF “MATERIAL NONPUBLIC INFORMATION”</w:t>
      </w:r>
    </w:p>
    <w:p>
      <w:pPr>
        <w:pStyle w:val="TextBody"/>
        <w:bidi w:val="0"/>
        <w:spacing w:lineRule="auto" w:line="288" w:before="0" w:after="200"/>
        <w:ind w:left="0" w:right="0" w:firstLine="99"/>
        <w:jc w:val="left"/>
        <w:rPr/>
      </w:pPr>
      <w:r>
        <w:rPr>
          <w:color w:val="000000"/>
        </w:rPr>
        <w:t>“</w:t>
      </w:r>
      <w:r>
        <w:rPr>
          <w:rFonts w:ascii="Times New Roman;sans-serif" w:hAnsi="Times New Roman;sans-serif"/>
          <w:b/>
          <w:color w:val="000000"/>
          <w:sz w:val="24"/>
        </w:rPr>
        <w:t>Material information</w:t>
      </w:r>
      <w:r>
        <w:rPr>
          <w:color w:val="000000"/>
        </w:rPr>
        <w:t xml:space="preserve">” </w:t>
      </w:r>
      <w:r>
        <w:rPr>
          <w:rFonts w:ascii="Times New Roman;sans-serif" w:hAnsi="Times New Roman;sans-serif"/>
          <w:b w:val="false"/>
          <w:color w:val="000000"/>
          <w:sz w:val="24"/>
        </w:rPr>
        <w:t>is information about the Company, positive or negative, that a reasonable stockholder would consider important in making a decision to purchase or sell the Company’s securities. Material information can be positive or negative and relate to virtually any aspect of the Company’s business. Examples of material information may include:</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a.historical or forecasted revenues, earnings or other financial results;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b.significant new products or services or other product developments;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c.significant new contracts or partners or the loss of a significant contract or partner;</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d.significant developments regarding the Company’s technology or business operations;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e.news of pending or proposed mergers, acquisitions, tender offers, or dispositions of significant subsidiaries or assets;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f.major new litigation or regulatory inquiries/actions or developments in existing litigation or inquiries;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g.significant cybersecurity incidents or data breaches;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h.significant developments in borrowings, or financings or capital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i.significant changes in financial condition or asset value or liquidity issues;</w:t>
      </w:r>
    </w:p>
    <w:p>
      <w:pPr>
        <w:pStyle w:val="TextBody"/>
        <w:bidi w:val="0"/>
        <w:spacing w:lineRule="auto" w:line="288" w:before="0" w:after="200"/>
        <w:ind w:left="0" w:right="0" w:firstLine="10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color w:val="000000"/>
          <w:sz w:val="24"/>
        </w:rPr>
        <w:t>Rule 10b5-1 Plans</w:t>
      </w:r>
      <w:r>
        <w:rPr>
          <w:color w:val="000000"/>
        </w:rPr>
        <w:t xml:space="preserve">” </w:t>
      </w:r>
      <w:r>
        <w:rPr>
          <w:rFonts w:ascii="Times New Roman;sans-serif" w:hAnsi="Times New Roman;sans-serif"/>
          <w:b w:val="false"/>
          <w:color w:val="000000"/>
          <w:sz w:val="24"/>
        </w:rPr>
        <w:t>are passive investment programs that provide a pre-determined schedule for insiders to purchase and sell the Company’s securities when they have MNPI, by providing an affirmative defense to insider trading.</w:t>
      </w:r>
    </w:p>
    <w:p>
      <w:pPr>
        <w:pStyle w:val="TextBody"/>
        <w:bidi w:val="0"/>
        <w:spacing w:lineRule="auto" w:line="288" w:before="0" w:after="200"/>
        <w:ind w:left="0" w:right="0" w:firstLine="100"/>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An “</w:t>
      </w:r>
      <w:r>
        <w:rPr>
          <w:rFonts w:ascii="Times New Roman;sans-serif" w:hAnsi="Times New Roman;sans-serif"/>
          <w:b/>
          <w:color w:val="000000"/>
          <w:sz w:val="24"/>
        </w:rPr>
        <w:t>immediate family member</w:t>
      </w:r>
      <w:r>
        <w:rPr>
          <w:color w:val="000000"/>
        </w:rPr>
        <w:t xml:space="preserve">” </w:t>
      </w:r>
      <w:r>
        <w:rPr>
          <w:rFonts w:ascii="Times New Roman;sans-serif" w:hAnsi="Times New Roman;sans-serif"/>
          <w:b w:val="false"/>
          <w:color w:val="000000"/>
          <w:sz w:val="24"/>
        </w:rPr>
        <w:t>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a.gain or loss of a significant customer or supplier;</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b.significant changes in corporate strategy;</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c.changes in senior management;</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d.changes in accounting methods and write-offs; and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e.stock offerings, stock splits or changes in dividend policy.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pStyle w:val="TextBody"/>
        <w:bidi w:val="0"/>
        <w:spacing w:lineRule="auto" w:line="288" w:before="0" w:after="200"/>
        <w:ind w:left="0" w:right="0" w:firstLine="160"/>
        <w:jc w:val="left"/>
        <w:rPr/>
      </w:pPr>
      <w:r>
        <w:rPr>
          <w:color w:val="000000"/>
        </w:rPr>
        <w:t>“</w:t>
      </w:r>
      <w:r>
        <w:rPr>
          <w:rFonts w:ascii="Times New Roman;sans-serif" w:hAnsi="Times New Roman;sans-serif"/>
          <w:b/>
          <w:color w:val="000000"/>
          <w:sz w:val="24"/>
        </w:rPr>
        <w:t>Nonpublic</w:t>
      </w:r>
      <w:r>
        <w:rPr>
          <w:color w:val="000000"/>
        </w:rPr>
        <w:t xml:space="preserve">” </w:t>
      </w:r>
      <w:r>
        <w:rPr>
          <w:rFonts w:ascii="Times New Roman;sans-serif" w:hAnsi="Times New Roman;sans-serif"/>
          <w:b w:val="false"/>
          <w:color w:val="000000"/>
          <w:sz w:val="24"/>
        </w:rPr>
        <w:t>means that the confidential information has not yet been shared broadly outside the Company. Please remember as well that we may possess confidential information relating to or belonging to our customers, partners or other third parties and that it is equally important that we treat this information with the same care with which we treat our own information. If you are not sure whether information is considered public, you should either consult with our General Counsel or assume that the information is nonpublic and treat it as confidential. For purposes of this Policy, information will be considered public after the close of trading on the second full trading day following the Company’s widespread public release of the information, with the exception of Blackout Periods (as defined below).</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For purposes of this Policy, the term “</w:t>
      </w:r>
      <w:r>
        <w:rPr>
          <w:rFonts w:ascii="Times New Roman;sans-serif" w:hAnsi="Times New Roman;sans-serif"/>
          <w:b/>
          <w:color w:val="000000"/>
          <w:sz w:val="24"/>
        </w:rPr>
        <w:t>trade</w:t>
      </w:r>
      <w:r>
        <w:rPr>
          <w:color w:val="000000"/>
        </w:rPr>
        <w:t xml:space="preserve">” </w:t>
      </w:r>
      <w:r>
        <w:rPr>
          <w:rFonts w:ascii="Times New Roman;sans-serif" w:hAnsi="Times New Roman;sans-serif"/>
          <w:b w:val="false"/>
          <w:color w:val="000000"/>
          <w:sz w:val="24"/>
        </w:rPr>
        <w:t>includes any transaction involving our securities, including common stock, restricted stock units (“</w:t>
      </w:r>
      <w:r>
        <w:rPr>
          <w:rFonts w:ascii="Times New Roman;sans-serif" w:hAnsi="Times New Roman;sans-serif"/>
          <w:b/>
          <w:color w:val="000000"/>
          <w:sz w:val="24"/>
        </w:rPr>
        <w:t>RSUs</w:t>
      </w:r>
      <w:r>
        <w:rPr>
          <w:color w:val="000000"/>
        </w:rPr>
        <w:t>”</w:t>
      </w:r>
      <w:r>
        <w:rPr>
          <w:rFonts w:ascii="Times New Roman;sans-serif" w:hAnsi="Times New Roman;sans-serif"/>
          <w:b w:val="false"/>
          <w:color w:val="000000"/>
          <w:sz w:val="24"/>
        </w:rPr>
        <w:t>), options and warrants to purchase common stock and any other debt or equity securities the Company may issue from time to time, such as bonds, preferred stock, convertible notes, as well as to derivative securities relating to the Company’s securities, whether or not issued by the Company, such as exchange-traded options.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It is important to note that anyone who is reviewing your securities transactions will be doing so after the fact, with the benefit of hindsight. As such, before engaging in any transaction, you should carefully consider how the others might view the transaction.</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1.AUTHORIZED DISCLOSURE</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U.S. federal securities laws prohibit the Company from selectively disclosing MNPI. We have established procedures for releasing material information in a manner that is designed to achieve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broad dissemination of the information immediately upon its release. Insiders may not, therefore, disclose MNPI to anyone outside of the Company, including family members and friends, other than in accordance with those established procedures. Any inquiries about the Company should be directed to our Investor Relations team.</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1.PROHIBITED ACTIVITIES AND OTHER RESTRICTIONS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Insider Restrictions: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is a list of prohibited activities for all Insiders:</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a.Trade our securities while in possession of any MNPI (other than pursuant to a Rule 10b5-1 Plan entered into in accordance with this Policy) or advise anyone else to do so.</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a.Trade our securities outside of a Trading Window (as defined below) or during a Blackout Period designated by our General Counsel (other than pursuant to a Rule 10b5-1 Plan entered into in accordance with this Policy).</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b.Unless approved in advance by our General Counsel, make a gift, charitable contribution or other transfer of our securities, without consideration, during a period when the Insider cannot trade.</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c.Make recommendations or express opinions on trading in our securities while in possession of or aware of MNPI, except to advise others not to trade in our securities if doing so might violate the law or this Policy. Insiders should refrain from discussing our business or making recommendations about buying or selling our securities or the securities of affiliated companies. Inquiries about the Company should be directed to our Investor Relations team.</w: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 xml:space="preserve">d.Give trading advice related to the Company’s securities, </w:t>
      </w:r>
      <w:r>
        <w:rPr>
          <w:rFonts w:ascii="Times New Roman;sans-serif" w:hAnsi="Times New Roman;sans-serif"/>
          <w:b w:val="false"/>
          <w:i/>
          <w:color w:val="000000"/>
          <w:sz w:val="24"/>
        </w:rPr>
        <w:t xml:space="preserve">unless </w:t>
      </w:r>
      <w:r>
        <w:rPr>
          <w:rFonts w:ascii="Times New Roman;sans-serif" w:hAnsi="Times New Roman;sans-serif"/>
          <w:b w:val="false"/>
          <w:color w:val="000000"/>
          <w:sz w:val="24"/>
        </w:rPr>
        <w:t>the advice is to tell someone not to trade our securities because the trade would violate this Policy or any applicable federal or state law.</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e.Other than the exercise of equity awards issued by us, engage in transactions involving options or other derivative securities on our stock, such as puts and calls, whether on an exchange or in any other market.</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f.Engage in hedging or monetization transactions involving our securities, such as zero cost collars and forward sale contracts, or contribute our securities to exchange funds in a manner that could be interpreted as hedging in our stock.</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g.Engage in short sales of our securities, meaning a sale of securities that you do not own, including</w:t>
      </w:r>
    </w:p>
    <w:p>
      <w:pPr>
        <w:pStyle w:val="TextBody"/>
        <w:bidi w:val="0"/>
        <w:spacing w:lineRule="auto" w:line="288" w:before="0" w:after="200"/>
        <w:ind w:left="0" w:right="0" w:firstLine="911"/>
        <w:jc w:val="left"/>
        <w:rPr>
          <w:rFonts w:ascii="Times New Roman;sans-serif" w:hAnsi="Times New Roman;sans-serif"/>
          <w:b w:val="false"/>
          <w:color w:val="000000"/>
          <w:sz w:val="24"/>
        </w:rPr>
      </w:pPr>
      <w:r>
        <w:rPr>
          <w:rFonts w:ascii="Times New Roman;sans-serif" w:hAnsi="Times New Roman;sans-serif"/>
          <w:b w:val="false"/>
          <w:color w:val="000000"/>
          <w:sz w:val="24"/>
        </w:rPr>
        <w:t>short sales “against the box.”</w: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 xml:space="preserve">a.Use or pledge our securities as collateral in a margin account or as collateral for a loan </w:t>
      </w:r>
      <w:r>
        <w:rPr>
          <w:rFonts w:ascii="Times New Roman;sans-serif" w:hAnsi="Times New Roman;sans-serif"/>
          <w:b w:val="false"/>
          <w:i/>
          <w:color w:val="000000"/>
          <w:sz w:val="24"/>
        </w:rPr>
        <w:t>unless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911"/>
        <w:jc w:val="left"/>
        <w:rPr>
          <w:rFonts w:ascii="Times New Roman;sans-serif" w:hAnsi="Times New Roman;sans-serif"/>
          <w:b w:val="false"/>
          <w:color w:val="000000"/>
          <w:sz w:val="24"/>
        </w:rPr>
      </w:pPr>
      <w:r>
        <w:rPr>
          <w:rFonts w:ascii="Times New Roman;sans-serif" w:hAnsi="Times New Roman;sans-serif"/>
          <w:b w:val="false"/>
          <w:color w:val="000000"/>
          <w:sz w:val="24"/>
        </w:rPr>
        <w:t>the pledge has been approved by our General Counsel.</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a.Distribute our securities to limited partners, general partners or stockholders of any entity outside of a Trading Window or during a Blackout Period, unless those limited partners, general partners or stockholders have agreed in writing to hold the securities until the next open Trading Window.</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b.Engage in any of the above activities for securities you own in any other company if you have MNPI about such company obtained in the course of your service to the Company.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Additional Restrictions Applicable to Section 16 Officers and Designated Insiders: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of the restrictions noted above for Insiders also apply to our Section 16 Officers and Designated Insiders.</w:t>
      </w:r>
    </w:p>
    <w:p>
      <w:pPr>
        <w:pStyle w:val="TextBody"/>
        <w:bidi w:val="0"/>
        <w:spacing w:lineRule="auto" w:line="288" w:before="0" w:after="200"/>
        <w:ind w:left="0" w:right="0" w:firstLine="100"/>
        <w:jc w:val="left"/>
        <w:rPr>
          <w:rFonts w:ascii="Times New Roman;sans-serif" w:hAnsi="Times New Roman;sans-serif"/>
          <w:b/>
          <w:color w:val="000000"/>
          <w:sz w:val="24"/>
        </w:rPr>
      </w:pPr>
      <w:r>
        <w:rPr>
          <w:rFonts w:ascii="Times New Roman;sans-serif" w:hAnsi="Times New Roman;sans-serif"/>
          <w:b/>
          <w:color w:val="000000"/>
          <w:sz w:val="24"/>
        </w:rPr>
        <w:t>Prior to trading our securities Section 16 Officers and Designated Insiders must obtain pre- approval from our General Counsel (or in the case of the General Counsel, the Chief Financial Officer) by: (a) providing written notification of the amount and nature of the proposed trade, (b) certifying no earlier than two business days prior to the proposed trade that you have no MNPI and (c) receiving email confirmation from our General Counsel approving the trade, which approval can be granted or denied at his or her discretion. You may satisfy (a) and (b) by emailing the required information and certification to our General Counsel.</w:t>
      </w:r>
    </w:p>
    <w:p>
      <w:pPr>
        <w:pStyle w:val="TextBody"/>
        <w:bidi w:val="0"/>
        <w:spacing w:lineRule="auto" w:line="288" w:before="0" w:after="200"/>
        <w:ind w:left="0" w:right="0" w:firstLine="100"/>
        <w:jc w:val="left"/>
        <w:rPr>
          <w:rFonts w:ascii="Times New Roman;sans-serif" w:hAnsi="Times New Roman;sans-serif"/>
          <w:b/>
          <w:color w:val="000000"/>
          <w:sz w:val="24"/>
        </w:rPr>
      </w:pPr>
      <w:r>
        <w:rPr>
          <w:rFonts w:ascii="Times New Roman;sans-serif" w:hAnsi="Times New Roman;sans-serif"/>
          <w:b/>
          <w:color w:val="000000"/>
          <w:sz w:val="24"/>
        </w:rPr>
        <w:t>Exceptions to Prohibited Activities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The trading restrictions of this Policy do not apply to the following:</w: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401(k) Plan. </w:t>
      </w:r>
      <w:r>
        <w:rPr>
          <w:rFonts w:ascii="Times New Roman;sans-serif" w:hAnsi="Times New Roman;sans-serif"/>
          <w:b w:val="false"/>
          <w:color w:val="000000"/>
          <w:sz w:val="24"/>
        </w:rPr>
        <w:t>Investing 401(k) plan contributions in a company stock fund in accordance with the terms of our 401(k) plan. However, any changes in your investment election regarding the Company’s securities are subject to trading restrictions under this Policy.</w: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Options. </w:t>
      </w:r>
      <w:r>
        <w:rPr>
          <w:rFonts w:ascii="Times New Roman;sans-serif" w:hAnsi="Times New Roman;sans-serif"/>
          <w:b w:val="false"/>
          <w:color w:val="000000"/>
          <w:sz w:val="24"/>
        </w:rPr>
        <w:t>Exercising stock options granted under our equity incentive plans for cash or by delivering to the Company previously owned Company stock or through a net exercise of a stock option that is permitted by the Company’s equity incentive plan and that does not involve a sales of shares in the open market. Payment of taxes in connection with exercising stock options granted under our equity incentive plans pursuant to net settlement arrangements approved by the Company for the payment of taxes upon the exercise of stock options and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 day sales”) are subject to trading restrictions under this Policy.</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c.</w:t>
      </w:r>
      <w:r>
        <w:rPr>
          <w:rFonts w:ascii="Times New Roman;sans-serif" w:hAnsi="Times New Roman;sans-serif"/>
          <w:b/>
          <w:color w:val="000000"/>
          <w:sz w:val="24"/>
        </w:rPr>
        <w:t xml:space="preserve">Restricted Stock Units </w:t>
      </w:r>
      <w:r>
        <w:rPr>
          <w:rFonts w:ascii="Times New Roman;sans-serif" w:hAnsi="Times New Roman;sans-serif"/>
          <w:b w:val="false"/>
          <w:color w:val="000000"/>
          <w:sz w:val="24"/>
        </w:rPr>
        <w:t>(</w:t>
      </w:r>
      <w:r>
        <w:rPr>
          <w:rFonts w:ascii="Times New Roman;sans-serif" w:hAnsi="Times New Roman;sans-serif"/>
          <w:b/>
          <w:color w:val="000000"/>
          <w:sz w:val="24"/>
        </w:rPr>
        <w:t>RSUs</w:t>
      </w:r>
      <w:r>
        <w:rPr>
          <w:rFonts w:ascii="Times New Roman;sans-serif" w:hAnsi="Times New Roman;sans-serif"/>
          <w:b w:val="false"/>
          <w:color w:val="000000"/>
          <w:sz w:val="24"/>
        </w:rPr>
        <w:t>)</w:t>
      </w:r>
      <w:r>
        <w:rPr>
          <w:rFonts w:ascii="Times New Roman;sans-serif" w:hAnsi="Times New Roman;sans-serif"/>
          <w:b/>
          <w:color w:val="000000"/>
          <w:sz w:val="24"/>
        </w:rPr>
        <w:t xml:space="preserve">. </w:t>
      </w:r>
      <w:r>
        <w:rPr>
          <w:rFonts w:ascii="Times New Roman;sans-serif" w:hAnsi="Times New Roman;sans-serif"/>
          <w:b w:val="false"/>
          <w:color w:val="000000"/>
          <w:sz w:val="24"/>
        </w:rPr>
        <w:t>The settlement of RSUs pursuant to a net settlement or a “sale to cover” for non-discretionary, automatic tax withholdings initiated and approved by the Company for the payment of taxes upon the vesting of RSUs.</w:t>
      </w:r>
    </w:p>
    <w:p>
      <w:pPr>
        <w:pStyle w:val="TextBody"/>
        <w:bidi w:val="0"/>
        <w:spacing w:lineRule="auto" w:line="288" w:before="0" w:after="200"/>
        <w:ind w:left="0" w:right="0" w:hanging="360"/>
        <w:jc w:val="left"/>
        <w:rPr/>
      </w:pPr>
      <w:r>
        <w:rPr>
          <w:rFonts w:ascii="Times New Roman;sans-serif" w:hAnsi="Times New Roman;sans-serif"/>
          <w:b w:val="false"/>
          <w:color w:val="000000"/>
          <w:sz w:val="24"/>
        </w:rPr>
        <w:t>d.</w:t>
      </w:r>
      <w:r>
        <w:rPr>
          <w:rFonts w:ascii="Times New Roman;sans-serif" w:hAnsi="Times New Roman;sans-serif"/>
          <w:b/>
          <w:color w:val="000000"/>
          <w:sz w:val="24"/>
        </w:rPr>
        <w:t>Managed Accounts</w:t>
      </w:r>
      <w:r>
        <w:rPr>
          <w:rFonts w:ascii="Times New Roman;sans-serif" w:hAnsi="Times New Roman;sans-serif"/>
          <w:b w:val="false"/>
          <w:color w:val="000000"/>
          <w:sz w:val="24"/>
        </w:rPr>
        <w:t xml:space="preserve">. Transactions executed in an account managed by a third-party investment professional ( a “Managed Account”), provided you obtain prior written confirmation from the person or entity managing your account in substantially the form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Other Legal Restrictions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The trading prohibitions of this Policy are not the only stock-trading rules and regulations you need to follow. You should be aware of additional prohibitions and restrictions set by contract or by federal and state securities laws and regulations (e.g., contractual restrictions on the resale of securities, rules on short swing trading by Section 16 Officers, compliance with Rule 144 under the Securities Act of 1933, as amended, and others). Any Insider who is uncertain whether other prohibitions or restrictions apply should ask our General Counsel.</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Designated Trading Periods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To promote compliance with insider trading laws, we have designated periods where Insiders can trade in our securities, which are described below:</w:t>
      </w:r>
    </w:p>
    <w:p>
      <w:pPr>
        <w:pStyle w:val="TextBody"/>
        <w:bidi w:val="0"/>
        <w:spacing w:lineRule="auto" w:line="288" w:before="0" w:after="200"/>
        <w:ind w:left="0" w:right="0" w:firstLine="100"/>
        <w:jc w:val="left"/>
        <w:rPr/>
      </w:pPr>
      <w:r>
        <w:rPr>
          <w:rFonts w:ascii="Times New Roman;sans-serif" w:hAnsi="Times New Roman;sans-serif"/>
          <w:b/>
          <w:color w:val="000000"/>
          <w:sz w:val="24"/>
        </w:rPr>
        <w:t xml:space="preserve">You Can Only Trade in a Trading Window. </w:t>
      </w:r>
      <w:r>
        <w:rPr>
          <w:rFonts w:ascii="Times New Roman;sans-serif" w:hAnsi="Times New Roman;sans-serif"/>
          <w:b w:val="false"/>
          <w:color w:val="000000"/>
          <w:sz w:val="24"/>
        </w:rPr>
        <w:t xml:space="preserve">Insiders shall trade our securities only when not in possession of MNPI during an open “Trading Window”. The Trading Window generally opens </w:t>
      </w:r>
      <w:r>
        <w:rPr>
          <w:rFonts w:ascii="Times New Roman;sans-serif" w:hAnsi="Times New Roman;sans-serif"/>
          <w:b/>
          <w:color w:val="000000"/>
          <w:sz w:val="24"/>
        </w:rPr>
        <w:t xml:space="preserve">following the close of trading on the second trading day </w:t>
      </w:r>
      <w:r>
        <w:rPr>
          <w:rFonts w:ascii="Times New Roman;sans-serif" w:hAnsi="Times New Roman;sans-serif"/>
          <w:b w:val="false"/>
          <w:color w:val="000000"/>
          <w:sz w:val="24"/>
        </w:rPr>
        <w:t>following the widespread public release of quarterly or year-end operating results, and closes at the close of trading on the 15th calendar day of the third month of the then-current quarter. For example, if we publicly announce our quarterly financial results after close of trading on a Monday (or before trading begins on a Tuesday), then the first time an Insider can trade our securities is after the close of market on Tuesday (effectively at the opening of the market on Wednesday for regular trading). However, if we announce quarterly financial results after trading begins on that Tuesday, then the first time the Insider can trade is after the close of market on Wednesday (effectively at the opening of the market on Thursday for regular trading).</w:t>
      </w:r>
    </w:p>
    <w:p>
      <w:pPr>
        <w:pStyle w:val="TextBody"/>
        <w:bidi w:val="0"/>
        <w:spacing w:lineRule="auto" w:line="288" w:before="0" w:after="200"/>
        <w:ind w:left="0" w:right="0" w:firstLine="100"/>
        <w:jc w:val="left"/>
        <w:rPr/>
      </w:pPr>
      <w:r>
        <w:rPr>
          <w:rFonts w:ascii="Times New Roman;sans-serif" w:hAnsi="Times New Roman;sans-serif"/>
          <w:b w:val="false"/>
          <w:i/>
          <w:color w:val="000000"/>
          <w:sz w:val="24"/>
        </w:rPr>
        <w:t>Even During a Trading Window, You Are Not Allowed To Trade While in Possession of MNPI</w:t>
      </w:r>
      <w:r>
        <w:rPr>
          <w:rFonts w:ascii="Times New Roman;sans-serif" w:hAnsi="Times New Roman;sans-serif"/>
          <w:b w:val="false"/>
          <w:color w:val="000000"/>
          <w:sz w:val="24"/>
        </w:rPr>
        <w:t>. Even during a Trading Window, you still may not trade our securities if you possess MNPI at that time. An Insider who possesses MNPI during a Trading Window may only trade our securities after the close of trading on the next full trading day following our widespread public release of that MNPI.</w:t>
      </w:r>
    </w:p>
    <w:p>
      <w:pPr>
        <w:pStyle w:val="TextBody"/>
        <w:bidi w:val="0"/>
        <w:spacing w:lineRule="auto" w:line="288" w:before="0" w:after="200"/>
        <w:ind w:left="0" w:right="0" w:firstLine="100"/>
        <w:jc w:val="left"/>
        <w:rPr/>
      </w:pPr>
      <w:r>
        <w:rPr>
          <w:rFonts w:ascii="Times New Roman;sans-serif" w:hAnsi="Times New Roman;sans-serif"/>
          <w:b/>
          <w:color w:val="000000"/>
          <w:sz w:val="24"/>
        </w:rPr>
        <w:t xml:space="preserve">You Cannot Trade During a Blackout Period. </w:t>
      </w:r>
      <w:r>
        <w:rPr>
          <w:rFonts w:ascii="Times New Roman;sans-serif" w:hAnsi="Times New Roman;sans-serif"/>
          <w:b w:val="false"/>
          <w:color w:val="000000"/>
          <w:sz w:val="24"/>
        </w:rPr>
        <w:t>Even during a Trading Window, our General Counsel, at his or her discretion, may designate special trading Blackout Periods that apply to specific individuals or groups of people (including all Insiders) for as long as our General Counsel determines. A “</w:t>
      </w:r>
      <w:r>
        <w:rPr>
          <w:rFonts w:ascii="Times New Roman;sans-serif" w:hAnsi="Times New Roman;sans-serif"/>
          <w:b/>
          <w:color w:val="000000"/>
          <w:sz w:val="24"/>
        </w:rPr>
        <w:t>Blackout Period</w:t>
      </w:r>
      <w:r>
        <w:rPr>
          <w:color w:val="000000"/>
        </w:rPr>
        <w:t xml:space="preserve">” </w:t>
      </w:r>
      <w:r>
        <w:rPr>
          <w:rFonts w:ascii="Times New Roman;sans-serif" w:hAnsi="Times New Roman;sans-serif"/>
          <w:b w:val="false"/>
          <w:color w:val="000000"/>
          <w:sz w:val="24"/>
        </w:rPr>
        <w:t xml:space="preserve">is a time before and after a material event wherein an Insider may not buy or sell our securities without violating this Policy. Additionally, no Insider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may disclose to anyone that a special Blackout Period has been designated or that one previously was in place and such information is deemed confidential information of the Company. Therefore, if at any point you are made aware of such a Blackout Period, do not disclose its existence to anyone. Whether or not you are designated as being subject to a Blackout Period, you still have the obligation not to purchase or sell our securities while you are in possession of MNPI.</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1.PERMITTED TRADES UNDER “RULE 10b5-1 PLANS”</w:t>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The United States Securities and Exchange Commission has adopted Rule 10b5-1 under which insider trading liability can be avoided if Insiders follow very specific procedures. In general, such procedures involve trading according to pre-established instructions (a “</w:t>
      </w:r>
      <w:r>
        <w:rPr>
          <w:rFonts w:ascii="Times New Roman;sans-serif" w:hAnsi="Times New Roman;sans-serif"/>
          <w:b/>
          <w:color w:val="000000"/>
          <w:sz w:val="24"/>
        </w:rPr>
        <w:t>Pre-established Trade</w:t>
      </w:r>
      <w:r>
        <w:rPr>
          <w:color w:val="000000"/>
        </w:rPr>
        <w:t>”</w:t>
      </w:r>
      <w:r>
        <w:rPr>
          <w:rFonts w:ascii="Times New Roman;sans-serif" w:hAnsi="Times New Roman;sans-serif"/>
          <w:b w:val="false"/>
          <w:color w:val="000000"/>
          <w:sz w:val="24"/>
        </w:rPr>
        <w:t>).</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If the Rule 10b5-1 plan meets all of the requirements for such a plan, and the purchases and/or sales are actually made in accordance with the terms and conditions of such plan, the trades will not be deemed to have been made “on the basis of” MNPI, even if the Insider is actually aware of MNPI at the time of execution of the transactions provided for by the plan.</w:t>
      </w:r>
    </w:p>
    <w:p>
      <w:pPr>
        <w:pStyle w:val="TextBody"/>
        <w:bidi w:val="0"/>
        <w:spacing w:lineRule="auto" w:line="288" w:before="0" w:after="200"/>
        <w:ind w:left="0" w:right="0" w:firstLine="100"/>
        <w:jc w:val="left"/>
        <w:rPr/>
      </w:pPr>
      <w:r>
        <w:rPr>
          <w:rFonts w:ascii="Times New Roman;sans-serif" w:hAnsi="Times New Roman;sans-serif"/>
          <w:b/>
          <w:i/>
          <w:color w:val="000000"/>
          <w:sz w:val="24"/>
        </w:rPr>
        <w:t xml:space="preserve">Who Can Enter Into a 10b5-1 Plan? </w:t>
      </w:r>
      <w:r>
        <w:rPr>
          <w:rFonts w:ascii="Times New Roman;sans-serif" w:hAnsi="Times New Roman;sans-serif"/>
          <w:b w:val="false"/>
          <w:color w:val="000000"/>
          <w:sz w:val="24"/>
        </w:rPr>
        <w:t>We allow any Insider to enter into a 10b5-1 Plan. Because Section 16 Officers and] Designated Insiders are more likely than other Insiders to have access to MNPI, we strongly encourage, but do not require, all of our Designated Insiders to establish a 10b5-1 Plan for trading</w:t>
      </w:r>
    </w:p>
    <w:p>
      <w:pPr>
        <w:pStyle w:val="TextBody"/>
        <w:bidi w:val="0"/>
        <w:spacing w:lineRule="auto" w:line="288" w:before="0" w:after="200"/>
        <w:ind w:left="0" w:right="0" w:firstLine="100"/>
        <w:jc w:val="left"/>
        <w:rPr/>
      </w:pPr>
      <w:r>
        <w:rPr>
          <w:rFonts w:ascii="Times New Roman;sans-serif" w:hAnsi="Times New Roman;sans-serif"/>
          <w:b/>
          <w:i/>
          <w:color w:val="000000"/>
          <w:sz w:val="24"/>
        </w:rPr>
        <w:t xml:space="preserve">How to Adopt a 10b5-1 Plan? </w:t>
      </w:r>
      <w:r>
        <w:rPr>
          <w:rFonts w:ascii="Times New Roman;sans-serif" w:hAnsi="Times New Roman;sans-serif"/>
          <w:b w:val="false"/>
          <w:color w:val="000000"/>
          <w:sz w:val="24"/>
        </w:rPr>
        <w:t>We expect to engage a third party to act as administrator our 10b5-1 Plans and any 10b5-1 Plan that you adopt must be adopted through such firm unless otherwise approved by our General Counsel. If you are interested in setting up a 10b5-1 Plan, you should consult with our General Counsel and make sure that:</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a.The 10b5-1 Plan complies with the requirements of Rule 10b5-1 under the Securities Exchange Act of 1934, as amended, and this Policy.</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a.You have certified to our General Counsel in writing, no earlier than two business days prior to the date that the 10b5-1 Plan is formally adopted, that (i) you are not in possession of MNPI, (ii) all trades to be made pursuant to the 10b5-1 Plan will be in accordance with applicable SEC rules, and (iii) the 10b5-1 Plan complies with the requirements of Rule 10b5-1. This certification may be made in an email to our General Counsel.</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b.The first trade under the 10b5-1 Plan does not occur until the opening of the next Trading Window following our General Counsel’s approval of the 10b5-1 Plan.</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c.The 10b5-1 Plan is adopted during a Trading Window and not during any Blackout Period.</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An individual may have no more than one 10b5-1 Plan adopted at any point in time (i.e., multiple concurrent plans are prohibited).</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100"/>
        <w:jc w:val="left"/>
        <w:rPr/>
      </w:pPr>
      <w:r>
        <w:rPr>
          <w:rFonts w:ascii="Times New Roman;sans-serif" w:hAnsi="Times New Roman;sans-serif"/>
          <w:b/>
          <w:color w:val="000000"/>
          <w:sz w:val="24"/>
        </w:rPr>
        <w:t xml:space="preserve">Pre-established Trades. </w:t>
      </w:r>
      <w:r>
        <w:rPr>
          <w:rFonts w:ascii="Times New Roman;sans-serif" w:hAnsi="Times New Roman;sans-serif"/>
          <w:b w:val="false"/>
          <w:color w:val="000000"/>
          <w:sz w:val="24"/>
        </w:rPr>
        <w:t>Pre-established Trades must:</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a.Be documented by a contract, written plan, or formal instruction which provides that the trade take place in the future. This documentation must be provided to the Company’s General Counsel;</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a.Include in its documentation the specific amount, price and timing of the trade, or the formula for determining the amount, price and timing; where trading decisions have been delegated, the specific amount, price and timing need not be provided;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b.Be implemented at a time when the Insider does not possess MNPI (i.e. Insider should set up Pre- established Trades, or delegate trading discretion, only during a Trading Window); and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c.Remain beyond the scope of the Insider’s influence after implementation. The Insider must allow the Pre-established Trade to be executed without changes to the accompanying instructions, and the Insider cannot later execute a hedge transaction that modifies the effect of the Pre-established Trade.</w:t>
      </w:r>
    </w:p>
    <w:p>
      <w:pPr>
        <w:pStyle w:val="TextBody"/>
        <w:bidi w:val="0"/>
        <w:spacing w:lineRule="auto" w:line="288" w:before="0" w:after="200"/>
        <w:ind w:left="0" w:right="0" w:firstLine="100"/>
        <w:jc w:val="left"/>
        <w:rPr/>
      </w:pPr>
      <w:r>
        <w:rPr>
          <w:rFonts w:ascii="Times New Roman;sans-serif" w:hAnsi="Times New Roman;sans-serif"/>
          <w:b/>
          <w:color w:val="000000"/>
          <w:sz w:val="24"/>
        </w:rPr>
        <w:t xml:space="preserve">Pre-Clearance of Trades. </w:t>
      </w:r>
      <w:r>
        <w:rPr>
          <w:rFonts w:ascii="Times New Roman;sans-serif" w:hAnsi="Times New Roman;sans-serif"/>
          <w:b w:val="false"/>
          <w:color w:val="000000"/>
          <w:sz w:val="24"/>
        </w:rPr>
        <w:t>Prior to implementing a pre-established plan for trading, all officers and directors must obtain a pre-clearance to establish a Rule 10b5-1 Plan. Even during a Trading Window, all officers and directors of the Company, as well as members of the immediate family or household of such officers and directors, must comply with the Company’s “pre-clearance” process prior to trading in the Company’s securities, implementing a pre-established plan for trading, or delegating decision-making authority over the Insider’s trades. To do so, each officer and director must contact the General Counsel prior to initiating any of these actions.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Approval of a 10b5-1 Plan by our General Counsel shall not be considered a determination by us or our General Counsel that the 10b5-1 Plan satisfies the requirements of Rule 10b5-1.</w:t>
      </w:r>
    </w:p>
    <w:p>
      <w:pPr>
        <w:pStyle w:val="TextBody"/>
        <w:bidi w:val="0"/>
        <w:spacing w:lineRule="auto" w:line="288" w:before="0" w:after="200"/>
        <w:ind w:left="0" w:right="0" w:firstLine="100"/>
        <w:jc w:val="left"/>
        <w:rPr/>
      </w:pPr>
      <w:r>
        <w:rPr>
          <w:rFonts w:ascii="Times New Roman;sans-serif" w:hAnsi="Times New Roman;sans-serif"/>
          <w:b/>
          <w:i/>
          <w:color w:val="000000"/>
          <w:sz w:val="24"/>
        </w:rPr>
        <w:t xml:space="preserve">How Do I Modify a Rule 10b5-1 Plan? </w:t>
      </w:r>
      <w:r>
        <w:rPr>
          <w:rFonts w:ascii="Times New Roman;sans-serif" w:hAnsi="Times New Roman;sans-serif"/>
          <w:b w:val="false"/>
          <w:color w:val="000000"/>
          <w:sz w:val="24"/>
        </w:rPr>
        <w:t>Because the SEC views the modification of a Rule 10b5-1 Plan to be the same as terminating an existing Rule 10b5-1 Plan and entering into a new Rule 10b5-1 Plan, the approval process for modifying a Rule 10b5-1 Plan is similar to that for initially adopting the plan. Once you have an approved Rule 10b5-1 Plan in place, you will need approval from our General Counsel if you want to make any changes to it. We may limit your ability to modify your Rule 10b5-1 Plan because making frequent changes to a Rule 10b5-1 Plan may give the appearance that you are trading on MNPI under the guise of that plan. Modifications to a Rule 10b5-1 Plan can only be made during a Trading Window and not during any Blackout Period and when you are not in possession of MNPI. Any changes to your Rule 10b5-1 Plan will be subject to a “cooling off’ period, meaning that the first trade under the modified Rule 10b5-1 Plan may not occur until the opening of the next Trading Window following the General Counsel’s approval of the modification to the Rule 10b5-1 Plan.</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1.THERE ARE SIGNIFICANT CONSEQUENCES FOR VIOLATING INSIDER TRADING LAWS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1.CONSEQUENCES OF VIOLATING THIS POLICY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We may impose discipline on anyone violating this Policy, up to and including termination of employment, and we may issue stop transfer orders to our transfer agent to prevent any attempted trades that would violate this Policy.</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1.ADMINISTRATION</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The General Counsel will administer and interpret this Policy and enforce compliance as needed. The General Counsel may consult with the Company’s outside legal counsel as needed. The General Counsel may designate other individuals to perform the General Counsel’s duties under this Policy.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Neither the Company nor the General Counsel will be liable for any act made under this Policy. Neither the Company nor the General Counsel is responsible for any failure to approve a trade or for imposing any Blackout Period.</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1.REPORTING VIOLATIONS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Any Insider who violates this Policy or any federal or state laws governing insider trading or tipping, or who knows of any such violation by any other Insider, must report the violation immediately to our General Counsel. If you want to submit a concern or complaint regarding a possible violation of this Policy anonymously, you should follow the procedures outlined in our Whistleblower Policy. Anyone who violates this Policy may be subject to disciplinary measures, which may include termination of employment.</w:t>
      </w:r>
    </w:p>
    <w:p>
      <w:pPr>
        <w:pStyle w:val="TextBody"/>
        <w:bidi w:val="0"/>
        <w:spacing w:lineRule="auto" w:line="288" w:before="0" w:after="2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1.CHANGES TO THIS POLICY</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Our Board reserves the right in its sole discretion to modify or grant waivers to this Policy. Any amendments or waiver may be publicly disclosed if required by applicable laws, rules and regulations.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6"/>
        <w:jc w:val="left"/>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Designated Insiders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Vice President level employees and above</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administrative assistants to a Designated Insiders.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members of the legal function that prepare (or assist with preparing) SEC filings and earnings materials</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members of the Investor Relations function that assist with preparing earnings releases All members of the Disclosure Committee</w:t>
      </w:r>
    </w:p>
    <w:p>
      <w:pPr>
        <w:pStyle w:val="TextBody"/>
        <w:bidi w:val="0"/>
        <w:spacing w:lineRule="auto" w:line="288" w:before="0" w:after="200"/>
        <w:ind w:left="0" w:right="0" w:firstLine="100"/>
        <w:jc w:val="left"/>
        <w:rPr>
          <w:rFonts w:ascii="Times New Roman;sans-serif" w:hAnsi="Times New Roman;sans-serif"/>
          <w:b w:val="false"/>
          <w:color w:val="000000"/>
          <w:sz w:val="24"/>
        </w:rPr>
      </w:pPr>
      <w:r>
        <w:rPr>
          <w:rFonts w:ascii="Times New Roman;sans-serif" w:hAnsi="Times New Roman;sans-serif"/>
          <w:b w:val="false"/>
          <w:color w:val="000000"/>
          <w:sz w:val="24"/>
        </w:rPr>
        <w:t>All members of the Finance and Accounting functions.</w:t>
      </w:r>
    </w:p>
    <w:p>
      <w:pPr>
        <w:pStyle w:val="TextBody"/>
        <w:bidi w:val="0"/>
        <w:spacing w:before="0" w:after="200"/>
        <w:jc w:val="left"/>
        <w:rPr/>
      </w:pPr>
      <w:r>
        <w:rPr/>
      </w:r>
    </w:p>
    <w:p>
      <w:pPr>
        <w:pStyle w:val="TextBody"/>
        <w:bidi w:val="0"/>
        <w:spacing w:lineRule="auto" w:line="288" w:before="0" w:after="200"/>
        <w:ind w:left="0" w:right="0" w:firstLine="3"/>
        <w:jc w:val="left"/>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ind w:left="0" w:right="0" w:firstLine="1"/>
        <w:jc w:val="left"/>
        <w:rPr>
          <w:rFonts w:ascii="Times New Roman;sans-serif" w:hAnsi="Times New Roman;sans-serif"/>
          <w:b w:val="false"/>
          <w:color w:val="000000"/>
          <w:sz w:val="24"/>
        </w:rPr>
      </w:pPr>
      <w:r>
        <w:rPr>
          <w:rFonts w:ascii="Times New Roman;sans-serif" w:hAnsi="Times New Roman;sans-serif"/>
          <w:b w:val="false"/>
          <w:color w:val="000000"/>
          <w:sz w:val="24"/>
        </w:rPr>
        <w:t>CONFIRMATION OF MANAGED ACCOUNT</w: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ind w:left="0" w:right="0" w:firstLine="137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Client Name: </w:t>
      </w:r>
    </w:p>
    <w:p>
      <w:pPr>
        <w:pStyle w:val="TextBody"/>
        <w:bidi w:val="0"/>
        <w:spacing w:before="0" w:after="200"/>
        <w:jc w:val="left"/>
        <w:rPr/>
      </w:pPr>
      <w:r>
        <w:rPr/>
      </w:r>
    </w:p>
    <w:p>
      <w:pPr>
        <w:pStyle w:val="TextBody"/>
        <w:bidi w:val="0"/>
        <w:spacing w:lineRule="auto" w:line="288" w:before="0" w:after="200"/>
        <w:ind w:left="0" w:right="0" w:firstLine="137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Address: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ind w:left="0" w:right="0" w:firstLine="1377"/>
        <w:jc w:val="left"/>
        <w:rPr>
          <w:rFonts w:ascii="Times New Roman;sans-serif" w:hAnsi="Times New Roman;sans-serif"/>
          <w:b w:val="false"/>
          <w:color w:val="000000"/>
          <w:sz w:val="24"/>
        </w:rPr>
      </w:pPr>
      <w:r>
        <w:rPr>
          <w:rFonts w:ascii="Times New Roman;sans-serif" w:hAnsi="Times New Roman;sans-serif"/>
          <w:b w:val="false"/>
          <w:color w:val="000000"/>
          <w:sz w:val="24"/>
        </w:rPr>
        <w:t>Investment Firm:</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1377"/>
        <w:jc w:val="left"/>
        <w:rPr>
          <w:rFonts w:ascii="Times New Roman;sans-serif" w:hAnsi="Times New Roman;sans-serif"/>
          <w:b w:val="false"/>
          <w:color w:val="000000"/>
          <w:sz w:val="24"/>
        </w:rPr>
      </w:pPr>
      <w:r>
        <w:rPr>
          <w:rFonts w:ascii="Times New Roman;sans-serif" w:hAnsi="Times New Roman;sans-serif"/>
          <w:b w:val="false"/>
          <w:color w:val="000000"/>
          <w:sz w:val="24"/>
        </w:rPr>
        <w:t>Investment Manager:</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ind w:left="0" w:right="0" w:firstLine="100"/>
        <w:jc w:val="left"/>
        <w:rPr/>
      </w:pPr>
      <w:r>
        <w:rPr>
          <w:rFonts w:ascii="Times New Roman;sans-serif" w:hAnsi="Times New Roman;sans-serif"/>
          <w:b w:val="false"/>
          <w:color w:val="000000"/>
          <w:sz w:val="24"/>
        </w:rPr>
        <w:t>I, [</w:t>
      </w:r>
      <w:r>
        <w:rPr>
          <w:color w:val="000000"/>
          <w:u w:val="single"/>
        </w:rPr>
        <w:t xml:space="preserve"> </w:t>
      </w:r>
      <w:r>
        <w:rPr>
          <w:rFonts w:ascii="Times New Roman;sans-serif" w:hAnsi="Times New Roman;sans-serif"/>
          <w:b w:val="false"/>
          <w:color w:val="000000"/>
          <w:sz w:val="24"/>
        </w:rPr>
        <w:t>], am an investment manager at [</w:t>
      </w:r>
      <w:r>
        <w:rPr>
          <w:color w:val="000000"/>
          <w:u w:val="single"/>
        </w:rPr>
        <w:t xml:space="preserve"> </w:t>
      </w:r>
      <w:r>
        <w:rPr>
          <w:rFonts w:ascii="Times New Roman;sans-serif" w:hAnsi="Times New Roman;sans-serif"/>
          <w:b w:val="false"/>
          <w:color w:val="000000"/>
          <w:sz w:val="24"/>
        </w:rPr>
        <w:t>(“Firm”)]. I hereby confirm that, as of [</w:t>
      </w:r>
      <w:r>
        <w:rPr>
          <w:color w:val="000000"/>
          <w:u w:val="single"/>
        </w:rPr>
        <w:t xml:space="preserve"> </w:t>
      </w:r>
      <w:r>
        <w:rPr>
          <w:rFonts w:ascii="Times New Roman;sans-serif" w:hAnsi="Times New Roman;sans-serif"/>
          <w:b w:val="false"/>
          <w:color w:val="000000"/>
          <w:sz w:val="24"/>
        </w:rPr>
        <w:t>], 20[</w:t>
      </w:r>
      <w:r>
        <w:rPr>
          <w:color w:val="000000"/>
          <w:u w:val="single"/>
        </w:rPr>
        <w:t xml:space="preserve"> </w:t>
      </w:r>
      <w:r>
        <w:rPr>
          <w:rFonts w:ascii="Times New Roman;sans-serif" w:hAnsi="Times New Roman;sans-serif"/>
          <w:b w:val="false"/>
          <w:color w:val="000000"/>
          <w:sz w:val="24"/>
        </w:rPr>
        <w:t>], all the accounts of the client listed above is a managed account at our Firm and, further confirm, that the client does not exercise investment discretion nor have direct or indirect influence or control over investment decisions.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ind w:left="0" w:right="0" w:firstLine="5141"/>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200"/>
        <w:ind w:left="0" w:right="0" w:firstLine="5141"/>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88" w:before="0" w:after="200"/>
        <w:ind w:left="0" w:right="0" w:firstLine="5141"/>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p>
      <w:pPr>
        <w:pStyle w:val="TextBody"/>
        <w:bidi w:val="0"/>
        <w:spacing w:lineRule="auto" w:line="288" w:before="0" w:after="200"/>
        <w:ind w:left="0" w:right="0" w:firstLine="5141"/>
        <w:jc w:val="left"/>
        <w:rPr>
          <w:rFonts w:ascii="Times New Roman;sans-serif" w:hAnsi="Times New Roman;sans-serif"/>
          <w:b w:val="false"/>
          <w:color w:val="000000"/>
          <w:sz w:val="24"/>
        </w:rPr>
      </w:pPr>
      <w:r>
        <w:rPr>
          <w:rFonts w:ascii="Times New Roman;sans-serif" w:hAnsi="Times New Roman;sans-serif"/>
          <w:b w:val="false"/>
          <w:color w:val="000000"/>
          <w:sz w:val="24"/>
        </w:rPr>
        <w:t>PHONE: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27" w:type="dxa"/>
        <w:jc w:val="center"/>
        <w:tblInd w:w="0" w:type="dxa"/>
        <w:tblLayout w:type="fixed"/>
        <w:tblCellMar>
          <w:top w:w="28" w:type="dxa"/>
          <w:left w:w="28" w:type="dxa"/>
          <w:bottom w:w="28" w:type="dxa"/>
          <w:right w:w="28" w:type="dxa"/>
        </w:tblCellMar>
      </w:tblPr>
      <w:tblGrid>
        <w:gridCol w:w="1228"/>
        <w:gridCol w:w="1071"/>
        <w:gridCol w:w="1071"/>
        <w:gridCol w:w="296"/>
        <w:gridCol w:w="296"/>
        <w:gridCol w:w="296"/>
        <w:gridCol w:w="1143"/>
        <w:gridCol w:w="1143"/>
        <w:gridCol w:w="1683"/>
      </w:tblGrid>
      <w:tr>
        <w:trPr/>
        <w:tc>
          <w:tcPr>
            <w:tcW w:w="12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8227" w:type="dxa"/>
            <w:gridSpan w:val="9"/>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OPAL Fuels Inc.</w:t>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color w:val="000000"/>
                <w:sz w:val="20"/>
              </w:rPr>
            </w:pPr>
            <w:r>
              <w:rPr>
                <w:rFonts w:ascii="Times New Roman;sans-serif" w:hAnsi="Times New Roman;sans-serif"/>
                <w:b/>
                <w:color w:val="000000"/>
                <w:sz w:val="20"/>
              </w:rPr>
              <w:t>Jurisdiction of Incorporation or Origination</w:t>
            </w:r>
          </w:p>
        </w:tc>
      </w:tr>
      <w:tr>
        <w:trPr/>
        <w:tc>
          <w:tcPr>
            <w:tcW w:w="3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AC Landfill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Albany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Arbor Hills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Arbor Hills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Atlantic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BC Landfill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Beacon HoldCo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Beacon Landfill Gas Holdings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Beacon RNG Acquisition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Beacon RNG Investments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Beacon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Brownie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Burlington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C&amp;C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C&amp;C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Central Valley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CMS Charlotte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CMS Concord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Concord Energy 2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Concord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Cottonwood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CV RNG HoldCo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CV RNG Holdings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DB Digester,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East Bridgewater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Elk Run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Emerald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Fall River Renewable Power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Grady Road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Greentree Landfill Gas Company,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Guadalupe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Guadalupe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Hickory Ridge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Hoosier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Imperial Landfill Gas Company,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Indian Creek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Judith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Kirby Canyon RNG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Lakeway Renewable Energy LL</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Land2Gas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Lyon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Mayfield Renewable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MD Digester,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Miramar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MM Lopez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MM Prince William Energy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7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MM San Diego LLC</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83" w:type="dxa"/>
        <w:jc w:val="center"/>
        <w:tblInd w:w="0" w:type="dxa"/>
        <w:tblLayout w:type="fixed"/>
        <w:tblCellMar>
          <w:top w:w="28" w:type="dxa"/>
          <w:left w:w="28" w:type="dxa"/>
          <w:bottom w:w="28" w:type="dxa"/>
          <w:right w:w="28" w:type="dxa"/>
        </w:tblCellMar>
      </w:tblPr>
      <w:tblGrid>
        <w:gridCol w:w="1337"/>
        <w:gridCol w:w="1179"/>
        <w:gridCol w:w="1184"/>
        <w:gridCol w:w="109"/>
        <w:gridCol w:w="109"/>
        <w:gridCol w:w="109"/>
        <w:gridCol w:w="280"/>
        <w:gridCol w:w="280"/>
        <w:gridCol w:w="396"/>
      </w:tblGrid>
      <w:tr>
        <w:trPr/>
        <w:tc>
          <w:tcPr>
            <w:tcW w:w="133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MM Taunton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MM West Covina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Albany,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Lopez Canyon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Prince William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San Diego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Taunton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NEO West Covina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New River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New River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Noble Road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Noble Road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CMS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Contracting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Dispensing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Elk Run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Emerald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Environmental Credit Marketing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Intermediate HoldCo 2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Intermediate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Intermediate ITC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ITC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ITC HoldCo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Non-ITC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Non-ITC HoldCo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p>
            <w:pPr>
              <w:pStyle w:val="TableContents"/>
              <w:bidi w:val="0"/>
              <w:spacing w:before="0" w:after="0"/>
              <w:ind w:left="0" w:right="0" w:firstLine="55"/>
              <w:jc w:val="left"/>
              <w:rPr/>
            </w:pPr>
            <w:r>
              <w:rPr/>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Non-ITC HoldCo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Parent HoldCo 2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Parent HoldCo 3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RNG HoldCo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Fuels Station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Grady Road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Hickory Ridge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Hoosier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Indian Creek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Lakeway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Lakeway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Land2Gas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Paragon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Renewable Power HoldCo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Renewable Power HoldCo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Renewable Power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Rolling Meadows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Sapphire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0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Seven Mile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08" w:type="dxa"/>
        <w:jc w:val="center"/>
        <w:tblInd w:w="0" w:type="dxa"/>
        <w:tblLayout w:type="fixed"/>
        <w:tblCellMar>
          <w:top w:w="28" w:type="dxa"/>
          <w:left w:w="28" w:type="dxa"/>
          <w:bottom w:w="28" w:type="dxa"/>
          <w:right w:w="28" w:type="dxa"/>
        </w:tblCellMar>
      </w:tblPr>
      <w:tblGrid>
        <w:gridCol w:w="1393"/>
        <w:gridCol w:w="1227"/>
        <w:gridCol w:w="1230"/>
        <w:gridCol w:w="109"/>
        <w:gridCol w:w="109"/>
        <w:gridCol w:w="109"/>
        <w:gridCol w:w="301"/>
        <w:gridCol w:w="301"/>
        <w:gridCol w:w="429"/>
      </w:tblGrid>
      <w:tr>
        <w:trPr/>
        <w:tc>
          <w:tcPr>
            <w:tcW w:w="13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Station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Station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Stones Throw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West Kentucky Mayfield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Opal Wexford County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Paragon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Pine Bend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Pine Bend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Pine Bend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Pioneer Crossing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Pioneer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Polk County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Port Charlotte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Reynolds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Richmond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Richmond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Rolling Meadows Renewable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San Bernardino Landfill Gas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San Marcos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Santa Cruz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Sapphire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Seven Mile Renewable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Stones Throw Renewable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Sunoma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Sunoma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Sunoma Renewable Biofuel,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Sycamore Energy 1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Sycamore Energy 2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Sycamore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Sycamore RNG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VS Digester,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50"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Wexford County Renewable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ind w:left="0" w:right="0" w:firstLine="5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OPAL Fuels Inc.</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White Plains, New York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incorporation by reference in the Registration Statement on Form S-3 (No. 333-273584 and No. 333-266757) and Form S-8 (No. 333-267713) of OPAL Fuels Inc. of our report dated March 17, 2025 relating to the consolidated financial statements, which appears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Melville, New York</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17,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161" w:type="dxa"/>
        <w:jc w:val="left"/>
        <w:tblInd w:w="0" w:type="dxa"/>
        <w:tblLayout w:type="fixed"/>
        <w:tblCellMar>
          <w:top w:w="28" w:type="dxa"/>
          <w:left w:w="28" w:type="dxa"/>
          <w:bottom w:w="28" w:type="dxa"/>
          <w:right w:w="28" w:type="dxa"/>
        </w:tblCellMar>
      </w:tblPr>
      <w:tblGrid>
        <w:gridCol w:w="124"/>
        <w:gridCol w:w="109"/>
        <w:gridCol w:w="109"/>
        <w:gridCol w:w="1701"/>
        <w:gridCol w:w="1701"/>
        <w:gridCol w:w="2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76"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161" w:type="dxa"/>
        <w:jc w:val="left"/>
        <w:tblInd w:w="0" w:type="dxa"/>
        <w:tblLayout w:type="fixed"/>
        <w:tblCellMar>
          <w:top w:w="28" w:type="dxa"/>
          <w:left w:w="28" w:type="dxa"/>
          <w:bottom w:w="28" w:type="dxa"/>
          <w:right w:w="28" w:type="dxa"/>
        </w:tblCellMar>
      </w:tblPr>
      <w:tblGrid>
        <w:gridCol w:w="124"/>
        <w:gridCol w:w="109"/>
        <w:gridCol w:w="109"/>
        <w:gridCol w:w="1701"/>
        <w:gridCol w:w="1701"/>
        <w:gridCol w:w="2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Kazi Hasan, certify that:</w:t>
      </w:r>
    </w:p>
    <w:p>
      <w:pPr>
        <w:pStyle w:val="TextBody"/>
        <w:bidi w:val="0"/>
        <w:spacing w:lineRule="auto" w:line="240" w:before="0" w:after="0"/>
        <w:jc w:val="left"/>
        <w:rPr>
          <w:color w:val="000000"/>
          <w:shd w:fill="FFFFFF" w:val="clear"/>
        </w:rPr>
      </w:pPr>
      <w:r>
        <w:rPr>
          <w:color w:val="000000"/>
          <w:shd w:fill="FFFFFF" w:val="clear"/>
        </w:rPr>
        <w:t> </w:t>
      </w:r>
    </w:p>
    <w:tbl>
      <w:tblPr>
        <w:tblW w:w="6161" w:type="dxa"/>
        <w:jc w:val="left"/>
        <w:tblInd w:w="0" w:type="dxa"/>
        <w:tblLayout w:type="fixed"/>
        <w:tblCellMar>
          <w:top w:w="28" w:type="dxa"/>
          <w:left w:w="28" w:type="dxa"/>
          <w:bottom w:w="28" w:type="dxa"/>
          <w:right w:w="28" w:type="dxa"/>
        </w:tblCellMar>
      </w:tblPr>
      <w:tblGrid>
        <w:gridCol w:w="124"/>
        <w:gridCol w:w="109"/>
        <w:gridCol w:w="109"/>
        <w:gridCol w:w="1701"/>
        <w:gridCol w:w="1701"/>
        <w:gridCol w:w="2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16"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Annual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10-K for the year ended December 31,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388"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37565"/>
                <wp:effectExtent l="0" t="0" r="0" b="0"/>
                <wp:wrapNone/>
                <wp:docPr id="166" name="Frame1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Annual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10-K for the year ended December 31,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389"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37565"/>
                <wp:effectExtent l="0" t="0" r="0" b="0"/>
                <wp:wrapNone/>
                <wp:docPr id="167" name="Frame1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68" w:before="0" w:after="0"/>
        <w:jc w:val="left"/>
        <w:rPr/>
      </w:pPr>
      <w:r>
        <w:rPr>
          <w:rFonts w:ascii="Times New Roman;sans-serif" w:hAnsi="Times New Roman;sans-serif"/>
          <w:b w:val="false"/>
          <w:color w:val="000000"/>
          <w:sz w:val="20"/>
          <w:shd w:fill="FFFFFF" w:val="clear"/>
        </w:rPr>
        <w:t>In connection with the Annual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10-K for the year ended December 31,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Kazi Hasan,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029"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Kazi Hasan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37565"/>
                <wp:effectExtent l="0" t="0" r="0" b="0"/>
                <wp:wrapNone/>
                <wp:docPr id="168" name="Frame16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19312521347023/d270539dex21.htm" TargetMode="External"/><Relationship Id="rId3" Type="http://schemas.openxmlformats.org/officeDocument/2006/relationships/hyperlink" Target="https://www.sec.gov/Archives/edgar/data/1842279/000121390022046338/ea164030ex3-1_opal.htm" TargetMode="External"/><Relationship Id="rId4" Type="http://schemas.openxmlformats.org/officeDocument/2006/relationships/hyperlink" Target="https://www.sec.gov/Archives/edgar/data/1842279/000121390022042020/ea163248ex3-2_opal.htm" TargetMode="External"/><Relationship Id="rId5" Type="http://schemas.openxmlformats.org/officeDocument/2006/relationships/hyperlink" Target="https://www.sec.gov/Archives/edgar/data/1842279/000184227923000009/opal-shortxtermincentivepl.htm" TargetMode="External"/><Relationship Id="rId6" Type="http://schemas.openxmlformats.org/officeDocument/2006/relationships/hyperlink" Target="https://www.sec.gov/Archives/edgar/data/1842279/000184227923000009/opalfuelsinc-formoptionagr.htm" TargetMode="External"/><Relationship Id="rId7" Type="http://schemas.openxmlformats.org/officeDocument/2006/relationships/hyperlink" Target="https://www.sec.gov/Archives/edgar/data/1842279/000184227923000009/opalfuelsinc-formofperform.htm" TargetMode="External"/><Relationship Id="rId8" Type="http://schemas.openxmlformats.org/officeDocument/2006/relationships/hyperlink" Target="https://www.sec.gov/Archives/edgar/data/1842279/000121390022024612/fs42022a3ex10-1_arclight2.htm" TargetMode="External"/><Relationship Id="rId9" Type="http://schemas.openxmlformats.org/officeDocument/2006/relationships/hyperlink" Target="https://www.sec.gov/Archives/edgar/data/1842279/000121390022042020/ea163248ex10-2_opal.htm" TargetMode="External"/><Relationship Id="rId10" Type="http://schemas.openxmlformats.org/officeDocument/2006/relationships/hyperlink" Target="https://www.sec.gov/Archives/edgar/data/1842279/000119312521347023/d270539dex102.htm" TargetMode="External"/><Relationship Id="rId11" Type="http://schemas.openxmlformats.org/officeDocument/2006/relationships/hyperlink" Target="https://www.sec.gov/Archives/edgar/data/1842279/000119312521347023/d270539dex101.htm" TargetMode="External"/><Relationship Id="rId12" Type="http://schemas.openxmlformats.org/officeDocument/2006/relationships/hyperlink" Target="https://www.sec.gov/Archives/edgar/data/1842279/000121390022025716/ea159809ex10-1_arclight2.htm" TargetMode="External"/><Relationship Id="rId13" Type="http://schemas.openxmlformats.org/officeDocument/2006/relationships/hyperlink" Target="https://www.sec.gov/Archives/edgar/data/1842279/000121390022042020/ea163248ex10-6_opal.htm" TargetMode="External"/><Relationship Id="rId14" Type="http://schemas.openxmlformats.org/officeDocument/2006/relationships/hyperlink" Target="https://www.sec.gov/Archives/edgar/data/1842279/000121390022042020/ea163248ex10-7_opal.htm" TargetMode="External"/><Relationship Id="rId15" Type="http://schemas.openxmlformats.org/officeDocument/2006/relationships/hyperlink" Target="https://www.sec.gov/Archives/edgar/data/1842279/000121390022042020/ea163248ex10-8_opal.htm" TargetMode="External"/><Relationship Id="rId16" Type="http://schemas.openxmlformats.org/officeDocument/2006/relationships/hyperlink" Target="https://www.sec.gov/Archives/edgar/data/1842279/000121390022015221/ea157420ex10-8_arclight2.htm" TargetMode="External"/><Relationship Id="rId17" Type="http://schemas.openxmlformats.org/officeDocument/2006/relationships/hyperlink" Target="https://www.sec.gov/Archives/edgar/data/1842279/000121390022015221/ea157420ex10-9_arclight2.htm" TargetMode="External"/><Relationship Id="rId18" Type="http://schemas.openxmlformats.org/officeDocument/2006/relationships/hyperlink" Target="https://www.sec.gov/Archives/edgar/data/1842279/000121390022015221/ea157420ex10-10_arclight2.htm" TargetMode="External"/><Relationship Id="rId19" Type="http://schemas.openxmlformats.org/officeDocument/2006/relationships/hyperlink" Target="https://www.sec.gov/Archives/edgar/data/1842279/000121390022015221/ea157420ex10-11_arclight2.htm" TargetMode="External"/><Relationship Id="rId20" Type="http://schemas.openxmlformats.org/officeDocument/2006/relationships/hyperlink" Target="https://www.sec.gov/Archives/edgar/data/1842279/000121390022015221/ea157420ex10-12_arclight2.htm" TargetMode="External"/><Relationship Id="rId21" Type="http://schemas.openxmlformats.org/officeDocument/2006/relationships/hyperlink" Target="https://www.sec.gov/Archives/edgar/data/1842279/000184227922000016/opalfuelsinc-formrestricte.htm" TargetMode="External"/><Relationship Id="rId22" Type="http://schemas.openxmlformats.org/officeDocument/2006/relationships/hyperlink" Target="https://www.sec.gov/Archives/edgar/data/1842279/000121390022039824/ea162977ex10-1_arclight2.htm" TargetMode="External"/><Relationship Id="rId23" Type="http://schemas.openxmlformats.org/officeDocument/2006/relationships/hyperlink" Target="https://www.sec.gov/Archives/edgar/data/1842279/000184227922000009/projectopal-creditagreemen.htm" TargetMode="External"/><Relationship Id="rId24" Type="http://schemas.openxmlformats.org/officeDocument/2006/relationships/hyperlink" Target="https://www.sec.gov/Archives/edgar/data/1842279/000119312522216411/d251514dex106.htm" TargetMode="External"/><Relationship Id="rId25" Type="http://schemas.openxmlformats.org/officeDocument/2006/relationships/hyperlink" Target="https://www.sec.gov/Archives/edgar/data/1842279/000119312522216411/d251514dex106.htm" TargetMode="External"/><Relationship Id="rId26" Type="http://schemas.openxmlformats.org/officeDocument/2006/relationships/hyperlink" Target="https://www.sec.gov/Archives/edgar/data/1842279/000119312522216411/d251514dex106.htm" TargetMode="External"/><Relationship Id="rId27" Type="http://schemas.openxmlformats.org/officeDocument/2006/relationships/hyperlink" Target="https://www.sec.gov/Archives/edgar/data/1842279/000184227922000070/opal-upsxagreementxredacte.htm" TargetMode="External"/><Relationship Id="rId28" Type="http://schemas.openxmlformats.org/officeDocument/2006/relationships/hyperlink" Target="https://www.sec.gov/Archives/edgar/data/1842279/000184227922000070/opal-upsxagreementxredacte.htm" TargetMode="External"/><Relationship Id="rId29" Type="http://schemas.openxmlformats.org/officeDocument/2006/relationships/hyperlink" Target="https://www.sec.gov/Archives/edgar/data/1842279/000184227922000070/fm3-omnibusamendmentandcon.htm" TargetMode="External"/><Relationship Id="rId30" Type="http://schemas.openxmlformats.org/officeDocument/2006/relationships/hyperlink" Target="https://www.sec.gov/Archives/edgar/data/1842279/000184227923000011/opal-form8xkpipemarch2023e.htm" TargetMode="External"/><Relationship Id="rId31" Type="http://schemas.openxmlformats.org/officeDocument/2006/relationships/hyperlink" Target="https://www.sec.gov/Archives/edgar/data/1842279/000184227923000050/opal-wmlfgpurchaseagreemen.htm" TargetMode="External"/><Relationship Id="rId32" Type="http://schemas.openxmlformats.org/officeDocument/2006/relationships/hyperlink" Target="https://www.sec.gov/Archives/edgar/data/1842279/000184227923000050/opal-polkcountycontractred.htm" TargetMode="External"/><Relationship Id="rId33" Type="http://schemas.openxmlformats.org/officeDocument/2006/relationships/hyperlink" Target="https://www.sec.gov/Archives/edgar/data/1842279/000184227923000054/projectopal-arcreditagreem.htm" TargetMode="External"/><Relationship Id="rId34" Type="http://schemas.openxmlformats.org/officeDocument/2006/relationships/hyperlink" Target="https://www.sec.gov/Archives/edgar/data/1842279/000184227923000072/opal-bfifallriverthirdamdg.htm" TargetMode="External"/><Relationship Id="rId35" Type="http://schemas.openxmlformats.org/officeDocument/2006/relationships/hyperlink" Target="https://www.sec.gov/Archives/edgar/data/1842279/000184227923000075/opal-8xkex101kirbygspa4871.htm" TargetMode="External"/><Relationship Id="rId36" Type="http://schemas.openxmlformats.org/officeDocument/2006/relationships/hyperlink" Target="https://www.sec.gov/Archives/edgar/data/1842279/000184227923000075/opal-8xkex102kirbylease487.htm" TargetMode="External"/><Relationship Id="rId37" Type="http://schemas.openxmlformats.org/officeDocument/2006/relationships/hyperlink" Target="https://www.sec.gov/Archives/edgar/data/1842279/000184227923000075/opal-8xkex103guadalupegspa.htm" TargetMode="External"/><Relationship Id="rId38" Type="http://schemas.openxmlformats.org/officeDocument/2006/relationships/hyperlink" Target="https://www.sec.gov/Archives/edgar/data/1842279/000184227923000075/opal-8xkex104guadalupeleas.htm" TargetMode="External"/><Relationship Id="rId39" Type="http://schemas.openxmlformats.org/officeDocument/2006/relationships/hyperlink" Target="https://www.sec.gov/Archives/edgar/data/1842279/000184227923000077/opal-8xkcreditagreementex1.htm" TargetMode="External"/><Relationship Id="rId40" Type="http://schemas.openxmlformats.org/officeDocument/2006/relationships/hyperlink" Target="https://www.sec.gov/Archives/edgar/data/1842279/000184227923000077/opal-8xkpledgeagreementex1.htm" TargetMode="External"/><Relationship Id="rId41" Type="http://schemas.openxmlformats.org/officeDocument/2006/relationships/hyperlink" Target="https://www.sec.gov/Archives/edgar/data/1842279/000184227923000077/opal-8xksecurityagreemente.htm" TargetMode="External"/><Relationship Id="rId42" Type="http://schemas.openxmlformats.org/officeDocument/2006/relationships/hyperlink" Target="https://www.sec.gov/Archives/edgar/data/1842279/000184227923000077/opal-8xkbankunitedtermloan.htm" TargetMode="External"/><Relationship Id="rId43" Type="http://schemas.openxmlformats.org/officeDocument/2006/relationships/hyperlink" Target="https://www.sec.gov/Archives/edgar/data/1842279/000184227923000077/opal-8xkbankunitedrevolvin.htm" TargetMode="External"/><Relationship Id="rId44" Type="http://schemas.openxmlformats.org/officeDocument/2006/relationships/hyperlink" Target="https://www.sec.gov/Archives/edgar/data/1842279/000184227923000079/sjiopal-land2gasllcxjvllca.htm" TargetMode="External"/><Relationship Id="rId45" Type="http://schemas.openxmlformats.org/officeDocument/2006/relationships/hyperlink" Target="https://www.sec.gov/Archives/edgar/data/1842279/000184227923000083/opal-interimservicesagreem.htm" TargetMode="External"/><Relationship Id="rId46" Type="http://schemas.openxmlformats.org/officeDocument/2006/relationships/hyperlink" Target="https://www.sec.gov/Archives/edgar/data/1842279/000184227923000083/opal-interimservicesagreem.htm" TargetMode="External"/><Relationship Id="rId47" Type="http://schemas.openxmlformats.org/officeDocument/2006/relationships/hyperlink" Target="https://www.sec.gov/Archives/edgar/data/1842279/000101376223005252/ea187027ex10-1_opalfuels.htm" TargetMode="External"/><Relationship Id="rId48" Type="http://schemas.openxmlformats.org/officeDocument/2006/relationships/hyperlink" Target="https://www.sec.gov/Archives/edgar/data/1842279/000184227923000085/opal-8xkex101wglxpwrng_psa.htm" TargetMode="External"/><Relationship Id="rId49" Type="http://schemas.openxmlformats.org/officeDocument/2006/relationships/hyperlink" Target="https://www.sec.gov/Archives/edgar/data/1842279/000184227923000092/opal_naesbbaseagreementxmm.htm" TargetMode="External"/><Relationship Id="rId50" Type="http://schemas.openxmlformats.org/officeDocument/2006/relationships/hyperlink" Target="https://www.sec.gov/Archives/edgar/data/1842279/000184227923000092/opal_naesbbaseagreementxri.htm" TargetMode="External"/><Relationship Id="rId51" Type="http://schemas.openxmlformats.org/officeDocument/2006/relationships/hyperlink" Target="https://www.sec.gov/Archives/edgar/data/1842279/000184227923000097/opalfuelsatm-salesagreemen.htm" TargetMode="External"/><Relationship Id="rId52" Type="http://schemas.openxmlformats.org/officeDocument/2006/relationships/hyperlink" Target="https://www.sec.gov/Archives/edgar/data/1842279/000184227924000003/a101opal-paragonxfirstamen.htm" TargetMode="External"/><Relationship Id="rId53" Type="http://schemas.openxmlformats.org/officeDocument/2006/relationships/hyperlink" Target="https://www.sec.gov/Archives/edgar/data/1842279/000184227924000003/a102opal-paragonxfirstamen.htm" TargetMode="External"/><Relationship Id="rId54" Type="http://schemas.openxmlformats.org/officeDocument/2006/relationships/hyperlink" Target="https://www.sec.gov/Archives/edgar/data/1842279/000184227924000016/a1stamdtopiggybackagmtfo.htm" TargetMode="External"/><Relationship Id="rId55" Type="http://schemas.openxmlformats.org/officeDocument/2006/relationships/hyperlink" Target="https://www.sec.gov/Archives/edgar/data/1842279/000184227924000016/a1stamdtopiggybackagmtfo.htm" TargetMode="External"/><Relationship Id="rId56" Type="http://schemas.openxmlformats.org/officeDocument/2006/relationships/hyperlink" Target="https://www.sec.gov/Archives/edgar/data/1842279/000184227924000016/a1stamdtopiggybackagmtfo.htm" TargetMode="External"/><Relationship Id="rId57" Type="http://schemas.openxmlformats.org/officeDocument/2006/relationships/hyperlink" Target="https://www.sec.gov/Archives/edgar/data/1842279/000184227924000016/a1stamdtopiggybackagmtfo.htm" TargetMode="External"/><Relationship Id="rId58" Type="http://schemas.openxmlformats.org/officeDocument/2006/relationships/hyperlink" Target="https://www.sec.gov/Archives/edgar/data/1842279/000184227924000016/leaseandaccessagmt_xnclf.htm" TargetMode="External"/><Relationship Id="rId59" Type="http://schemas.openxmlformats.org/officeDocument/2006/relationships/hyperlink" Target="https://www.sec.gov/Archives/edgar/data/1842279/000184227924000016/leaseandaccessagmt_xnclf.htm" TargetMode="External"/><Relationship Id="rId60" Type="http://schemas.openxmlformats.org/officeDocument/2006/relationships/hyperlink" Target="https://www.sec.gov/Archives/edgar/data/1842279/000184227924000016/leaseandaccessagmt_xnclf.htm" TargetMode="External"/><Relationship Id="rId61" Type="http://schemas.openxmlformats.org/officeDocument/2006/relationships/hyperlink" Target="https://www.sec.gov/Archives/edgar/data/1842279/000184227924000054/apollo-opalxtcpa20240913xr.htm" TargetMode="External"/><Relationship Id="rId62" Type="http://schemas.openxmlformats.org/officeDocument/2006/relationships/hyperlink" Target="https://www.sec.gov/Archives/edgar/data/1842279/000184227924000054/apollo-opalxsellerguaranty.htm" TargetMode="External"/><Relationship Id="rId63" Type="http://schemas.openxmlformats.org/officeDocument/2006/relationships/hyperlink" Target="https://www.sec.gov/Archives/edgar/data/1842279/000184227925000025/exhibit101.htm" TargetMode="External"/><Relationship Id="rId64" Type="http://schemas.openxmlformats.org/officeDocument/2006/relationships/hyperlink" Target="https://www.sec.gov/Archives/edgar/data/1842279/000184227925000025/exhibit101.htm" TargetMode="External"/><Relationship Id="rId65" Type="http://schemas.openxmlformats.org/officeDocument/2006/relationships/hyperlink" Target="https://www.sec.gov/Archives/edgar/data/1842279/000184227925000025/exhibit101.htm" TargetMode="External"/><Relationship Id="rId66" Type="http://schemas.openxmlformats.org/officeDocument/2006/relationships/hyperlink" Target="https://www.sec.gov/Archives/edgar/data/1842279/000184227925000025/exhibit101.htm" TargetMode="External"/><Relationship Id="rId67" Type="http://schemas.openxmlformats.org/officeDocument/2006/relationships/hyperlink" Target="https://www.sec.gov/Archives/edgar/data/1842279/000184227925000025/exhibit101.htm" TargetMode="External"/><Relationship Id="rId68" Type="http://schemas.openxmlformats.org/officeDocument/2006/relationships/hyperlink" Target="https://www.sec.gov/Archives/edgar/data/1842279/000184227925000025/exhibit101.htm" TargetMode="External"/><Relationship Id="rId69" Type="http://schemas.openxmlformats.org/officeDocument/2006/relationships/hyperlink" Target="https://www.sec.gov/Archives/edgar/data/1842279/000184227925000025/exhibit101.htm" TargetMode="External"/><Relationship Id="rId70" Type="http://schemas.openxmlformats.org/officeDocument/2006/relationships/hyperlink" Target="https://www.sec.gov/Archives/edgar/data/1842279/000184227924000012/opalfuelsclawbackpolicy.htm" TargetMode="External"/><Relationship Id="rId71" Type="http://schemas.openxmlformats.org/officeDocument/2006/relationships/hyperlink" Target="https://www.sec.gov/Archives/edgar/data/1842279/000184227924000012/opalfuelsclawbackpolicy.htm" TargetMode="External"/><Relationship Id="rId72" Type="http://schemas.openxmlformats.org/officeDocument/2006/relationships/hyperlink" Target="https://www.sec.gov/Archives/edgar/data/1842279/000184227924000012/opalfuelsclawbackpolicy.htm" TargetMode="External"/><Relationship Id="rId73" Type="http://schemas.openxmlformats.org/officeDocument/2006/relationships/hyperlink" Target="https://www.sec.gov/Archives/edgar/data/1842279/000184227924000012/opalfuelsclawbackpolicy.htm" TargetMode="External"/><Relationship Id="rId74" Type="http://schemas.openxmlformats.org/officeDocument/2006/relationships/hyperlink" Target="https://www.sec.gov/Archives/edgar/data/1842279/000184227924000012/opalfuelsclawbackpolicy.htm" TargetMode="External"/><Relationship Id="rId75" Type="http://schemas.openxmlformats.org/officeDocument/2006/relationships/hyperlink" Target="https://www.sec.gov/Archives/edgar/data/1842279/000184227924000012/opalfuelsclawbackpolicy.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92452</Words>
  <Characters>509400</Characters>
  <CharactersWithSpaces>598786</CharactersWithSpaces>
  <Paragraphs>5966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