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3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1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1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20" w:hanging="450"/>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8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80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50"/>
              <w:spacing w:after="0"/>
              <w:rPr>
                <w:sz w:val="20"/>
                <w:szCs w:val="20"/>
                <w:color w:val="auto"/>
              </w:rPr>
            </w:pPr>
            <w:r>
              <w:rPr>
                <w:rFonts w:ascii="Arial" w:cs="Arial" w:eastAsia="Arial" w:hAnsi="Arial"/>
                <w:sz w:val="18"/>
                <w:szCs w:val="18"/>
                <w:color w:val="auto"/>
                <w:w w:val="89"/>
              </w:rPr>
              <w:t>Class A common stock, par value $.0001 per share</w:t>
            </w:r>
          </w:p>
        </w:tc>
        <w:tc>
          <w:tcPr>
            <w:tcW w:w="2800" w:type="dxa"/>
            <w:vAlign w:val="bottom"/>
          </w:tcPr>
          <w:p>
            <w:pPr>
              <w:ind w:left="1000"/>
              <w:spacing w:after="0"/>
              <w:rPr>
                <w:sz w:val="20"/>
                <w:szCs w:val="20"/>
                <w:color w:val="auto"/>
              </w:rPr>
            </w:pPr>
            <w:r>
              <w:rPr>
                <w:rFonts w:ascii="Arial" w:cs="Arial" w:eastAsia="Arial" w:hAnsi="Arial"/>
                <w:sz w:val="18"/>
                <w:szCs w:val="18"/>
                <w:color w:val="auto"/>
              </w:rPr>
              <w:t>OPAL</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7.01. Regulation FD Disclosure</w:t>
      </w:r>
    </w:p>
    <w:p>
      <w:pPr>
        <w:spacing w:after="0" w:line="262" w:lineRule="exact"/>
        <w:rPr>
          <w:sz w:val="20"/>
          <w:szCs w:val="20"/>
          <w:color w:val="auto"/>
        </w:rPr>
      </w:pPr>
    </w:p>
    <w:p>
      <w:pPr>
        <w:jc w:val="both"/>
        <w:ind w:firstLine="594"/>
        <w:spacing w:after="0" w:line="261" w:lineRule="auto"/>
        <w:rPr>
          <w:sz w:val="20"/>
          <w:szCs w:val="20"/>
          <w:color w:val="auto"/>
        </w:rPr>
      </w:pPr>
      <w:r>
        <w:rPr>
          <w:rFonts w:ascii="Arial" w:cs="Arial" w:eastAsia="Arial" w:hAnsi="Arial"/>
          <w:sz w:val="18"/>
          <w:szCs w:val="18"/>
          <w:color w:val="auto"/>
        </w:rPr>
        <w:t xml:space="preserve">On July 19, 2023, OPAL Fuels Inc. (the </w:t>
      </w:r>
      <w:r>
        <w:rPr>
          <w:rFonts w:ascii="Arial" w:cs="Arial" w:eastAsia="Arial" w:hAnsi="Arial"/>
          <w:sz w:val="21"/>
          <w:szCs w:val="21"/>
          <w:color w:val="auto"/>
          <w:highlight w:val="white"/>
        </w:rPr>
        <w:t>“</w:t>
      </w:r>
      <w:r>
        <w:rPr>
          <w:rFonts w:ascii="Arial" w:cs="Arial" w:eastAsia="Arial" w:hAnsi="Arial"/>
          <w:sz w:val="18"/>
          <w:szCs w:val="18"/>
          <w:color w:val="auto"/>
        </w:rPr>
        <w:t>Company”) issued a press release announcing that it will report its earnings results for the three and six months ended June 30, 2023 after the market closes on Wednesday, August 9, 2023 and that it will host an earnings conference call on Thursday, August 10, 2023, at 11:00 AM EDT. A copy of the press release is attached hereto as Exhibit 99.1.</w:t>
      </w:r>
    </w:p>
    <w:p>
      <w:pPr>
        <w:spacing w:after="0" w:line="212"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Exhibit Number</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80" w:type="dxa"/>
            <w:vAlign w:val="bottom"/>
            <w:tcBorders>
              <w:top w:val="single" w:sz="8" w:color="auto"/>
            </w:tcBorders>
          </w:tcPr>
          <w:p>
            <w:pPr>
              <w:spacing w:after="0"/>
              <w:rPr>
                <w:sz w:val="21"/>
                <w:szCs w:val="21"/>
                <w:color w:val="auto"/>
              </w:rPr>
            </w:pPr>
          </w:p>
        </w:tc>
        <w:tc>
          <w:tcPr>
            <w:tcW w:w="40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Press release, issued by OPAL Fuels Inc., dated July 19, 2023.</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80" w:type="dxa"/>
            <w:vAlign w:val="bottom"/>
            <w:tcBorders>
              <w:top w:val="single" w:sz="8" w:color="0000FF"/>
            </w:tcBorders>
            <w:shd w:val="clear" w:color="auto" w:fill="CCEEFF"/>
          </w:tcPr>
          <w:p>
            <w:pPr>
              <w:spacing w:after="0"/>
              <w:rPr>
                <w:sz w:val="5"/>
                <w:szCs w:val="5"/>
                <w:color w:val="auto"/>
              </w:rPr>
            </w:pPr>
          </w:p>
        </w:tc>
        <w:tc>
          <w:tcPr>
            <w:tcW w:w="406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Cover Page Interactive Data File.</w:t>
            </w:r>
          </w:p>
        </w:tc>
      </w:tr>
      <w:tr>
        <w:trPr>
          <w:trHeight w:val="1316"/>
        </w:trPr>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July 20,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46"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Ann Anthony</w:t>
            </w:r>
          </w:p>
        </w:tc>
      </w:tr>
      <w:tr>
        <w:trPr>
          <w:trHeight w:val="27"/>
        </w:trPr>
        <w:tc>
          <w:tcPr>
            <w:tcW w:w="7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Pr>
          <w:p>
            <w:pPr>
              <w:ind w:left="40"/>
              <w:spacing w:after="0"/>
              <w:rPr>
                <w:sz w:val="20"/>
                <w:szCs w:val="20"/>
                <w:color w:val="auto"/>
              </w:rPr>
            </w:pPr>
            <w:r>
              <w:rPr>
                <w:rFonts w:ascii="Arial" w:cs="Arial" w:eastAsia="Arial" w:hAnsi="Arial"/>
                <w:sz w:val="18"/>
                <w:szCs w:val="18"/>
                <w:color w:val="auto"/>
              </w:rPr>
              <w:t>Ann Anthony</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3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Announces Second Quarter 2023</w:t>
      </w:r>
    </w:p>
    <w:p>
      <w:pPr>
        <w:jc w:val="center"/>
        <w:spacing w:after="0"/>
        <w:rPr>
          <w:sz w:val="20"/>
          <w:szCs w:val="20"/>
          <w:color w:val="auto"/>
        </w:rPr>
      </w:pPr>
      <w:r>
        <w:rPr>
          <w:rFonts w:ascii="Arial" w:cs="Arial" w:eastAsia="Arial" w:hAnsi="Arial"/>
          <w:sz w:val="29"/>
          <w:szCs w:val="29"/>
          <w:b w:val="1"/>
          <w:bCs w:val="1"/>
          <w:color w:val="auto"/>
        </w:rPr>
        <w:t>Earnings Release Date and Conference Call</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 xml:space="preserve">WHITE PLAINS, N.Y. – (July 19, 2023) – </w:t>
      </w:r>
      <w:r>
        <w:rPr>
          <w:rFonts w:ascii="Arial" w:cs="Arial" w:eastAsia="Arial" w:hAnsi="Arial"/>
          <w:sz w:val="22"/>
          <w:szCs w:val="22"/>
          <w:u w:val="single" w:color="auto"/>
          <w:color w:val="0563C1"/>
        </w:rPr>
        <w:t>OPAL Fuels Inc.</w:t>
      </w:r>
      <w:r>
        <w:rPr>
          <w:rFonts w:ascii="Arial" w:cs="Arial" w:eastAsia="Arial" w:hAnsi="Arial"/>
          <w:sz w:val="22"/>
          <w:szCs w:val="22"/>
          <w:color w:val="auto"/>
        </w:rPr>
        <w:t xml:space="preserve"> (Nasdaq: OPAL), a vertically integrated producer and distributor of renewable natural gas (RNG) and renewable electricity, announced that it will release its earnings results for the second quarter ended June 30, 2023, after market close on Wednesday, August 9, 2023. A conference call will take place on Thursday, August 10, 2023, at 11:00 a.m. Eastern Time.</w:t>
      </w:r>
    </w:p>
    <w:p>
      <w:pPr>
        <w:spacing w:after="0" w:line="212" w:lineRule="exact"/>
        <w:rPr>
          <w:sz w:val="20"/>
          <w:szCs w:val="20"/>
          <w:color w:val="auto"/>
        </w:rPr>
      </w:pPr>
    </w:p>
    <w:p>
      <w:pPr>
        <w:ind w:right="720"/>
        <w:spacing w:after="0" w:line="253" w:lineRule="auto"/>
        <w:rPr>
          <w:sz w:val="20"/>
          <w:szCs w:val="20"/>
          <w:color w:val="auto"/>
        </w:rPr>
      </w:pPr>
      <w:r>
        <w:rPr>
          <w:rFonts w:ascii="Arial" w:cs="Arial" w:eastAsia="Arial" w:hAnsi="Arial"/>
          <w:sz w:val="22"/>
          <w:szCs w:val="22"/>
          <w:color w:val="auto"/>
        </w:rPr>
        <w:t xml:space="preserve">A listen-only connection to the investor presentation will be accessible at </w:t>
      </w:r>
      <w:r>
        <w:rPr>
          <w:rFonts w:ascii="Arial" w:cs="Arial" w:eastAsia="Arial" w:hAnsi="Arial"/>
          <w:sz w:val="22"/>
          <w:szCs w:val="22"/>
          <w:u w:val="single" w:color="auto"/>
          <w:color w:val="0563C1"/>
        </w:rPr>
        <w:t>https://edge.media-server.com/mmc/p/n7t8g8zs</w:t>
      </w:r>
      <w:r>
        <w:rPr>
          <w:rFonts w:ascii="Arial" w:cs="Arial" w:eastAsia="Arial" w:hAnsi="Arial"/>
          <w:sz w:val="22"/>
          <w:szCs w:val="22"/>
          <w:color w:val="auto"/>
        </w:rPr>
        <w:t xml:space="preserve">. Investors can also listen to a webcast of the presentation on the company’s Investor Relations website at </w:t>
      </w:r>
      <w:r>
        <w:rPr>
          <w:rFonts w:ascii="Arial" w:cs="Arial" w:eastAsia="Arial" w:hAnsi="Arial"/>
          <w:sz w:val="22"/>
          <w:szCs w:val="22"/>
          <w:u w:val="single" w:color="auto"/>
          <w:color w:val="0563C1"/>
        </w:rPr>
        <w:t>https://investors.opalfuels.com/news-events/events-presentations</w:t>
      </w:r>
      <w:r>
        <w:rPr>
          <w:rFonts w:ascii="Arial" w:cs="Arial" w:eastAsia="Arial" w:hAnsi="Arial"/>
          <w:sz w:val="22"/>
          <w:szCs w:val="22"/>
          <w:color w:val="00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u w:val="single" w:color="auto"/>
          <w:color w:val="0563C1"/>
        </w:rPr>
        <w:t>OPAL Fuels Inc.</w:t>
      </w:r>
      <w:r>
        <w:rPr>
          <w:rFonts w:ascii="Arial" w:cs="Arial" w:eastAsia="Arial" w:hAnsi="Arial"/>
          <w:sz w:val="21"/>
          <w:szCs w:val="21"/>
          <w:color w:val="0563C1"/>
        </w:rPr>
        <w:t xml:space="preserve"> </w:t>
      </w:r>
      <w:r>
        <w:rPr>
          <w:rFonts w:ascii="Arial" w:cs="Arial" w:eastAsia="Arial" w:hAnsi="Arial"/>
          <w:sz w:val="21"/>
          <w:szCs w:val="21"/>
          <w:color w:val="000000"/>
        </w:rPr>
        <w:t>(Nasdaq: OPAL)</w:t>
      </w:r>
      <w:r>
        <w:rPr>
          <w:rFonts w:ascii="Arial" w:cs="Arial" w:eastAsia="Arial" w:hAnsi="Arial"/>
          <w:sz w:val="21"/>
          <w:szCs w:val="21"/>
          <w:color w:val="0563C1"/>
        </w:rPr>
        <w:t xml:space="preserve"> </w:t>
      </w:r>
      <w:r>
        <w:rPr>
          <w:rFonts w:ascii="Arial" w:cs="Arial" w:eastAsia="Arial" w:hAnsi="Arial"/>
          <w:sz w:val="21"/>
          <w:szCs w:val="21"/>
          <w:color w:val="212121"/>
        </w:rPr>
        <w:t>is a leading vertically integrated producer and distributor of renewable natural gas (RNG) and</w:t>
      </w:r>
      <w:r>
        <w:rPr>
          <w:rFonts w:ascii="Arial" w:cs="Arial" w:eastAsia="Arial" w:hAnsi="Arial"/>
          <w:sz w:val="21"/>
          <w:szCs w:val="21"/>
          <w:color w:val="0563C1"/>
        </w:rPr>
        <w:t xml:space="preserve"> </w:t>
      </w:r>
      <w:r>
        <w:rPr>
          <w:rFonts w:ascii="Arial" w:cs="Arial" w:eastAsia="Arial" w:hAnsi="Arial"/>
          <w:sz w:val="21"/>
          <w:szCs w:val="21"/>
          <w:color w:val="212121"/>
        </w:rPr>
        <w:t xml:space="preserve">renewable electricity. RNG is a proven low-carbon energy source that is rapidly decarbonizing multiple sectors including the transportation and utility industries. OPAL Fuels delivers complete renewable solutions to customers and production partners. With a portfolio of 24 operating renewable energy projects, OPAL Fuels is positioned to advance the clean energy transition in support of renewable energy for transportation, utilities, EV charging infrastructure, and hydrogen fuel solutions. To learn more about OPAL Fuels and how it is leading the effort to capture North America’s harmful methane emissions and decarbonize the economy, please visit </w:t>
      </w:r>
      <w:r>
        <w:rPr>
          <w:rFonts w:ascii="Arial" w:cs="Arial" w:eastAsia="Arial" w:hAnsi="Arial"/>
          <w:sz w:val="21"/>
          <w:szCs w:val="21"/>
          <w:u w:val="single" w:color="auto"/>
          <w:color w:val="0078D4"/>
        </w:rPr>
        <w:t>www.opalfuels.com</w:t>
      </w:r>
      <w:r>
        <w:rPr>
          <w:rFonts w:ascii="Arial" w:cs="Arial" w:eastAsia="Arial" w:hAnsi="Arial"/>
          <w:sz w:val="21"/>
          <w:szCs w:val="21"/>
          <w:color w:val="212121"/>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highlight w:val="white"/>
        </w:rPr>
        <w:t># # #</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Forward-Looking Statements</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highlight w:val="white"/>
        </w:rPr>
        <w:t>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Quarterly Report on Form 10-Q filed on May 15, 2023 with the Securities and Exchange Commission,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Disclaimer</w:t>
      </w:r>
    </w:p>
    <w:p>
      <w:pPr>
        <w:spacing w:after="0" w:line="2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p>
    <w:p>
      <w:pPr>
        <w:spacing w:after="0" w:line="204" w:lineRule="auto"/>
        <w:rPr>
          <w:sz w:val="20"/>
          <w:szCs w:val="20"/>
          <w:color w:val="auto"/>
        </w:rPr>
      </w:pPr>
      <w:r>
        <w:rPr>
          <w:rFonts w:ascii="Arial" w:cs="Arial" w:eastAsia="Arial" w:hAnsi="Arial"/>
          <w:sz w:val="22"/>
          <w:szCs w:val="22"/>
          <w:color w:val="auto"/>
        </w:rPr>
        <w:t>Todd Firestone</w:t>
      </w:r>
    </w:p>
    <w:p>
      <w:pPr>
        <w:spacing w:after="0" w:line="205" w:lineRule="auto"/>
        <w:rPr>
          <w:sz w:val="20"/>
          <w:szCs w:val="20"/>
          <w:color w:val="auto"/>
        </w:rPr>
      </w:pPr>
      <w:r>
        <w:rPr>
          <w:rFonts w:ascii="Arial" w:cs="Arial" w:eastAsia="Arial" w:hAnsi="Arial"/>
          <w:sz w:val="22"/>
          <w:szCs w:val="22"/>
          <w:color w:val="auto"/>
        </w:rPr>
        <w:t>Vice President Investor Relations and Corporate Development</w:t>
      </w:r>
    </w:p>
    <w:p>
      <w:pPr>
        <w:spacing w:after="0" w:line="205" w:lineRule="auto"/>
        <w:rPr>
          <w:sz w:val="20"/>
          <w:szCs w:val="20"/>
          <w:color w:val="auto"/>
        </w:rPr>
      </w:pPr>
      <w:r>
        <w:rPr>
          <w:rFonts w:ascii="Arial" w:cs="Arial" w:eastAsia="Arial" w:hAnsi="Arial"/>
          <w:sz w:val="22"/>
          <w:szCs w:val="22"/>
          <w:color w:val="auto"/>
        </w:rPr>
        <w:t>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investors@opalfuels.com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p>
    <w:p>
      <w:pPr>
        <w:spacing w:after="0" w:line="204" w:lineRule="auto"/>
        <w:rPr>
          <w:sz w:val="20"/>
          <w:szCs w:val="20"/>
          <w:color w:val="auto"/>
        </w:rPr>
      </w:pPr>
      <w:r>
        <w:rPr>
          <w:rFonts w:ascii="Arial" w:cs="Arial" w:eastAsia="Arial" w:hAnsi="Arial"/>
          <w:sz w:val="22"/>
          <w:szCs w:val="22"/>
          <w:color w:val="auto"/>
        </w:rPr>
        <w:t>Jason Stewart</w:t>
      </w:r>
    </w:p>
    <w:p>
      <w:pPr>
        <w:spacing w:after="0" w:line="205" w:lineRule="auto"/>
        <w:rPr>
          <w:sz w:val="20"/>
          <w:szCs w:val="20"/>
          <w:color w:val="auto"/>
        </w:rPr>
      </w:pPr>
      <w:r>
        <w:rPr>
          <w:rFonts w:ascii="Arial" w:cs="Arial" w:eastAsia="Arial" w:hAnsi="Arial"/>
          <w:sz w:val="22"/>
          <w:szCs w:val="22"/>
          <w:color w:val="auto"/>
        </w:rPr>
        <w:t>Senior Director Public Relations and Marketing</w:t>
      </w:r>
    </w:p>
    <w:p>
      <w:pPr>
        <w:spacing w:after="0" w:line="205" w:lineRule="auto"/>
        <w:rPr>
          <w:sz w:val="20"/>
          <w:szCs w:val="20"/>
          <w:color w:val="auto"/>
        </w:rPr>
      </w:pPr>
      <w:r>
        <w:rPr>
          <w:rFonts w:ascii="Arial" w:cs="Arial" w:eastAsia="Arial" w:hAnsi="Arial"/>
          <w:sz w:val="22"/>
          <w:szCs w:val="22"/>
          <w:color w:val="auto"/>
        </w:rPr>
        <w:t>914-421-5336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jstewart@opalfuels.com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rPr>
          <w:sz w:val="20"/>
          <w:szCs w:val="20"/>
          <w:color w:val="auto"/>
        </w:rPr>
      </w:pPr>
      <w:r>
        <w:rPr>
          <w:rFonts w:ascii="Arial" w:cs="Arial" w:eastAsia="Arial" w:hAnsi="Arial"/>
          <w:sz w:val="22"/>
          <w:szCs w:val="22"/>
          <w:u w:val="single" w:color="auto"/>
          <w:color w:val="0563C1"/>
        </w:rPr>
        <w:t>OPALFuelsPR@icrinc.com</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2023-07-20T08:27:58Z</dcterms:created>
  <dcterms:modified xsi:type="dcterms:W3CDTF">2023-07-20T08:27:58Z</dcterms:modified>
</cp:coreProperties>
</file>