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635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358890"/>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Coghlin John</w:t>
              </w:r>
            </w:hyperlink>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500" w:type="dxa"/>
            <w:vAlign w:val="bottom"/>
            <w:gridSpan w:val="4"/>
            <w:vMerge w:val="restart"/>
          </w:tcPr>
          <w:p>
            <w:pPr>
              <w:ind w:left="140"/>
              <w:spacing w:after="0" w:line="169" w:lineRule="exact"/>
              <w:rPr>
                <w:sz w:val="20"/>
                <w:szCs w:val="20"/>
                <w:color w:val="auto"/>
              </w:rPr>
            </w:pPr>
            <w:r>
              <w:rPr>
                <w:rFonts w:ascii="Times New Roman" w:cs="Times New Roman" w:eastAsia="Times New Roman" w:hAnsi="Times New Roman"/>
                <w:sz w:val="16"/>
                <w:szCs w:val="16"/>
                <w:color w:val="0000FF"/>
              </w:rPr>
              <w:t>03/31/2025</w:t>
            </w: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0000FF"/>
        </w:rPr>
        <w:t>General Counsel</w:t>
      </w:r>
    </w:p>
    <w:p>
      <w:pPr>
        <w:spacing w:after="0" w:line="307" w:lineRule="exact"/>
        <w:rPr>
          <w:sz w:val="20"/>
          <w:szCs w:val="20"/>
          <w:color w:val="auto"/>
        </w:rPr>
      </w:pPr>
    </w:p>
    <w:p>
      <w:pPr>
        <w:sectPr>
          <w:pgSz w:w="11900" w:h="16838" w:orient="portrait"/>
          <w:cols w:equalWidth="0" w:num="2">
            <w:col w:w="7680" w:space="59"/>
            <w:col w:w="3341"/>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660" w:type="dxa"/>
            <w:vAlign w:val="bottom"/>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00" w:type="dxa"/>
            <w:vAlign w:val="bottom"/>
            <w:vMerge w:val="restart"/>
          </w:tcPr>
          <w:p>
            <w:pPr>
              <w:ind w:left="320"/>
              <w:spacing w:after="0"/>
              <w:rPr>
                <w:sz w:val="20"/>
                <w:szCs w:val="20"/>
                <w:color w:val="auto"/>
              </w:rPr>
            </w:pPr>
            <w:r>
              <w:rPr>
                <w:rFonts w:ascii="Arial" w:cs="Arial" w:eastAsia="Arial" w:hAnsi="Arial"/>
                <w:sz w:val="13"/>
                <w:szCs w:val="13"/>
                <w:color w:val="auto"/>
                <w:w w:val="95"/>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170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0000FF"/>
              </w:rPr>
              <w:t>10601</w:t>
            </w:r>
          </w:p>
        </w:tc>
        <w:tc>
          <w:tcPr>
            <w:tcW w:w="3660" w:type="dxa"/>
            <w:vAlign w:val="bottom"/>
          </w:tcPr>
          <w:p>
            <w:pPr>
              <w:spacing w:after="0"/>
              <w:rPr>
                <w:sz w:val="19"/>
                <w:szCs w:val="19"/>
                <w:color w:val="auto"/>
              </w:rPr>
            </w:pPr>
          </w:p>
        </w:tc>
        <w:tc>
          <w:tcPr>
            <w:tcW w:w="3200" w:type="dxa"/>
            <w:vAlign w:val="bottom"/>
          </w:tcPr>
          <w:p>
            <w:pPr>
              <w:ind w:left="8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c>
          <w:tcPr>
            <w:tcW w:w="3660" w:type="dxa"/>
            <w:vAlign w:val="bottom"/>
          </w:tcPr>
          <w:p>
            <w:pPr>
              <w:spacing w:after="0"/>
              <w:rPr>
                <w:sz w:val="12"/>
                <w:szCs w:val="12"/>
                <w:color w:val="auto"/>
              </w:rPr>
            </w:pPr>
          </w:p>
        </w:tc>
        <w:tc>
          <w:tcPr>
            <w:tcW w:w="3200" w:type="dxa"/>
            <w:vAlign w:val="bottom"/>
          </w:tcPr>
          <w:p>
            <w:pPr>
              <w:ind w:left="8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0" w:type="dxa"/>
            <w:vAlign w:val="bottom"/>
          </w:tcPr>
          <w:p>
            <w:pPr>
              <w:ind w:left="840"/>
              <w:spacing w:after="0" w:line="138"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5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3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w w:val="99"/>
              </w:rPr>
              <w:t>16,739</w:t>
            </w:r>
          </w:p>
        </w:tc>
        <w:tc>
          <w:tcPr>
            <w:tcW w:w="56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3"/>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53,149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9"/>
              </w:rPr>
              <w:t>6,034</w:t>
            </w:r>
          </w:p>
        </w:tc>
        <w:tc>
          <w:tcPr>
            <w:tcW w:w="56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3"/>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62"/>
              <w:spacing w:after="0"/>
              <w:rPr>
                <w:sz w:val="20"/>
                <w:szCs w:val="20"/>
                <w:color w:val="auto"/>
              </w:rPr>
            </w:pPr>
            <w:r>
              <w:rPr>
                <w:rFonts w:ascii="Times New Roman" w:cs="Times New Roman" w:eastAsia="Times New Roman" w:hAnsi="Times New Roman"/>
                <w:sz w:val="16"/>
                <w:szCs w:val="16"/>
                <w:color w:val="0000FF"/>
              </w:rPr>
              <w:t>47,115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w w:val="99"/>
              </w:rPr>
              <w:t>16,141</w:t>
            </w:r>
          </w:p>
        </w:tc>
        <w:tc>
          <w:tcPr>
            <w:tcW w:w="56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3"/>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63,256</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9"/>
              </w:rPr>
              <w:t>5,818</w:t>
            </w:r>
          </w:p>
        </w:tc>
        <w:tc>
          <w:tcPr>
            <w:tcW w:w="56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3"/>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57,438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center"/>
              <w:ind w:left="95"/>
              <w:spacing w:after="0"/>
              <w:rPr>
                <w:sz w:val="20"/>
                <w:szCs w:val="20"/>
                <w:color w:val="auto"/>
              </w:rPr>
            </w:pPr>
            <w:r>
              <w:rPr>
                <w:rFonts w:ascii="Times New Roman" w:cs="Times New Roman" w:eastAsia="Times New Roman" w:hAnsi="Times New Roman"/>
                <w:sz w:val="16"/>
                <w:szCs w:val="16"/>
                <w:color w:val="0000FF"/>
                <w:w w:val="99"/>
              </w:rPr>
              <w:t>23,521</w:t>
            </w:r>
          </w:p>
        </w:tc>
        <w:tc>
          <w:tcPr>
            <w:tcW w:w="560" w:type="dxa"/>
            <w:vAlign w:val="bottom"/>
          </w:tcPr>
          <w:p>
            <w:pPr>
              <w:jc w:val="center"/>
              <w:ind w:left="17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73"/>
              <w:spacing w:after="0"/>
              <w:rPr>
                <w:sz w:val="20"/>
                <w:szCs w:val="20"/>
                <w:color w:val="auto"/>
              </w:rPr>
            </w:pPr>
            <w:r>
              <w:rPr>
                <w:rFonts w:ascii="Times New Roman" w:cs="Times New Roman" w:eastAsia="Times New Roman" w:hAnsi="Times New Roman"/>
                <w:sz w:val="10"/>
                <w:szCs w:val="10"/>
                <w:color w:val="008000"/>
              </w:rPr>
              <w:t>(1)</w:t>
            </w:r>
          </w:p>
        </w:tc>
        <w:tc>
          <w:tcPr>
            <w:tcW w:w="1260" w:type="dxa"/>
            <w:vAlign w:val="bottom"/>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80,959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3"/>
          </w:tcPr>
          <w:p>
            <w:pPr>
              <w:jc w:val="center"/>
              <w:ind w:left="730"/>
              <w:spacing w:after="0"/>
              <w:rPr>
                <w:sz w:val="20"/>
                <w:szCs w:val="20"/>
                <w:color w:val="auto"/>
              </w:rPr>
            </w:pPr>
            <w:r>
              <w:rPr>
                <w:rFonts w:ascii="Times New Roman" w:cs="Times New Roman" w:eastAsia="Times New Roman" w:hAnsi="Times New Roman"/>
                <w:sz w:val="16"/>
                <w:szCs w:val="16"/>
                <w:color w:val="0000FF"/>
              </w:rPr>
              <w:t>03/31/2025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5"/>
                <w:vertAlign w:val="subscript"/>
              </w:rPr>
              <w:t>F</w:t>
            </w:r>
            <w:r>
              <w:rPr>
                <w:rFonts w:ascii="Times New Roman" w:cs="Times New Roman" w:eastAsia="Times New Roman" w:hAnsi="Times New Roman"/>
                <w:sz w:val="10"/>
                <w:szCs w:val="10"/>
                <w:color w:val="008000"/>
                <w:w w:val="85"/>
              </w:rPr>
              <w:t>(2)</w:t>
            </w:r>
          </w:p>
        </w:tc>
        <w:tc>
          <w:tcPr>
            <w:tcW w:w="680" w:type="dxa"/>
            <w:vAlign w:val="bottom"/>
            <w:tcBorders>
              <w:bottom w:val="single" w:sz="8" w:color="2C2C2C"/>
            </w:tcBorders>
          </w:tcPr>
          <w:p>
            <w:pPr>
              <w:jc w:val="center"/>
              <w:ind w:left="95"/>
              <w:spacing w:after="0"/>
              <w:rPr>
                <w:sz w:val="20"/>
                <w:szCs w:val="20"/>
                <w:color w:val="auto"/>
              </w:rPr>
            </w:pPr>
            <w:r>
              <w:rPr>
                <w:rFonts w:ascii="Times New Roman" w:cs="Times New Roman" w:eastAsia="Times New Roman" w:hAnsi="Times New Roman"/>
                <w:sz w:val="16"/>
                <w:szCs w:val="16"/>
                <w:color w:val="0000FF"/>
                <w:w w:val="99"/>
              </w:rPr>
              <w:t>8,479</w:t>
            </w:r>
          </w:p>
        </w:tc>
        <w:tc>
          <w:tcPr>
            <w:tcW w:w="560" w:type="dxa"/>
            <w:vAlign w:val="bottom"/>
            <w:tcBorders>
              <w:bottom w:val="single" w:sz="8" w:color="2C2C2C"/>
            </w:tcBorders>
          </w:tcPr>
          <w:p>
            <w:pPr>
              <w:jc w:val="center"/>
              <w:ind w:left="17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ind w:left="73"/>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1.84</w:t>
            </w: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72,480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jc w:val="center"/>
              <w:ind w:right="393"/>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16,739</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16,739</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16,738</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16,141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16,141</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4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23,521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23,521</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208,335</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195,772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40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195,772</w:t>
            </w: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195,772</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-2668270</wp:posOffset>
            </wp:positionV>
            <wp:extent cx="28575" cy="2673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7398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1" w:lineRule="exact"/>
        <w:rPr>
          <w:rFonts w:ascii="Times New Roman" w:cs="Times New Roman" w:eastAsia="Times New Roman" w:hAnsi="Times New Roman"/>
          <w:sz w:val="13"/>
          <w:szCs w:val="13"/>
          <w:color w:val="008000"/>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$1.84 per share, the closing price of Class A common stock on March 31, 2025.</w:t>
      </w:r>
    </w:p>
    <w:p>
      <w:pPr>
        <w:spacing w:after="0" w:line="21" w:lineRule="exact"/>
        <w:rPr>
          <w:rFonts w:ascii="Times New Roman" w:cs="Times New Roman" w:eastAsia="Times New Roman" w:hAnsi="Times New Roman"/>
          <w:sz w:val="13"/>
          <w:szCs w:val="13"/>
          <w:color w:val="008000"/>
        </w:rPr>
      </w:pPr>
    </w:p>
    <w:p>
      <w:pPr>
        <w:ind w:left="40" w:right="2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50,216 restricted stock units ("RSUs") pursuant to the terms of the Issuer's 2022 Omnibus Equity Incentive Plan (the "Plan"). A total of 16,739 RSUs vested on March 31, 2024, a total of 16,739 RSUs vested on March 31, 2025, and a total of 16,738 RSUs are scheduled to vest on March 31, 2026, provided that the Reporting Person continues to provide services to the Issuer through the applicable vesting date.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2023, the Reporting Person was granted 32,282 RSUs pursuant to the terms of the Plan. A total of 16,141 RSUs vested on March 31, 2024 and a total of 16,141 RSUs vested on March 31, 2025.</w:t>
      </w:r>
    </w:p>
    <w:p>
      <w:pPr>
        <w:spacing w:after="0" w:line="38"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2024, the Reporting Person was granted 231,856 RSUs pursuant to the Plan. A total of 23,521 RSUs vested on March 31, 2025, a total of 23,522 RSUs are scheduled to vest on March 31, 2026, and a total of 184,813 RSUs are scheduled to vest on March 31, 2027, provided that the Reporting Person continues to provide services to the Issuer through the applicable vesting date.</w:t>
      </w:r>
    </w:p>
    <w:p>
      <w:pPr>
        <w:spacing w:after="0" w:line="21" w:lineRule="exact"/>
        <w:rPr>
          <w:rFonts w:ascii="Times New Roman" w:cs="Times New Roman" w:eastAsia="Times New Roman" w:hAnsi="Times New Roman"/>
          <w:sz w:val="13"/>
          <w:szCs w:val="13"/>
          <w:color w:val="008000"/>
        </w:rPr>
      </w:pPr>
    </w:p>
    <w:p>
      <w:pPr>
        <w:jc w:val="both"/>
        <w:ind w:left="40" w:right="2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195,772 RSUs pursuant to the Plan. A total of 65,258 RSUs are scheduled to vest on March 31, 2026, a total of 65,257 RSUs are scheduled to vest on March 31, 2027, and a total of 65,257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John Coghlin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04/02/2025</w:t>
            </w:r>
          </w:p>
        </w:tc>
      </w:tr>
      <w:tr>
        <w:trPr>
          <w:trHeight w:val="20"/>
        </w:trPr>
        <w:tc>
          <w:tcPr>
            <w:tcW w:w="6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r>
        <w:trPr>
          <w:trHeight w:val="188"/>
        </w:trPr>
        <w:tc>
          <w:tcPr>
            <w:tcW w:w="87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r>
      <w:tr>
        <w:trPr>
          <w:trHeight w:val="188"/>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r>
      <w:tr>
        <w:trPr>
          <w:trHeight w:val="188"/>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r>
      <w:tr>
        <w:trPr>
          <w:trHeight w:val="188"/>
        </w:trPr>
        <w:tc>
          <w:tcPr>
            <w:tcW w:w="876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r>
    </w:tbl>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66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2025-04-02T19:41:57Z</dcterms:created>
  <dcterms:modified xsi:type="dcterms:W3CDTF">2025-04-02T19:41:57Z</dcterms:modified>
</cp:coreProperties>
</file>