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671"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68" w:right="439" w:bottom="671" w:gutter="0" w:footer="0" w:header="0"/>
          <w:type w:val="continuous"/>
        </w:sectPr>
      </w:pPr>
    </w:p>
    <w:p>
      <w:pPr>
        <w:spacing w:after="0" w:line="1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200 Clarendon Street, 55th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Boston, MA, 02116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(617) 531-6300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Ordinary Share, $0.0001 par value, and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one-half of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included as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part of the 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the units, each whole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 for one Class A Ordinary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 at an 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2, 2021, ArcLight Clean Transition Corp. II, an exempted company incorporated in the Cayman Islands with limited liability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ArcLight</w:t>
      </w:r>
      <w:r>
        <w:rPr>
          <w:rFonts w:ascii="Arial" w:cs="Arial" w:eastAsia="Arial" w:hAnsi="Arial"/>
          <w:sz w:val="17"/>
          <w:szCs w:val="17"/>
          <w:color w:val="auto"/>
        </w:rPr>
        <w:t>”), Opal HoldCo LLC, a Delaware limited liability company (“</w:t>
      </w:r>
      <w:r>
        <w:rPr>
          <w:rFonts w:ascii="Arial" w:cs="Arial" w:eastAsia="Arial" w:hAnsi="Arial"/>
          <w:sz w:val="17"/>
          <w:szCs w:val="17"/>
          <w:b w:val="1"/>
          <w:bCs w:val="1"/>
          <w:i w:val="1"/>
          <w:iCs w:val="1"/>
          <w:color w:val="auto"/>
        </w:rPr>
        <w:t>Opal HoldCo</w:t>
      </w:r>
      <w:r>
        <w:rPr>
          <w:rFonts w:ascii="Arial" w:cs="Arial" w:eastAsia="Arial" w:hAnsi="Arial"/>
          <w:sz w:val="17"/>
          <w:szCs w:val="17"/>
          <w:color w:val="auto"/>
        </w:rPr>
        <w:t>”), and Opal Fuels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Opal Fuels</w:t>
      </w:r>
      <w:r>
        <w:rPr>
          <w:rFonts w:ascii="Arial" w:cs="Arial" w:eastAsia="Arial" w:hAnsi="Arial"/>
          <w:sz w:val="16"/>
          <w:szCs w:val="16"/>
          <w:color w:val="auto"/>
        </w:rPr>
        <w:t>”), entered into a Business Combination Agreement (as it may be amended, supplemented or otherwise modified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11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The Business Combination Agreement and the transactions contemplated thereby (collectively,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were unanimously approved by the boards of directors of each of ArcLight and Opal and also approved by Opal Holdco, the sole member of Opal Fuels. The Business Combination Agreement provides for, among other things, the following transactions: (i) each outstanding Class B ordinary share, par value $0.0001 per share, of ArcLight will convert into one Class A ordinary share, par value $0.0001 per share, of ArcLight; (ii) ArcLight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6"/>
          <w:szCs w:val="16"/>
          <w:b w:val="1"/>
          <w:bCs w:val="1"/>
          <w:i w:val="1"/>
          <w:iCs w:val="1"/>
          <w:color w:val="auto"/>
        </w:rPr>
        <w:t>Domestication</w:t>
      </w:r>
      <w:r>
        <w:rPr>
          <w:rFonts w:ascii="Arial" w:cs="Arial" w:eastAsia="Arial" w:hAnsi="Arial"/>
          <w:sz w:val="16"/>
          <w:szCs w:val="16"/>
          <w:color w:val="auto"/>
        </w:rPr>
        <w:t>”) and, in connection with the Domestication, (A) ArcLight’s name will be changed to “Opal Fuels Inc.” (“</w:t>
      </w:r>
      <w:r>
        <w:rPr>
          <w:rFonts w:ascii="Arial" w:cs="Arial" w:eastAsia="Arial" w:hAnsi="Arial"/>
          <w:sz w:val="16"/>
          <w:szCs w:val="16"/>
          <w:b w:val="1"/>
          <w:bCs w:val="1"/>
          <w:i w:val="1"/>
          <w:iCs w:val="1"/>
          <w:color w:val="auto"/>
        </w:rPr>
        <w:t>New Opal</w:t>
      </w:r>
      <w:r>
        <w:rPr>
          <w:rFonts w:ascii="Arial" w:cs="Arial" w:eastAsia="Arial" w:hAnsi="Arial"/>
          <w:sz w:val="16"/>
          <w:szCs w:val="16"/>
          <w:color w:val="auto"/>
        </w:rPr>
        <w:t>”), (B) each outstanding Class A ordinary share of ArcLight will become one share of Class A common stock, par value $0.0001 per share, of New Opal (the “</w:t>
      </w:r>
      <w:r>
        <w:rPr>
          <w:rFonts w:ascii="Arial" w:cs="Arial" w:eastAsia="Arial" w:hAnsi="Arial"/>
          <w:sz w:val="16"/>
          <w:szCs w:val="16"/>
          <w:b w:val="1"/>
          <w:bCs w:val="1"/>
          <w:i w:val="1"/>
          <w:iCs w:val="1"/>
          <w:color w:val="auto"/>
        </w:rPr>
        <w:t>New Opal Class A Common Stock</w:t>
      </w:r>
      <w:r>
        <w:rPr>
          <w:rFonts w:ascii="Arial" w:cs="Arial" w:eastAsia="Arial" w:hAnsi="Arial"/>
          <w:sz w:val="16"/>
          <w:szCs w:val="16"/>
          <w:color w:val="auto"/>
        </w:rPr>
        <w:t>”), (C) each outstanding warrant to purchase one Class A ordinary share of ArcLight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to be re-classified into a number of common units (collectively, the “</w:t>
      </w:r>
      <w:r>
        <w:rPr>
          <w:rFonts w:ascii="Arial" w:cs="Arial" w:eastAsia="Arial" w:hAnsi="Arial"/>
          <w:sz w:val="16"/>
          <w:szCs w:val="16"/>
          <w:b w:val="1"/>
          <w:bCs w:val="1"/>
          <w:i w:val="1"/>
          <w:iCs w:val="1"/>
          <w:color w:val="auto"/>
        </w:rPr>
        <w:t>Opal Units</w:t>
      </w:r>
      <w:r>
        <w:rPr>
          <w:rFonts w:ascii="Arial" w:cs="Arial" w:eastAsia="Arial" w:hAnsi="Arial"/>
          <w:sz w:val="16"/>
          <w:szCs w:val="16"/>
          <w:color w:val="auto"/>
        </w:rPr>
        <w:t>”) based on</w:t>
      </w:r>
    </w:p>
    <w:p>
      <w:pPr>
        <w:spacing w:after="0" w:line="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Arial" w:cs="Arial" w:eastAsia="Arial" w:hAnsi="Arial"/>
          <w:sz w:val="16"/>
          <w:szCs w:val="16"/>
          <w:b w:val="1"/>
          <w:bCs w:val="1"/>
          <w:i w:val="1"/>
          <w:iCs w:val="1"/>
          <w:color w:val="auto"/>
        </w:rPr>
        <w:t>Ares</w:t>
      </w:r>
      <w:r>
        <w:rPr>
          <w:rFonts w:ascii="Arial" w:cs="Arial" w:eastAsia="Arial" w:hAnsi="Arial"/>
          <w:sz w:val="16"/>
          <w:szCs w:val="16"/>
          <w:color w:val="auto"/>
        </w:rPr>
        <w:t>”), (C) ArcLight will contribute the (x) the amount of cash in the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established by ArcLight with the proceeds from its initial public offering as of immediately prior to the Closing (and before, for the avoidance of doubt, giving effect to the exercise of redemption rights by any ArcLight shareholders (the “</w:t>
      </w:r>
      <w:r>
        <w:rPr>
          <w:rFonts w:ascii="Arial" w:cs="Arial" w:eastAsia="Arial" w:hAnsi="Arial"/>
          <w:sz w:val="16"/>
          <w:szCs w:val="16"/>
          <w:b w:val="1"/>
          <w:bCs w:val="1"/>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 Redemptions</w:t>
      </w:r>
      <w:r>
        <w:rPr>
          <w:rFonts w:ascii="Arial" w:cs="Arial" w:eastAsia="Arial" w:hAnsi="Arial"/>
          <w:sz w:val="16"/>
          <w:szCs w:val="16"/>
          <w:color w:val="auto"/>
        </w:rPr>
        <w:t>”)), minus (y) the aggregate amount of cash required to fund the ACT Share Redemptions and any other obligations to be funded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Arial" w:cs="Arial" w:eastAsia="Arial" w:hAnsi="Arial"/>
          <w:sz w:val="16"/>
          <w:szCs w:val="16"/>
          <w:b w:val="1"/>
          <w:bCs w:val="1"/>
          <w:i w:val="1"/>
          <w:iCs w:val="1"/>
          <w:color w:val="auto"/>
        </w:rPr>
        <w:t>Hillman</w:t>
      </w:r>
      <w:r>
        <w:rPr>
          <w:rFonts w:ascii="Arial" w:cs="Arial" w:eastAsia="Arial" w:hAnsi="Arial"/>
          <w:sz w:val="16"/>
          <w:szCs w:val="16"/>
          <w:color w:val="auto"/>
        </w:rPr>
        <w:t>”) a number of shares of Class D common stock, par value $0.0001 per share, of New Opal (the “</w:t>
      </w:r>
      <w:r>
        <w:rPr>
          <w:rFonts w:ascii="Arial" w:cs="Arial" w:eastAsia="Arial" w:hAnsi="Arial"/>
          <w:sz w:val="16"/>
          <w:szCs w:val="16"/>
          <w:b w:val="1"/>
          <w:bCs w:val="1"/>
          <w:i w:val="1"/>
          <w:iCs w:val="1"/>
          <w:color w:val="auto"/>
        </w:rPr>
        <w:t>New Opal Class D Common Stock</w:t>
      </w:r>
      <w:r>
        <w:rPr>
          <w:rFonts w:ascii="Arial" w:cs="Arial" w:eastAsia="Arial" w:hAnsi="Arial"/>
          <w:sz w:val="16"/>
          <w:szCs w:val="16"/>
          <w:color w:val="auto"/>
        </w:rPr>
        <w:t>”), and distribute to Ares (together with Opal HoldCo and Hillman, collectively, the “</w:t>
      </w:r>
      <w:r>
        <w:rPr>
          <w:rFonts w:ascii="Arial" w:cs="Arial" w:eastAsia="Arial" w:hAnsi="Arial"/>
          <w:sz w:val="16"/>
          <w:szCs w:val="16"/>
          <w:b w:val="1"/>
          <w:bCs w:val="1"/>
          <w:i w:val="1"/>
          <w:iCs w:val="1"/>
          <w:color w:val="auto"/>
        </w:rPr>
        <w:t>Opal Equityholders</w:t>
      </w:r>
      <w:r>
        <w:rPr>
          <w:rFonts w:ascii="Arial" w:cs="Arial" w:eastAsia="Arial" w:hAnsi="Arial"/>
          <w:sz w:val="16"/>
          <w:szCs w:val="16"/>
          <w:color w:val="auto"/>
        </w:rPr>
        <w:t>”) shares of Class B common stock, par value $0.0001 per share, of New Opal (the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Opal Class B Common Stock</w:t>
      </w:r>
      <w:r>
        <w:rPr>
          <w:rFonts w:ascii="Arial" w:cs="Arial" w:eastAsia="Arial" w:hAnsi="Arial"/>
          <w:sz w:val="16"/>
          <w:szCs w:val="16"/>
          <w:color w:val="auto"/>
        </w:rPr>
        <w:t>”) (neither of which will have any economic value but will entitle the holder thereof to five votes per share or one vote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respectively), equal to the number of Opal Units held by each of the Opal Equityholders.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if New Opal’s annual EBITDA for the calendar year 2023 exceeds $238,000,000 (the “</w:t>
      </w:r>
      <w:r>
        <w:rPr>
          <w:rFonts w:ascii="Arial" w:cs="Arial" w:eastAsia="Arial" w:hAnsi="Arial"/>
          <w:sz w:val="16"/>
          <w:szCs w:val="16"/>
          <w:b w:val="1"/>
          <w:bCs w:val="1"/>
          <w:i w:val="1"/>
          <w:iCs w:val="1"/>
          <w:color w:val="auto"/>
        </w:rPr>
        <w:t>First Earnout Triggering Event</w:t>
      </w:r>
      <w:r>
        <w:rPr>
          <w:rFonts w:ascii="Arial" w:cs="Arial" w:eastAsia="Arial" w:hAnsi="Arial"/>
          <w:sz w:val="16"/>
          <w:szCs w:val="16"/>
          <w:color w:val="auto"/>
        </w:rPr>
        <w:t>”), New Opal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will issue to Opal HoldCo, Ares and Hillman (collectively, the “</w:t>
      </w:r>
      <w:r>
        <w:rPr>
          <w:rFonts w:ascii="Arial" w:cs="Arial" w:eastAsia="Arial" w:hAnsi="Arial"/>
          <w:sz w:val="17"/>
          <w:szCs w:val="17"/>
          <w:b w:val="1"/>
          <w:bCs w:val="1"/>
          <w:i w:val="1"/>
          <w:iCs w:val="1"/>
          <w:color w:val="auto"/>
        </w:rPr>
        <w:t>Earnout Participants</w:t>
      </w:r>
      <w:r>
        <w:rPr>
          <w:rFonts w:ascii="Arial" w:cs="Arial" w:eastAsia="Arial" w:hAnsi="Arial"/>
          <w:sz w:val="17"/>
          <w:szCs w:val="17"/>
          <w:color w:val="auto"/>
        </w:rPr>
        <w:t>”) an aggregate of 5,000,000 shares of New Opal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New Opal Class D Common Stock and corresponding Opal Units (collectively, the “</w:t>
      </w:r>
      <w:r>
        <w:rPr>
          <w:rFonts w:ascii="Arial" w:cs="Arial" w:eastAsia="Arial" w:hAnsi="Arial"/>
          <w:sz w:val="16"/>
          <w:szCs w:val="16"/>
          <w:b w:val="1"/>
          <w:bCs w:val="1"/>
          <w:i w:val="1"/>
          <w:iCs w:val="1"/>
          <w:color w:val="auto"/>
        </w:rPr>
        <w:t>First Earnout Tranche</w:t>
      </w:r>
      <w:r>
        <w:rPr>
          <w:rFonts w:ascii="Arial" w:cs="Arial" w:eastAsia="Arial" w:hAnsi="Arial"/>
          <w:sz w:val="16"/>
          <w:szCs w:val="16"/>
          <w:color w:val="auto"/>
        </w:rPr>
        <w: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allocations set forth in the Business Combination Agreement. Additionally, if New Opal’s annual EBITDA for the calendar year 2024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$446,000,000 (the “</w:t>
      </w:r>
      <w:r>
        <w:rPr>
          <w:rFonts w:ascii="Arial" w:cs="Arial" w:eastAsia="Arial" w:hAnsi="Arial"/>
          <w:sz w:val="16"/>
          <w:szCs w:val="16"/>
          <w:b w:val="1"/>
          <w:bCs w:val="1"/>
          <w:i w:val="1"/>
          <w:iCs w:val="1"/>
          <w:color w:val="auto"/>
        </w:rPr>
        <w:t>Second Earnout Triggering Event</w:t>
      </w:r>
      <w:r>
        <w:rPr>
          <w:rFonts w:ascii="Arial" w:cs="Arial" w:eastAsia="Arial" w:hAnsi="Arial"/>
          <w:sz w:val="16"/>
          <w:szCs w:val="16"/>
          <w:color w:val="auto"/>
        </w:rPr>
        <w:t>”), New Opal will issue to the Earnout Participants an aggregate of 5,000,000 additional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w:t>
      </w:r>
      <w:r>
        <w:rPr>
          <w:rFonts w:ascii="Arial" w:cs="Arial" w:eastAsia="Arial" w:hAnsi="Arial"/>
          <w:sz w:val="16"/>
          <w:szCs w:val="16"/>
          <w:b w:val="1"/>
          <w:bCs w:val="1"/>
          <w:i w:val="1"/>
          <w:iCs w:val="1"/>
          <w:color w:val="auto"/>
        </w:rPr>
        <w:t>Second Earnout Tranche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Tranche upon the occurrence of the Second Earnout Triggering Event.</w:t>
      </w:r>
    </w:p>
    <w:p>
      <w:pPr>
        <w:sectPr>
          <w:pgSz w:w="11900" w:h="16838" w:orient="portrait"/>
          <w:cols w:equalWidth="0" w:num="1">
            <w:col w:w="11000"/>
          </w:cols>
          <w:pgMar w:left="440" w:top="297" w:right="459" w:bottom="1440" w:gutter="0" w:footer="0" w:header="0"/>
        </w:sectPr>
      </w:pPr>
    </w:p>
    <w:bookmarkStart w:id="2" w:name="page3"/>
    <w:bookmarkEnd w:id="2"/>
    <w:p>
      <w:pPr>
        <w:ind w:right="1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Business Combination Agreement is filed with this Current Report on Form 8-K (“</w:t>
      </w:r>
      <w:r>
        <w:rPr>
          <w:rFonts w:ascii="Arial" w:cs="Arial" w:eastAsia="Arial" w:hAnsi="Arial"/>
          <w:sz w:val="16"/>
          <w:szCs w:val="16"/>
          <w:b w:val="1"/>
          <w:bCs w:val="1"/>
          <w:i w:val="1"/>
          <w:iCs w:val="1"/>
          <w:color w:val="auto"/>
        </w:rPr>
        <w:t>Current Report</w:t>
      </w:r>
      <w:r>
        <w:rPr>
          <w:rFonts w:ascii="Arial" w:cs="Arial" w:eastAsia="Arial" w:hAnsi="Arial"/>
          <w:sz w:val="16"/>
          <w:szCs w:val="16"/>
          <w:color w:val="auto"/>
        </w:rPr>
        <w:t>”) as Exhibit 2.1 and is incorporated herein by reference, and the foregoing description of the Business Combination Agreement is qualified in its entirety by reference thereto.</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Business Combination is expected to close late in first half of 2022, following the receipt of the required approval by ArcLight’s shareholders and the fulfillment of other customary closing conditions.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A&amp;R LLC Agreement of Opal Fuels</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Following the Business Combination, the combined company will be organized in an “Up-C” structure, such that Opal Fuels and the subsidiaries of Opal Fuels will hold and operate substantially all of the assets and business of New Opal, and New Opal will be a publicly listed holding company that will hold equity interests in Opal Fuels. At the Closing, Opal Fuels will amend and restate its limited liability company agreement (as amended, the “</w:t>
      </w:r>
      <w:r>
        <w:rPr>
          <w:rFonts w:ascii="Arial" w:cs="Arial" w:eastAsia="Arial" w:hAnsi="Arial"/>
          <w:sz w:val="16"/>
          <w:szCs w:val="16"/>
          <w:b w:val="1"/>
          <w:bCs w:val="1"/>
          <w:i w:val="1"/>
          <w:iCs w:val="1"/>
          <w:color w:val="auto"/>
        </w:rPr>
        <w:t>Second A&amp;R LLC Agreement</w:t>
      </w:r>
      <w:r>
        <w:rPr>
          <w:rFonts w:ascii="Arial" w:cs="Arial" w:eastAsia="Arial" w:hAnsi="Arial"/>
          <w:sz w:val="16"/>
          <w:szCs w:val="16"/>
          <w:color w:val="auto"/>
        </w:rPr>
        <w:t>”) in its entirety to, among other things, provide the Opal Equityholders the right to redeem their Opal Units for cash or, at New Opal’s option, Opal Class A common stock, in each case, subject to certain restrictions set forth therein.</w:t>
      </w:r>
    </w:p>
    <w:p>
      <w:pPr>
        <w:spacing w:after="0" w:line="16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form of the Second A&amp;R LLC Agreement of the Opal Fuels is filed with this Current Report as Exhibit F to the Business Combination Agreement, which is filed with this Current Report as Exhibit 2.1 and is incorporated herein by reference, and the foregoing description of the Second A&amp;R LLC Agreement of Opal Fuels is qualified in its entirety by reference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Concurrent with the Closing, New Opal will enter into the tax receivable agreement (the “</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with the persons from time to time that become a party thereto (such persons, collectively, the “</w:t>
      </w:r>
      <w:r>
        <w:rPr>
          <w:rFonts w:ascii="Arial" w:cs="Arial" w:eastAsia="Arial" w:hAnsi="Arial"/>
          <w:sz w:val="18"/>
          <w:szCs w:val="18"/>
          <w:b w:val="1"/>
          <w:bCs w:val="1"/>
          <w:i w:val="1"/>
          <w:iCs w:val="1"/>
          <w:color w:val="auto"/>
        </w:rPr>
        <w:t>TRA Participants</w:t>
      </w:r>
      <w:r>
        <w:rPr>
          <w:rFonts w:ascii="Arial" w:cs="Arial" w:eastAsia="Arial" w:hAnsi="Arial"/>
          <w:sz w:val="18"/>
          <w:szCs w:val="18"/>
          <w:color w:val="auto"/>
        </w:rPr>
        <w:t>”). Pursuant to the Tax Receivable Agreement, New Opal will be required to pay the TRA Participants 85% of the amount of savings, if any, in U.S. federal, state and local income tax that New Opal actually realizes (computed using certain simplifying assumptions) as a result of the increases in tax basis and certain other tax benefits related to any exchanges of Opal Units (together with voting shares of New Opal) for New Opal Class A common stock or shares of Class C common stock, par value $0.0001 per share, of New Opal.</w:t>
      </w:r>
    </w:p>
    <w:p>
      <w:pPr>
        <w:spacing w:after="0" w:line="19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form of the Tax Receivables Agreement is filed with this Current Report as Exhibit A to the Business Combination Agreement, and the foregoing description of the Tax Receivables Agreement is qualified in its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Business Combination Agreement contains representations and warranties of each of the parties thereto that are customary for transactions of this type. The representations and warranties made under the Business Combination Agreement will not survive the Closing, other than claims against a party that committed fraud with respect to the making of its applicable representation and warranty.</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In addition, the parties to the Business Combination Agreement agreed to be bound by certain covenants customary for transactions of this type, including, among others, covenants with respect to the conduct of ArcLight, Opal Fuels and its subsidiaries during the period between signing the Business Combination Agreement and the Closing. ArcLight and Opal Fuels have also agreed to take all action within their respective power as may be necessary or appropriate such that, immediately after the Closing, the New Opal board of directors will consist of seven directors, six of which will be designated by the Company and one of which will be designated by ArcLight CTC Holdings II, L.P., a Delaware limited partnership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in each case, prior to the effectiveness of the Registration Statement and in accordance with the qualifications of the listing rules of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Rule 10A-3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Each of the parties to the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Combination Agreement has also agreed to use its respective reasonable best efforts to cause the Business Combination to be consummated after the date of the execution of the Business Combination Agreement as promptly as reasonably practicable.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17"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The obligation of ArcLight, Opal Fuels and Opal HoldCo to consummate the Business Combination is subject to certain customary closing conditions, including, but not limited to, (i) the absence of any order, law or other legal restraint or prohibition issued by any court of competent jurisdiction or other governmental entity of competent jurisdiction prohibiting or preventing the consummation of the transactions contemplated by the Business Combination Agreement, (ii) the effectiveness of the Registration Statement on Form S-4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 accordance with the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registering the New Opal Class A common stock to be issued in connection with the Business Combination (excluding that which will be issued to the Opal Equityholders), (iv) Opal Fuel’s and Opal HoldCo’s approval (which was delivered concurrently with the signing of the Business Combination Agreement), (v) delivery of the required approvals of ArcLight’s shareholders, (vi) the conditional approval by Nasdaq of ArcLight’s initial listing application for the New Opal Class A common stock to be issued in connection with the Business Combination, (vii) ArcLight having at least $5,000,001 of net tangible assets (as determined in accordance with Rule 3a51-1(g)(1) of the Exchange Act) remaining immediately after the closing of the Business Combination, and (viii) as of the Closing, the effectiveness of each of the agreements ancillary to the Business Combination Agreement (as specified therein).</w:t>
      </w:r>
    </w:p>
    <w:p>
      <w:pPr>
        <w:spacing w:after="0" w:line="18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obligation of ArcLight to consummate the Business Combination is further conditioned upon (i) the continued accuracy (within specified thresholds) of Opal Fuels’s and Opal HoldCo’s representations and warranties and material compliance by Opal Fuels and Opal HoldCo with their respective covenants and (ii) the absence of a material adverse effect on Opal Fuels since the date of the Business Combination Agreement. Additionally, the obligations of Opal Fuels and Opal HoldCo to consummate the Business Combination are further conditioned upon (a) the continued accuracy (within specified thresholds) of ArcLight’s representations and warranties and material compliance by ArcLight with its covenants, (b) the absence of a material adverse effect on ArcLight since the date of the Business Combination Agreement, (c) the aggregate cash proceeds from ArcLight’s trust account, together with the proceeds from the PIPE Financing (as defined below) and NextEra Contribution Amount (as defined in the Business Combination Agreement), equaling no less than $225,000,000 (after deducting any amounts paid to ArcLight shareholders that exercise their redemption rights in connection with the Business Combination and transaction expenses), (d) ArcLight Sponsor’s (and other ArcLight affiliates’) material compliance with the terms of the Sponsor Letter Agreement (as defined below), (e) occurrence of the Domestication and (f) the sum ArcLight’s transaction expenses and liabilities not exceeding $30,000,000.</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color w:val="auto"/>
        </w:rPr>
        <w:t>The Business Combination Agreement may be terminated under certain customary and limited circumstances prior to the closing of the Business Combination, including, but not limited to, (i) by mutual written consent of ArcLight and Opal Fuels, (ii) by ArcLight, on the one hand, or Opal Fuels, on the other hand, as a result of certain breaches of the Business Combination Agreement that remain uncured after any applicable cure period,</w:t>
      </w:r>
    </w:p>
    <w:p>
      <w:pPr>
        <w:spacing w:after="0" w:line="2" w:lineRule="exact"/>
        <w:rPr>
          <w:sz w:val="20"/>
          <w:szCs w:val="20"/>
          <w:color w:val="auto"/>
        </w:rPr>
      </w:pPr>
    </w:p>
    <w:p>
      <w:pPr>
        <w:ind w:left="4" w:right="80" w:hanging="4"/>
        <w:spacing w:after="0" w:line="255"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certain limited exceptions, by either ArcLight or Opal Fuels if the Closing has not occurred by August 29, 2022 and (iv) by either ArcLight or Opal Fuels if certain required approvals are not obtained from ArcLight’s shareholders after a meeting of ArcLight’s shareholders has been held and the shareholders have duly voted.</w:t>
      </w:r>
    </w:p>
    <w:p>
      <w:pPr>
        <w:spacing w:after="0" w:line="190"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If the Business Combination Agreement is validly terminated, none of the parties to the Business Combination Agreement will have any liability or any further obligation under the Business Combination Agreement, except in the case of a willful breach or fraud (each, as defined in the Business Combination Agreement) and for customary obligations that survive the termination thereof (such as confidentiality obligations). The Business Combination Agreement contains representations, warranties and covenants that the respective parties made to each other as of the date of the Business Combination Agreement or other specific dates, as specified therein. The assertions embodied in those representations, warranties and covenants were made for purposes of the contract among the respective parties and are subject to important qualifications and limitations agreed to by the</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301" w:right="479" w:bottom="1440" w:gutter="0" w:footer="0" w:header="0"/>
        </w:sectPr>
      </w:pPr>
    </w:p>
    <w:bookmarkStart w:id="4" w:name="page5"/>
    <w:bookmarkEnd w:id="4"/>
    <w:p>
      <w:pPr>
        <w:ind w:left="4"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parties in connection with negotiating such agreement. The representations, warranties and covenants in the Business Combination Agreement are also modified in important part by the underlying disclosure schedules which are not filed publicly and which are subject to a contractual standard of materiality different from that generally applicable to shareholders and were used for the purpose of allocating risk among the parties rather than establishing matters as facts. ArcLight does not believe that these schedules contain information that is material to an investment decision.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Sponsor Letter Agreement</w:t>
      </w:r>
    </w:p>
    <w:p>
      <w:pPr>
        <w:spacing w:after="0" w:line="12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Concurrently with the execution of the Business Combination Agreement, (i) ArcLight, (ii) ArcLight Sponsor, (iii) Opal Fuels, (iv) each executive officer of ArcLight and (v) the independent directors of ArcLight (together with ArcLight Sponsor, the “</w:t>
      </w:r>
      <w:r>
        <w:rPr>
          <w:rFonts w:ascii="Arial" w:cs="Arial" w:eastAsia="Arial" w:hAnsi="Arial"/>
          <w:sz w:val="16"/>
          <w:szCs w:val="16"/>
          <w:b w:val="1"/>
          <w:bCs w:val="1"/>
          <w:i w:val="1"/>
          <w:iCs w:val="1"/>
          <w:color w:val="auto"/>
        </w:rPr>
        <w:t>Class B Shareholders</w:t>
      </w:r>
      <w:r>
        <w:rPr>
          <w:rFonts w:ascii="Arial" w:cs="Arial" w:eastAsia="Arial" w:hAnsi="Arial"/>
          <w:sz w:val="16"/>
          <w:szCs w:val="16"/>
          <w:color w:val="auto"/>
        </w:rPr>
        <w:t>”) entered into a sponsor letter agreement (the “</w:t>
      </w:r>
      <w:r>
        <w:rPr>
          <w:rFonts w:ascii="Arial" w:cs="Arial" w:eastAsia="Arial" w:hAnsi="Arial"/>
          <w:sz w:val="16"/>
          <w:szCs w:val="16"/>
          <w:b w:val="1"/>
          <w:bCs w:val="1"/>
          <w:i w:val="1"/>
          <w:iCs w:val="1"/>
          <w:color w:val="auto"/>
        </w:rPr>
        <w:t>Sponsor Letter Agreement</w:t>
      </w:r>
      <w:r>
        <w:rPr>
          <w:rFonts w:ascii="Arial" w:cs="Arial" w:eastAsia="Arial" w:hAnsi="Arial"/>
          <w:sz w:val="16"/>
          <w:szCs w:val="16"/>
          <w:color w:val="auto"/>
        </w:rPr>
        <w: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Class B ordinary shares (including those resulting from the transactions contemplated by the Subscription Agreements (as defined below)), (iii) each Class B Shareholder agreed to be bound by certain transfer restrictions with respect to his, her or its shares in ArcLight prior to the Closing, (iv) ArcLight Sponsor agreed to subject 10% of its New Opal Class A Common Stock (received as a result of the conversion of its ArcLight Class B ordinary shares immediately prior to the Closing) to vesting and forfeiture conditions relating to VWAP targets for New Opal Class A Common Stock sustained over a period of 60 months following the Closing and (v) ArcLight Sponsor agreed to pay ArcLight’s transaction expenses to the extent they exceed $26,000,000.</w:t>
      </w:r>
    </w:p>
    <w:p>
      <w:pPr>
        <w:spacing w:after="0" w:line="172"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A copy of the Sponsor Letter Agreement is filed with this Current Report as Exhibit 10.1 and is incorporated herein by reference, and the foregoing description of the Sponsor Letter Agreement is qualified in its entirety by reference thereto.</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PIPE Financing (Private Placement)</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Concurrently with the execution of the Business Combination Agreement, ArcLight entered into subscription agreements (the “</w:t>
      </w:r>
      <w:r>
        <w:rPr>
          <w:rFonts w:ascii="Arial" w:cs="Arial" w:eastAsia="Arial" w:hAnsi="Arial"/>
          <w:sz w:val="18"/>
          <w:szCs w:val="18"/>
          <w:b w:val="1"/>
          <w:bCs w:val="1"/>
          <w:i w:val="1"/>
          <w:i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with certain investors, including, among others, an affiliate of ArcLight, as well as additional third party investors.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Agreements, each investor agreed to subscribe for and purchase, and ArcLight agreed to issue and sell to such investors, immediately prior to the Closing, an aggregate of 12,500,000 shares of ArcLight common stock for a purchase price of $10.00 per share, for aggregate gross proceeds of $125,000,000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w:t>
      </w:r>
    </w:p>
    <w:p>
      <w:pPr>
        <w:spacing w:after="0" w:line="188"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ArcLight will grant the investors in the PIPE Investment certain customary registration rights.</w:t>
      </w:r>
    </w:p>
    <w:p>
      <w:pPr>
        <w:spacing w:after="0" w:line="124" w:lineRule="exact"/>
        <w:rPr>
          <w:sz w:val="20"/>
          <w:szCs w:val="20"/>
          <w:color w:val="auto"/>
        </w:rPr>
      </w:pPr>
    </w:p>
    <w:p>
      <w:pPr>
        <w:ind w:left="4" w:right="600" w:firstLine="440"/>
        <w:spacing w:after="0" w:line="308" w:lineRule="auto"/>
        <w:rPr>
          <w:sz w:val="20"/>
          <w:szCs w:val="20"/>
          <w:color w:val="auto"/>
        </w:rPr>
      </w:pPr>
      <w:r>
        <w:rPr>
          <w:rFonts w:ascii="Arial" w:cs="Arial" w:eastAsia="Arial" w:hAnsi="Arial"/>
          <w:sz w:val="17"/>
          <w:szCs w:val="17"/>
          <w:color w:val="auto"/>
        </w:rPr>
        <w:t>A copy of the form of Subscription Agreement is filed with this Current Report on Form 8-K as Exhibit 10.2 and is incorporated herein by reference, and the foregoing description of the Subscription Agreements is qualified in its entirety by reference thereto.</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w:t>
      </w:r>
      <w:r>
        <w:rPr>
          <w:rFonts w:ascii="Arial" w:cs="Arial" w:eastAsia="Arial" w:hAnsi="Arial"/>
          <w:sz w:val="16"/>
          <w:szCs w:val="16"/>
          <w:b w:val="1"/>
          <w:bCs w:val="1"/>
          <w:i w:val="1"/>
          <w:iCs w:val="1"/>
          <w:color w:val="auto"/>
        </w:rPr>
        <w:t>New Opal Holders</w:t>
      </w:r>
      <w:r>
        <w:rPr>
          <w:rFonts w:ascii="Arial" w:cs="Arial" w:eastAsia="Arial" w:hAnsi="Arial"/>
          <w:sz w:val="16"/>
          <w:szCs w:val="16"/>
          <w:color w:val="auto"/>
        </w:rPr>
        <w:t>”) will enter into an Investor Rights Agreement (the “</w:t>
      </w:r>
      <w:r>
        <w:rPr>
          <w:rFonts w:ascii="Arial" w:cs="Arial" w:eastAsia="Arial" w:hAnsi="Arial"/>
          <w:sz w:val="16"/>
          <w:szCs w:val="16"/>
          <w:b w:val="1"/>
          <w:bCs w:val="1"/>
          <w:i w:val="1"/>
          <w:iCs w:val="1"/>
          <w:color w:val="auto"/>
        </w:rPr>
        <w:t>Investor Rights Agreement</w:t>
      </w:r>
      <w:r>
        <w:rPr>
          <w:rFonts w:ascii="Arial" w:cs="Arial" w:eastAsia="Arial" w:hAnsi="Arial"/>
          <w:sz w:val="16"/>
          <w:szCs w:val="16"/>
          <w:color w:val="auto"/>
        </w:rPr>
        <w:t>”), pursuant to which, among other things,</w:t>
      </w:r>
    </w:p>
    <w:p>
      <w:pPr>
        <w:jc w:val="both"/>
        <w:ind w:left="4" w:hanging="4"/>
        <w:spacing w:after="0" w:line="255" w:lineRule="auto"/>
        <w:tabs>
          <w:tab w:leader="none" w:pos="209"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ArcLight and ArcLight Sponsor will agree to terminate the Registration and Shareholder Rights Agreement, dated as of March 25, 2021, entered into by them in connection with ArcLight’s initial public offering, (ii) New Opal will provide the New Opal Holders certain registration rights with respect to certain shares of New Opal Class A common stock held by them or otherwise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301"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issuable to them pursuant to the Business Combination Agreement, Second A&amp;R LLC Agreement or the certificate of incorporation of New Opal and</w:t>
      </w:r>
    </w:p>
    <w:p>
      <w:pPr>
        <w:spacing w:after="0" w:line="46" w:lineRule="exact"/>
        <w:rPr>
          <w:sz w:val="20"/>
          <w:szCs w:val="20"/>
          <w:color w:val="auto"/>
        </w:rPr>
      </w:pPr>
    </w:p>
    <w:p>
      <w:pPr>
        <w:ind w:left="4" w:right="140" w:hanging="4"/>
        <w:spacing w:after="0" w:line="260"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Opal Holders will agree not to transfer, sell, assign or otherwise dispose of their shares of New Opal Class A common stock for up to 180 days following the Closing, subject to certain exceptions.</w:t>
      </w:r>
    </w:p>
    <w:p>
      <w:pPr>
        <w:spacing w:after="0" w:line="185" w:lineRule="exact"/>
        <w:rPr>
          <w:sz w:val="20"/>
          <w:szCs w:val="20"/>
          <w:color w:val="auto"/>
        </w:rPr>
      </w:pPr>
    </w:p>
    <w:p>
      <w:pPr>
        <w:ind w:left="4" w:right="400" w:firstLine="440"/>
        <w:spacing w:after="0" w:line="308" w:lineRule="auto"/>
        <w:rPr>
          <w:sz w:val="20"/>
          <w:szCs w:val="20"/>
          <w:color w:val="auto"/>
        </w:rPr>
      </w:pPr>
      <w:r>
        <w:rPr>
          <w:rFonts w:ascii="Arial" w:cs="Arial" w:eastAsia="Arial" w:hAnsi="Arial"/>
          <w:sz w:val="17"/>
          <w:szCs w:val="17"/>
          <w:color w:val="auto"/>
        </w:rPr>
        <w:t>A copy of the form of Investor Rights Agreement is filed with this Current Report on Form 8-K as Exhibit 10.3 and is incorporated herein by reference, and the foregoing description of the Investor Rights Agreement is qualified in its entirety by reference thereto.</w:t>
      </w:r>
    </w:p>
    <w:p>
      <w:pPr>
        <w:spacing w:after="0" w:line="29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The disclosure set forth above in Item 1.01 of this Current Report on Form 8-K is incorporated by reference herein. The shares of common stock to be offered and sold in connection with the PIPE Investment and to the Opal Equityholders in connection with the Business Combination have not been registered under the Securities Act in reliance upon the exemption provided in Section 4(a)(2) thereof.</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ind w:left="4" w:right="40" w:firstLine="440"/>
        <w:spacing w:after="0" w:line="288"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other interested persons to read, when available, the preliminary proxy statement/prospectus as well as other documents filed with the SEC because these documents will contain important information about ArcLight, Opal Fuels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ArcLight and Opal Fuels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Certain statements included in this Form 8-K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301" w:right="459" w:bottom="1440" w:gutter="0" w:footer="0" w:header="0"/>
        </w:sectPr>
      </w:pPr>
    </w:p>
    <w:bookmarkStart w:id="6" w:name="page7"/>
    <w:bookmarkEnd w:id="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proposed business combination, as well as (1) the inability to complete the proposed business combination; (2) the failure to realize the anticipated benefits of the proposed business combination, which may be affected by, among other things, competition, the ability of the combined company to grow and manage growth profitably, maintain relationships with customers and suppliers and retain key employees; (3) delays in obtaining, adverse conditions contained in, or the inability to obtain necessary regulatory approvals or complete regulatory reviews required to complete the proposed business combination; (4) the outcome of any legal proceedings that may be instituted in connection with the proposed business combination; the inability to complete the proposed business combination; (5) macroeconomic conditions related to the global COVID-19 pandemic; (6) factors associated with companies, such as Opal Fuels, that are engaged in the production and integration of renewable natural gas (RNG), including anticipated trends, growth rates and challenges in those businesses and in the markets in which they operate; (7) the effects of increased competition; (8)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(9) the ability to identify, acquire, develop and operate renewable projects and RNG fueling stations; (10) the amount of redemption requests made by ArcLight’s public shareholders; and (11) the ability of the combined company to issue equity or equity-linked securities or obtain debt financing in connection with the transaction or in the future. Nothing in this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Form 8-K,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Fuels’s expectations with respect thereto or any change in events, conditions or circumstances on which any statement is based.</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This Form 8-K is not a proxy statement or solicitation of a proxy, consent or authorization with respect to any securities or in respect of the potential transaction and shall not constitute an offer to sell or a solicitation of an offer to buy the securities of ArcLight, Opal Fuels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84" w:hanging="384"/>
        <w:spacing w:after="0"/>
        <w:tabs>
          <w:tab w:leader="none" w:pos="38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w:anchor="page10">
        <w:r>
          <w:rPr>
            <w:rFonts w:ascii="Arial" w:cs="Arial" w:eastAsia="Arial" w:hAnsi="Arial"/>
            <w:sz w:val="16"/>
            <w:szCs w:val="16"/>
            <w:u w:val="single" w:color="auto"/>
            <w:color w:val="0000EE"/>
          </w:rPr>
          <w:t>Business Combination Agreement, dated as of December 2, 2021, by and among ArcLight, Opal HoldCo and Opal Fuels.</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270">
        <w:r>
          <w:rPr>
            <w:rFonts w:ascii="Arial" w:cs="Arial" w:eastAsia="Arial" w:hAnsi="Arial"/>
            <w:sz w:val="16"/>
            <w:szCs w:val="16"/>
            <w:u w:val="single" w:color="auto"/>
            <w:color w:val="0000EE"/>
          </w:rPr>
          <w:t>Form of Subscription Agreement.</w:t>
        </w:r>
      </w:hyperlink>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301"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 w:lineRule="exact"/>
        <w:rPr>
          <w:sz w:val="20"/>
          <w:szCs w:val="20"/>
          <w:color w:val="auto"/>
        </w:rPr>
      </w:pPr>
    </w:p>
    <w:p>
      <w:pPr>
        <w:ind w:left="884"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291">
        <w:r>
          <w:rPr>
            <w:rFonts w:ascii="Arial" w:cs="Arial" w:eastAsia="Arial" w:hAnsi="Arial"/>
            <w:sz w:val="18"/>
            <w:szCs w:val="18"/>
            <w:u w:val="single" w:color="auto"/>
            <w:color w:val="0000EE"/>
          </w:rPr>
          <w:t>Sponsor Letter Agreement, dated as of December 2, 2021, by and among Opal Fuels, ArcLight, ArcLight Sponsor and the other parties</w:t>
        </w:r>
      </w:hyperlink>
      <w:r>
        <w:rPr>
          <w:rFonts w:ascii="Arial" w:cs="Arial" w:eastAsia="Arial" w:hAnsi="Arial"/>
          <w:sz w:val="18"/>
          <w:szCs w:val="18"/>
          <w:u w:val="single" w:color="auto"/>
          <w:color w:val="0000EE"/>
        </w:rPr>
        <w:t xml:space="preserve"> </w:t>
      </w:r>
      <w:hyperlink w:anchor="page291">
        <w:r>
          <w:rPr>
            <w:rFonts w:ascii="Arial" w:cs="Arial" w:eastAsia="Arial" w:hAnsi="Arial"/>
            <w:sz w:val="18"/>
            <w:szCs w:val="18"/>
            <w:u w:val="single" w:color="auto"/>
            <w:color w:val="0000EE"/>
          </w:rPr>
          <w:t>thereto.</w:t>
        </w:r>
      </w:hyperlink>
    </w:p>
    <w:p>
      <w:pPr>
        <w:spacing w:after="0" w:line="62"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318">
        <w:r>
          <w:rPr>
            <w:rFonts w:ascii="Arial" w:cs="Arial" w:eastAsia="Arial" w:hAnsi="Arial"/>
            <w:sz w:val="16"/>
            <w:szCs w:val="16"/>
            <w:u w:val="single" w:color="auto"/>
            <w:color w:val="0000EE"/>
          </w:rPr>
          <w:t>Form of Investor Rights Agreement.</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left="224" w:right="180"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schedules to this exhibit have been omitted in accordance with Regulation S-K Item 601(b)(2). The Registrant agrees to furnish supplementally a copy of all omitted exhibits and schedules to the SEC upon its request.</w:t>
      </w:r>
    </w:p>
    <w:p>
      <w:pPr>
        <w:spacing w:after="0" w:line="103" w:lineRule="exact"/>
        <w:rPr>
          <w:sz w:val="20"/>
          <w:szCs w:val="20"/>
          <w:color w:val="auto"/>
        </w:rPr>
      </w:pPr>
    </w:p>
    <w:p>
      <w:pPr>
        <w:jc w:val="center"/>
        <w:ind w:right="-40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4"/>
          </w:cols>
          <w:pgMar w:left="436" w:top="282" w:right="85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440" w:top="297" w:right="7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OPAL HOLDCO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OPAL FUELS LLC</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DATED AS OF DECEMBER 2, 2021</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9280" w:type="dxa"/>
            <w:vAlign w:val="bottom"/>
            <w:gridSpan w:val="3"/>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r>
      <w:tr>
        <w:trPr>
          <w:trHeight w:val="412"/>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8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1 CERTAIN DEFINITIONS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1.1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2 BUSINESS COMBINATION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Transactions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ACT Share Conversion</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Domestication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PIPE Subscriptions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of the Transactions Contemplated by this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Earnout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Withholding</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3 REPRESENTATIONS AND WARRANTIES RELATING TO THE GROUP COMPANIES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Organization and Qualification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Capitalization of the Group Companies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Financial Statements; Undisclosed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Consents and Requisite Governmental Approvals; No Violations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Permits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Material Contracts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Absence of Changes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3.9</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3.10</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Compliance with Applicable Law</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Employee Plans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Environmental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Labor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Tax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Brokers</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Real and Personal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3.19</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Transactions with Affiliates</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3.20</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Data Privacy and Security</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Compliance with International Trade &amp; Anti-Corruption Laws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Information Supplied</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Investigation; No Other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Specified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Regulatory Status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RELATING TO ACT</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4.1</w:t>
            </w:r>
          </w:p>
        </w:tc>
        <w:tc>
          <w:tcPr>
            <w:tcW w:w="7140" w:type="dxa"/>
            <w:vAlign w:val="bottom"/>
          </w:tcPr>
          <w:p>
            <w:pPr>
              <w:ind w:left="60"/>
              <w:spacing w:after="0"/>
              <w:rPr>
                <w:sz w:val="20"/>
                <w:szCs w:val="20"/>
                <w:color w:val="auto"/>
              </w:rPr>
            </w:pPr>
            <w:r>
              <w:rPr>
                <w:rFonts w:ascii="Arial" w:cs="Arial" w:eastAsia="Arial" w:hAnsi="Arial"/>
                <w:sz w:val="18"/>
                <w:szCs w:val="18"/>
                <w:color w:val="auto"/>
              </w:rPr>
              <w:t>Organization and Qualification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4.2</w:t>
            </w:r>
          </w:p>
        </w:tc>
        <w:tc>
          <w:tcPr>
            <w:tcW w:w="71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4.3</w:t>
            </w:r>
          </w:p>
        </w:tc>
        <w:tc>
          <w:tcPr>
            <w:tcW w:w="7140" w:type="dxa"/>
            <w:vAlign w:val="bottom"/>
          </w:tcPr>
          <w:p>
            <w:pPr>
              <w:ind w:left="60"/>
              <w:spacing w:after="0"/>
              <w:rPr>
                <w:sz w:val="20"/>
                <w:szCs w:val="20"/>
                <w:color w:val="auto"/>
              </w:rPr>
            </w:pPr>
            <w:r>
              <w:rPr>
                <w:rFonts w:ascii="Arial" w:cs="Arial" w:eastAsia="Arial" w:hAnsi="Arial"/>
                <w:sz w:val="18"/>
                <w:szCs w:val="18"/>
                <w:color w:val="auto"/>
              </w:rPr>
              <w:t>Consents and Requisite Governmental Approvals; No Violations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4.4</w:t>
            </w:r>
          </w:p>
        </w:tc>
        <w:tc>
          <w:tcPr>
            <w:tcW w:w="7140" w:type="dxa"/>
            <w:vAlign w:val="bottom"/>
          </w:tcPr>
          <w:p>
            <w:pPr>
              <w:ind w:left="60"/>
              <w:spacing w:after="0"/>
              <w:rPr>
                <w:sz w:val="20"/>
                <w:szCs w:val="20"/>
                <w:color w:val="auto"/>
              </w:rPr>
            </w:pPr>
            <w:r>
              <w:rPr>
                <w:rFonts w:ascii="Arial" w:cs="Arial" w:eastAsia="Arial" w:hAnsi="Arial"/>
                <w:sz w:val="18"/>
                <w:szCs w:val="18"/>
                <w:color w:val="auto"/>
              </w:rPr>
              <w:t>Brokers</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4.5</w:t>
            </w:r>
          </w:p>
        </w:tc>
        <w:tc>
          <w:tcPr>
            <w:tcW w:w="714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4.6</w:t>
            </w:r>
          </w:p>
        </w:tc>
        <w:tc>
          <w:tcPr>
            <w:tcW w:w="7140" w:type="dxa"/>
            <w:vAlign w:val="bottom"/>
          </w:tcPr>
          <w:p>
            <w:pPr>
              <w:ind w:left="60"/>
              <w:spacing w:after="0"/>
              <w:rPr>
                <w:sz w:val="20"/>
                <w:szCs w:val="20"/>
                <w:color w:val="auto"/>
              </w:rPr>
            </w:pPr>
            <w:r>
              <w:rPr>
                <w:rFonts w:ascii="Arial" w:cs="Arial" w:eastAsia="Arial" w:hAnsi="Arial"/>
                <w:sz w:val="18"/>
                <w:szCs w:val="18"/>
                <w:color w:val="auto"/>
              </w:rPr>
              <w:t>Capitalization of ACT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4.7</w:t>
            </w:r>
          </w:p>
        </w:tc>
        <w:tc>
          <w:tcPr>
            <w:tcW w:w="7140" w:type="dxa"/>
            <w:vAlign w:val="bottom"/>
          </w:tcPr>
          <w:p>
            <w:pPr>
              <w:ind w:left="60"/>
              <w:spacing w:after="0"/>
              <w:rPr>
                <w:sz w:val="20"/>
                <w:szCs w:val="20"/>
                <w:color w:val="auto"/>
              </w:rPr>
            </w:pPr>
            <w:r>
              <w:rPr>
                <w:rFonts w:ascii="Arial" w:cs="Arial" w:eastAsia="Arial" w:hAnsi="Arial"/>
                <w:sz w:val="18"/>
                <w:szCs w:val="18"/>
                <w:color w:val="auto"/>
              </w:rPr>
              <w:t>SEC Filings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4.8</w:t>
            </w:r>
          </w:p>
        </w:tc>
        <w:tc>
          <w:tcPr>
            <w:tcW w:w="7140" w:type="dxa"/>
            <w:vAlign w:val="bottom"/>
          </w:tcPr>
          <w:p>
            <w:pPr>
              <w:ind w:left="60"/>
              <w:spacing w:after="0"/>
              <w:rPr>
                <w:sz w:val="20"/>
                <w:szCs w:val="20"/>
                <w:color w:val="auto"/>
              </w:rPr>
            </w:pPr>
            <w:r>
              <w:rPr>
                <w:rFonts w:ascii="Arial" w:cs="Arial" w:eastAsia="Arial" w:hAnsi="Arial"/>
                <w:sz w:val="18"/>
                <w:szCs w:val="18"/>
                <w:color w:val="auto"/>
              </w:rPr>
              <w:t>Absence of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4.9</w:t>
            </w:r>
          </w:p>
        </w:tc>
        <w:tc>
          <w:tcPr>
            <w:tcW w:w="7140" w:type="dxa"/>
            <w:vAlign w:val="bottom"/>
          </w:tcPr>
          <w:p>
            <w:pPr>
              <w:ind w:left="60"/>
              <w:spacing w:after="0"/>
              <w:rPr>
                <w:sz w:val="20"/>
                <w:szCs w:val="20"/>
                <w:color w:val="auto"/>
              </w:rPr>
            </w:pPr>
            <w:r>
              <w:rPr>
                <w:rFonts w:ascii="Arial" w:cs="Arial" w:eastAsia="Arial" w:hAnsi="Arial"/>
                <w:sz w:val="18"/>
                <w:szCs w:val="18"/>
                <w:color w:val="auto"/>
              </w:rPr>
              <w:t>Contracts; No Defaults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4.10</w:t>
            </w:r>
          </w:p>
        </w:tc>
        <w:tc>
          <w:tcPr>
            <w:tcW w:w="714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4.11</w:t>
            </w:r>
          </w:p>
        </w:tc>
        <w:tc>
          <w:tcPr>
            <w:tcW w:w="7140" w:type="dxa"/>
            <w:vAlign w:val="bottom"/>
          </w:tcPr>
          <w:p>
            <w:pPr>
              <w:ind w:left="60"/>
              <w:spacing w:after="0"/>
              <w:rPr>
                <w:sz w:val="20"/>
                <w:szCs w:val="20"/>
                <w:color w:val="auto"/>
              </w:rPr>
            </w:pPr>
            <w:r>
              <w:rPr>
                <w:rFonts w:ascii="Arial" w:cs="Arial" w:eastAsia="Arial" w:hAnsi="Arial"/>
                <w:sz w:val="18"/>
                <w:szCs w:val="18"/>
                <w:color w:val="auto"/>
              </w:rPr>
              <w:t>Trust Account; Financial 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4.12</w:t>
            </w:r>
          </w:p>
        </w:tc>
        <w:tc>
          <w:tcPr>
            <w:tcW w:w="714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4.13</w:t>
            </w:r>
          </w:p>
        </w:tc>
        <w:tc>
          <w:tcPr>
            <w:tcW w:w="714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4.14</w:t>
            </w:r>
          </w:p>
        </w:tc>
        <w:tc>
          <w:tcPr>
            <w:tcW w:w="7140" w:type="dxa"/>
            <w:vAlign w:val="bottom"/>
          </w:tcPr>
          <w:p>
            <w:pPr>
              <w:ind w:left="60"/>
              <w:spacing w:after="0"/>
              <w:rPr>
                <w:sz w:val="20"/>
                <w:szCs w:val="20"/>
                <w:color w:val="auto"/>
              </w:rPr>
            </w:pPr>
            <w:r>
              <w:rPr>
                <w:rFonts w:ascii="Arial" w:cs="Arial" w:eastAsia="Arial" w:hAnsi="Arial"/>
                <w:sz w:val="18"/>
                <w:szCs w:val="18"/>
                <w:color w:val="auto"/>
              </w:rPr>
              <w:t>Compliance with Applicable Law</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4.15</w:t>
            </w:r>
          </w:p>
        </w:tc>
        <w:tc>
          <w:tcPr>
            <w:tcW w:w="7140" w:type="dxa"/>
            <w:vAlign w:val="bottom"/>
          </w:tcPr>
          <w:p>
            <w:pPr>
              <w:ind w:left="60"/>
              <w:spacing w:after="0"/>
              <w:rPr>
                <w:sz w:val="20"/>
                <w:szCs w:val="20"/>
                <w:color w:val="auto"/>
              </w:rPr>
            </w:pPr>
            <w:r>
              <w:rPr>
                <w:rFonts w:ascii="Arial" w:cs="Arial" w:eastAsia="Arial" w:hAnsi="Arial"/>
                <w:sz w:val="18"/>
                <w:szCs w:val="18"/>
                <w:color w:val="auto"/>
              </w:rPr>
              <w:t>ACT Activities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4.16</w:t>
            </w:r>
          </w:p>
        </w:tc>
        <w:tc>
          <w:tcPr>
            <w:tcW w:w="7140" w:type="dxa"/>
            <w:vAlign w:val="bottom"/>
          </w:tcPr>
          <w:p>
            <w:pPr>
              <w:ind w:left="60"/>
              <w:spacing w:after="0"/>
              <w:rPr>
                <w:sz w:val="20"/>
                <w:szCs w:val="20"/>
                <w:color w:val="auto"/>
              </w:rPr>
            </w:pPr>
            <w:r>
              <w:rPr>
                <w:rFonts w:ascii="Arial" w:cs="Arial" w:eastAsia="Arial" w:hAnsi="Arial"/>
                <w:sz w:val="18"/>
                <w:szCs w:val="18"/>
                <w:color w:val="auto"/>
              </w:rPr>
              <w:t>Internal Controls; Listing; Financial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4.17</w:t>
            </w:r>
          </w:p>
        </w:tc>
        <w:tc>
          <w:tcPr>
            <w:tcW w:w="71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4.18</w:t>
            </w:r>
          </w:p>
        </w:tc>
        <w:tc>
          <w:tcPr>
            <w:tcW w:w="7140" w:type="dxa"/>
            <w:vAlign w:val="bottom"/>
          </w:tcPr>
          <w:p>
            <w:pPr>
              <w:ind w:left="60"/>
              <w:spacing w:after="0"/>
              <w:rPr>
                <w:sz w:val="20"/>
                <w:szCs w:val="20"/>
                <w:color w:val="auto"/>
              </w:rPr>
            </w:pPr>
            <w:r>
              <w:rPr>
                <w:rFonts w:ascii="Arial" w:cs="Arial" w:eastAsia="Arial" w:hAnsi="Arial"/>
                <w:sz w:val="18"/>
                <w:szCs w:val="18"/>
                <w:color w:val="auto"/>
              </w:rPr>
              <w:t>Employees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4.19</w:t>
            </w:r>
          </w:p>
        </w:tc>
        <w:tc>
          <w:tcPr>
            <w:tcW w:w="7140" w:type="dxa"/>
            <w:vAlign w:val="bottom"/>
          </w:tcPr>
          <w:p>
            <w:pPr>
              <w:ind w:left="60"/>
              <w:spacing w:after="0"/>
              <w:rPr>
                <w:sz w:val="20"/>
                <w:szCs w:val="20"/>
                <w:color w:val="auto"/>
              </w:rPr>
            </w:pPr>
            <w:r>
              <w:rPr>
                <w:rFonts w:ascii="Arial" w:cs="Arial" w:eastAsia="Arial" w:hAnsi="Arial"/>
                <w:sz w:val="18"/>
                <w:szCs w:val="18"/>
                <w:color w:val="auto"/>
              </w:rPr>
              <w:t>Employee Plans</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4.20</w:t>
            </w:r>
          </w:p>
        </w:tc>
        <w:tc>
          <w:tcPr>
            <w:tcW w:w="714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4.21</w:t>
            </w:r>
          </w:p>
        </w:tc>
        <w:tc>
          <w:tcPr>
            <w:tcW w:w="7140" w:type="dxa"/>
            <w:vAlign w:val="bottom"/>
          </w:tcPr>
          <w:p>
            <w:pPr>
              <w:ind w:left="60"/>
              <w:spacing w:after="0"/>
              <w:rPr>
                <w:sz w:val="20"/>
                <w:szCs w:val="20"/>
                <w:color w:val="auto"/>
              </w:rPr>
            </w:pPr>
            <w:r>
              <w:rPr>
                <w:rFonts w:ascii="Arial" w:cs="Arial" w:eastAsia="Arial" w:hAnsi="Arial"/>
                <w:sz w:val="18"/>
                <w:szCs w:val="18"/>
                <w:color w:val="auto"/>
              </w:rPr>
              <w:t>CFIUS Foreign Person Status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4.22</w:t>
            </w:r>
          </w:p>
        </w:tc>
        <w:tc>
          <w:tcPr>
            <w:tcW w:w="7140" w:type="dxa"/>
            <w:vAlign w:val="bottom"/>
          </w:tcPr>
          <w:p>
            <w:pPr>
              <w:ind w:left="60"/>
              <w:spacing w:after="0"/>
              <w:rPr>
                <w:sz w:val="20"/>
                <w:szCs w:val="20"/>
                <w:color w:val="auto"/>
              </w:rPr>
            </w:pPr>
            <w:r>
              <w:rPr>
                <w:rFonts w:ascii="Arial" w:cs="Arial" w:eastAsia="Arial" w:hAnsi="Arial"/>
                <w:sz w:val="18"/>
                <w:szCs w:val="18"/>
                <w:color w:val="auto"/>
              </w:rPr>
              <w:t>Compliance with International Trade &amp; Anti-Corruption Laws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4.23</w:t>
            </w:r>
          </w:p>
        </w:tc>
        <w:tc>
          <w:tcPr>
            <w:tcW w:w="7140" w:type="dxa"/>
            <w:vAlign w:val="bottom"/>
          </w:tcPr>
          <w:p>
            <w:pPr>
              <w:ind w:left="60"/>
              <w:spacing w:after="0"/>
              <w:rPr>
                <w:sz w:val="20"/>
                <w:szCs w:val="20"/>
                <w:color w:val="auto"/>
              </w:rPr>
            </w:pPr>
            <w:r>
              <w:rPr>
                <w:rFonts w:ascii="Arial" w:cs="Arial" w:eastAsia="Arial" w:hAnsi="Arial"/>
                <w:sz w:val="18"/>
                <w:szCs w:val="18"/>
                <w:color w:val="auto"/>
              </w:rPr>
              <w:t>Change of Control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4.24</w:t>
            </w:r>
          </w:p>
        </w:tc>
        <w:tc>
          <w:tcPr>
            <w:tcW w:w="7140" w:type="dxa"/>
            <w:vAlign w:val="bottom"/>
          </w:tcPr>
          <w:p>
            <w:pPr>
              <w:ind w:left="60"/>
              <w:spacing w:after="0"/>
              <w:rPr>
                <w:sz w:val="20"/>
                <w:szCs w:val="20"/>
                <w:color w:val="auto"/>
              </w:rPr>
            </w:pPr>
            <w:r>
              <w:rPr>
                <w:rFonts w:ascii="Arial" w:cs="Arial" w:eastAsia="Arial" w:hAnsi="Arial"/>
                <w:sz w:val="18"/>
                <w:szCs w:val="18"/>
                <w:color w:val="auto"/>
              </w:rPr>
              <w:t>PIPE Financing</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4.25</w:t>
            </w:r>
          </w:p>
        </w:tc>
        <w:tc>
          <w:tcPr>
            <w:tcW w:w="7140" w:type="dxa"/>
            <w:vAlign w:val="bottom"/>
          </w:tcPr>
          <w:p>
            <w:pPr>
              <w:ind w:left="60"/>
              <w:spacing w:after="0"/>
              <w:rPr>
                <w:sz w:val="20"/>
                <w:szCs w:val="20"/>
                <w:color w:val="auto"/>
              </w:rPr>
            </w:pPr>
            <w:r>
              <w:rPr>
                <w:rFonts w:ascii="Arial" w:cs="Arial" w:eastAsia="Arial" w:hAnsi="Arial"/>
                <w:sz w:val="18"/>
                <w:szCs w:val="18"/>
                <w:color w:val="auto"/>
              </w:rPr>
              <w:t>Investigation; No Other Representations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4.26</w:t>
            </w:r>
          </w:p>
        </w:tc>
        <w:tc>
          <w:tcPr>
            <w:tcW w:w="7140" w:type="dxa"/>
            <w:vAlign w:val="bottom"/>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5.1</w:t>
            </w:r>
          </w:p>
        </w:tc>
        <w:tc>
          <w:tcPr>
            <w:tcW w:w="6980" w:type="dxa"/>
            <w:vAlign w:val="bottom"/>
          </w:tcPr>
          <w:p>
            <w:pPr>
              <w:ind w:left="60"/>
              <w:spacing w:after="0"/>
              <w:rPr>
                <w:sz w:val="20"/>
                <w:szCs w:val="20"/>
                <w:color w:val="auto"/>
              </w:rPr>
            </w:pPr>
            <w:r>
              <w:rPr>
                <w:rFonts w:ascii="Arial" w:cs="Arial" w:eastAsia="Arial" w:hAnsi="Arial"/>
                <w:sz w:val="18"/>
                <w:szCs w:val="18"/>
                <w:color w:val="auto"/>
              </w:rPr>
              <w:t>Conduct of Business of the Company</w:t>
            </w:r>
          </w:p>
        </w:tc>
        <w:tc>
          <w:tcPr>
            <w:tcW w:w="2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5.2</w:t>
            </w:r>
          </w:p>
        </w:tc>
        <w:tc>
          <w:tcPr>
            <w:tcW w:w="6980" w:type="dxa"/>
            <w:vAlign w:val="bottom"/>
          </w:tcPr>
          <w:p>
            <w:pPr>
              <w:ind w:left="60"/>
              <w:spacing w:after="0"/>
              <w:rPr>
                <w:sz w:val="20"/>
                <w:szCs w:val="20"/>
                <w:color w:val="auto"/>
              </w:rPr>
            </w:pPr>
            <w:r>
              <w:rPr>
                <w:rFonts w:ascii="Arial" w:cs="Arial" w:eastAsia="Arial" w:hAnsi="Arial"/>
                <w:sz w:val="18"/>
                <w:szCs w:val="18"/>
                <w:color w:val="auto"/>
              </w:rPr>
              <w:t>Efforts to Consummate; Transaction Litigation</w:t>
            </w:r>
          </w:p>
        </w:tc>
        <w:tc>
          <w:tcPr>
            <w:tcW w:w="2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5.3</w:t>
            </w:r>
          </w:p>
        </w:tc>
        <w:tc>
          <w:tcPr>
            <w:tcW w:w="6980" w:type="dxa"/>
            <w:vAlign w:val="bottom"/>
          </w:tcPr>
          <w:p>
            <w:pPr>
              <w:ind w:left="60"/>
              <w:spacing w:after="0"/>
              <w:rPr>
                <w:sz w:val="20"/>
                <w:szCs w:val="20"/>
                <w:color w:val="auto"/>
              </w:rPr>
            </w:pPr>
            <w:r>
              <w:rPr>
                <w:rFonts w:ascii="Arial" w:cs="Arial" w:eastAsia="Arial" w:hAnsi="Arial"/>
                <w:sz w:val="18"/>
                <w:szCs w:val="18"/>
                <w:color w:val="auto"/>
              </w:rPr>
              <w:t>Confidentiality and Access to 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5.4</w:t>
            </w:r>
          </w:p>
        </w:tc>
        <w:tc>
          <w:tcPr>
            <w:tcW w:w="698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5.5</w:t>
            </w:r>
          </w:p>
        </w:tc>
        <w:tc>
          <w:tcPr>
            <w:tcW w:w="69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5.6</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Exclusive Dealing</w:t>
            </w:r>
          </w:p>
        </w:tc>
        <w:tc>
          <w:tcPr>
            <w:tcW w:w="2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5.7</w:t>
            </w:r>
          </w:p>
        </w:tc>
        <w:tc>
          <w:tcPr>
            <w:tcW w:w="6980" w:type="dxa"/>
            <w:vAlign w:val="bottom"/>
          </w:tcPr>
          <w:p>
            <w:pPr>
              <w:ind w:left="60"/>
              <w:spacing w:after="0"/>
              <w:rPr>
                <w:sz w:val="20"/>
                <w:szCs w:val="20"/>
                <w:color w:val="auto"/>
              </w:rPr>
            </w:pPr>
            <w:r>
              <w:rPr>
                <w:rFonts w:ascii="Arial" w:cs="Arial" w:eastAsia="Arial" w:hAnsi="Arial"/>
                <w:sz w:val="18"/>
                <w:szCs w:val="18"/>
                <w:color w:val="auto"/>
              </w:rPr>
              <w:t>ACT Exclusive Dealing</w:t>
            </w:r>
          </w:p>
        </w:tc>
        <w:tc>
          <w:tcPr>
            <w:tcW w:w="2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5.8</w:t>
            </w:r>
          </w:p>
        </w:tc>
        <w:tc>
          <w:tcPr>
            <w:tcW w:w="6980" w:type="dxa"/>
            <w:vAlign w:val="bottom"/>
          </w:tcPr>
          <w:p>
            <w:pPr>
              <w:ind w:left="60"/>
              <w:spacing w:after="0"/>
              <w:rPr>
                <w:sz w:val="20"/>
                <w:szCs w:val="20"/>
                <w:color w:val="auto"/>
              </w:rPr>
            </w:pPr>
            <w:r>
              <w:rPr>
                <w:rFonts w:ascii="Arial" w:cs="Arial" w:eastAsia="Arial" w:hAnsi="Arial"/>
                <w:sz w:val="18"/>
                <w:szCs w:val="18"/>
                <w:color w:val="auto"/>
              </w:rPr>
              <w:t>Preparation of Registration Statement/Proxy Statement</w:t>
            </w:r>
          </w:p>
        </w:tc>
        <w:tc>
          <w:tcPr>
            <w:tcW w:w="2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5.9</w:t>
            </w:r>
          </w:p>
        </w:tc>
        <w:tc>
          <w:tcPr>
            <w:tcW w:w="6980" w:type="dxa"/>
            <w:vAlign w:val="bottom"/>
          </w:tcPr>
          <w:p>
            <w:pPr>
              <w:ind w:left="60"/>
              <w:spacing w:after="0"/>
              <w:rPr>
                <w:sz w:val="20"/>
                <w:szCs w:val="20"/>
                <w:color w:val="auto"/>
              </w:rPr>
            </w:pPr>
            <w:r>
              <w:rPr>
                <w:rFonts w:ascii="Arial" w:cs="Arial" w:eastAsia="Arial" w:hAnsi="Arial"/>
                <w:sz w:val="18"/>
                <w:szCs w:val="18"/>
                <w:color w:val="auto"/>
              </w:rPr>
              <w:t>ACT Shareholder Approval</w:t>
            </w:r>
          </w:p>
        </w:tc>
        <w:tc>
          <w:tcPr>
            <w:tcW w:w="2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5.10</w:t>
            </w:r>
          </w:p>
        </w:tc>
        <w:tc>
          <w:tcPr>
            <w:tcW w:w="6980" w:type="dxa"/>
            <w:vAlign w:val="bottom"/>
          </w:tcPr>
          <w:p>
            <w:pPr>
              <w:ind w:left="60"/>
              <w:spacing w:after="0"/>
              <w:rPr>
                <w:sz w:val="20"/>
                <w:szCs w:val="20"/>
                <w:color w:val="auto"/>
              </w:rPr>
            </w:pPr>
            <w:r>
              <w:rPr>
                <w:rFonts w:ascii="Arial" w:cs="Arial" w:eastAsia="Arial" w:hAnsi="Arial"/>
                <w:sz w:val="18"/>
                <w:szCs w:val="18"/>
                <w:color w:val="auto"/>
              </w:rPr>
              <w:t>Conduct of Business of ACT</w:t>
            </w:r>
          </w:p>
        </w:tc>
        <w:tc>
          <w:tcPr>
            <w:tcW w:w="2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5.11</w:t>
            </w:r>
          </w:p>
        </w:tc>
        <w:tc>
          <w:tcPr>
            <w:tcW w:w="6980" w:type="dxa"/>
            <w:vAlign w:val="bottom"/>
          </w:tcPr>
          <w:p>
            <w:pPr>
              <w:ind w:left="60"/>
              <w:spacing w:after="0"/>
              <w:rPr>
                <w:sz w:val="20"/>
                <w:szCs w:val="20"/>
                <w:color w:val="auto"/>
              </w:rPr>
            </w:pPr>
            <w:r>
              <w:rPr>
                <w:rFonts w:ascii="Arial" w:cs="Arial" w:eastAsia="Arial" w:hAnsi="Arial"/>
                <w:sz w:val="18"/>
                <w:szCs w:val="18"/>
                <w:color w:val="auto"/>
              </w:rPr>
              <w:t>Nasdaq Listing; ACT Public Filings</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5.12</w:t>
            </w:r>
          </w:p>
        </w:tc>
        <w:tc>
          <w:tcPr>
            <w:tcW w:w="6980" w:type="dxa"/>
            <w:vAlign w:val="bottom"/>
          </w:tcPr>
          <w:p>
            <w:pPr>
              <w:ind w:left="6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5.13</w:t>
            </w:r>
          </w:p>
        </w:tc>
        <w:tc>
          <w:tcPr>
            <w:tcW w:w="6980" w:type="dxa"/>
            <w:vAlign w:val="bottom"/>
          </w:tcPr>
          <w:p>
            <w:pPr>
              <w:ind w:left="60"/>
              <w:spacing w:after="0"/>
              <w:rPr>
                <w:sz w:val="20"/>
                <w:szCs w:val="20"/>
                <w:color w:val="auto"/>
              </w:rPr>
            </w:pPr>
            <w:r>
              <w:rPr>
                <w:rFonts w:ascii="Arial" w:cs="Arial" w:eastAsia="Arial" w:hAnsi="Arial"/>
                <w:sz w:val="18"/>
                <w:szCs w:val="18"/>
                <w:color w:val="auto"/>
              </w:rPr>
              <w:t>Financing</w:t>
            </w:r>
          </w:p>
        </w:tc>
        <w:tc>
          <w:tcPr>
            <w:tcW w:w="2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5.14</w:t>
            </w:r>
          </w:p>
        </w:tc>
        <w:tc>
          <w:tcPr>
            <w:tcW w:w="6980" w:type="dxa"/>
            <w:vAlign w:val="bottom"/>
          </w:tcPr>
          <w:p>
            <w:pPr>
              <w:ind w:left="60"/>
              <w:spacing w:after="0"/>
              <w:rPr>
                <w:sz w:val="20"/>
                <w:szCs w:val="20"/>
                <w:color w:val="auto"/>
              </w:rPr>
            </w:pPr>
            <w:r>
              <w:rPr>
                <w:rFonts w:ascii="Arial" w:cs="Arial" w:eastAsia="Arial" w:hAnsi="Arial"/>
                <w:sz w:val="18"/>
                <w:szCs w:val="18"/>
                <w:color w:val="auto"/>
              </w:rPr>
              <w:t>ACT Indemnification; Directors’ and Officers’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5.15</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Indemnification; Directors’ and Officers’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5.16</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Directors and Officers</w:t>
            </w:r>
          </w:p>
        </w:tc>
        <w:tc>
          <w:tcPr>
            <w:tcW w:w="2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5.17</w:t>
            </w:r>
          </w:p>
        </w:tc>
        <w:tc>
          <w:tcPr>
            <w:tcW w:w="6980" w:type="dxa"/>
            <w:vAlign w:val="bottom"/>
          </w:tcPr>
          <w:p>
            <w:pPr>
              <w:ind w:left="60"/>
              <w:spacing w:after="0"/>
              <w:rPr>
                <w:sz w:val="20"/>
                <w:szCs w:val="20"/>
                <w:color w:val="auto"/>
              </w:rPr>
            </w:pPr>
            <w:r>
              <w:rPr>
                <w:rFonts w:ascii="Arial" w:cs="Arial" w:eastAsia="Arial" w:hAnsi="Arial"/>
                <w:sz w:val="18"/>
                <w:szCs w:val="18"/>
                <w:color w:val="auto"/>
              </w:rPr>
              <w:t>PCAOB Financials</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5.18</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Incentive Equity Plan</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5.19</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Bylaws</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5.20</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Preferred Equity Investment</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78"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6 CONDITIONS TO CONSUMMATION OF THE TRANSACTIONS CONTEMPLATED BY THIS AGREEMENT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6.1</w:t>
            </w:r>
          </w:p>
        </w:tc>
        <w:tc>
          <w:tcPr>
            <w:tcW w:w="9000" w:type="dxa"/>
            <w:vAlign w:val="bottom"/>
          </w:tcPr>
          <w:p>
            <w:pPr>
              <w:ind w:left="100"/>
              <w:spacing w:after="0"/>
              <w:rPr>
                <w:sz w:val="20"/>
                <w:szCs w:val="20"/>
                <w:color w:val="auto"/>
              </w:rPr>
            </w:pPr>
            <w:r>
              <w:rPr>
                <w:rFonts w:ascii="Arial" w:cs="Arial" w:eastAsia="Arial" w:hAnsi="Arial"/>
                <w:sz w:val="18"/>
                <w:szCs w:val="18"/>
                <w:color w:val="auto"/>
              </w:rPr>
              <w:t>Conditions to the Obligations of the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6.2</w:t>
            </w:r>
          </w:p>
        </w:tc>
        <w:tc>
          <w:tcPr>
            <w:tcW w:w="9000" w:type="dxa"/>
            <w:vAlign w:val="bottom"/>
          </w:tcPr>
          <w:p>
            <w:pPr>
              <w:ind w:left="100"/>
              <w:spacing w:after="0"/>
              <w:rPr>
                <w:sz w:val="20"/>
                <w:szCs w:val="20"/>
                <w:color w:val="auto"/>
              </w:rPr>
            </w:pPr>
            <w:r>
              <w:rPr>
                <w:rFonts w:ascii="Arial" w:cs="Arial" w:eastAsia="Arial" w:hAnsi="Arial"/>
                <w:sz w:val="18"/>
                <w:szCs w:val="18"/>
                <w:color w:val="auto"/>
              </w:rPr>
              <w:t>Other Conditions to the Obligations of ACT</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6.3</w:t>
            </w:r>
          </w:p>
        </w:tc>
        <w:tc>
          <w:tcPr>
            <w:tcW w:w="9000" w:type="dxa"/>
            <w:vAlign w:val="bottom"/>
          </w:tcPr>
          <w:p>
            <w:pPr>
              <w:ind w:left="100"/>
              <w:spacing w:after="0"/>
              <w:rPr>
                <w:sz w:val="20"/>
                <w:szCs w:val="20"/>
                <w:color w:val="auto"/>
              </w:rPr>
            </w:pPr>
            <w:r>
              <w:rPr>
                <w:rFonts w:ascii="Arial" w:cs="Arial" w:eastAsia="Arial" w:hAnsi="Arial"/>
                <w:sz w:val="18"/>
                <w:szCs w:val="18"/>
                <w:color w:val="auto"/>
              </w:rPr>
              <w:t>Other Conditions to the Obligations of the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4"/>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6.4</w:t>
            </w:r>
          </w:p>
        </w:tc>
        <w:tc>
          <w:tcPr>
            <w:tcW w:w="9000" w:type="dxa"/>
            <w:vAlign w:val="bottom"/>
          </w:tcPr>
          <w:p>
            <w:pPr>
              <w:ind w:left="100"/>
              <w:spacing w:after="0"/>
              <w:rPr>
                <w:sz w:val="20"/>
                <w:szCs w:val="20"/>
                <w:color w:val="auto"/>
              </w:rPr>
            </w:pPr>
            <w:r>
              <w:rPr>
                <w:rFonts w:ascii="Arial" w:cs="Arial" w:eastAsia="Arial" w:hAnsi="Arial"/>
                <w:sz w:val="18"/>
                <w:szCs w:val="18"/>
                <w:color w:val="auto"/>
              </w:rPr>
              <w:t>Frustration of Closing Conditions</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7.1</w:t>
            </w:r>
          </w:p>
        </w:tc>
        <w:tc>
          <w:tcPr>
            <w:tcW w:w="63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7.2</w:t>
            </w:r>
          </w:p>
        </w:tc>
        <w:tc>
          <w:tcPr>
            <w:tcW w:w="63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8.1</w:t>
            </w:r>
          </w:p>
        </w:tc>
        <w:tc>
          <w:tcPr>
            <w:tcW w:w="6360" w:type="dxa"/>
            <w:vAlign w:val="bottom"/>
          </w:tcPr>
          <w:p>
            <w:pPr>
              <w:ind w:left="60"/>
              <w:spacing w:after="0"/>
              <w:rPr>
                <w:sz w:val="20"/>
                <w:szCs w:val="20"/>
                <w:color w:val="auto"/>
              </w:rPr>
            </w:pPr>
            <w:r>
              <w:rPr>
                <w:rFonts w:ascii="Arial" w:cs="Arial" w:eastAsia="Arial" w:hAnsi="Arial"/>
                <w:sz w:val="18"/>
                <w:szCs w:val="18"/>
                <w:color w:val="auto"/>
              </w:rPr>
              <w:t>Non-Survival</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8.2</w:t>
            </w:r>
          </w:p>
        </w:tc>
        <w:tc>
          <w:tcPr>
            <w:tcW w:w="6360" w:type="dxa"/>
            <w:vAlign w:val="bottom"/>
          </w:tcPr>
          <w:p>
            <w:pPr>
              <w:ind w:left="60"/>
              <w:spacing w:after="0"/>
              <w:rPr>
                <w:sz w:val="20"/>
                <w:szCs w:val="20"/>
                <w:color w:val="auto"/>
              </w:rPr>
            </w:pPr>
            <w:r>
              <w:rPr>
                <w:rFonts w:ascii="Arial" w:cs="Arial" w:eastAsia="Arial" w:hAnsi="Arial"/>
                <w:sz w:val="18"/>
                <w:szCs w:val="18"/>
                <w:color w:val="auto"/>
              </w:rPr>
              <w:t>Entire Agreement; Assignment</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8.3</w:t>
            </w:r>
          </w:p>
        </w:tc>
        <w:tc>
          <w:tcPr>
            <w:tcW w:w="63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8.4</w:t>
            </w:r>
          </w:p>
        </w:tc>
        <w:tc>
          <w:tcPr>
            <w:tcW w:w="6360" w:type="dxa"/>
            <w:vAlign w:val="bottom"/>
          </w:tcPr>
          <w:p>
            <w:pPr>
              <w:ind w:left="60"/>
              <w:spacing w:after="0"/>
              <w:rPr>
                <w:sz w:val="20"/>
                <w:szCs w:val="20"/>
                <w:color w:val="auto"/>
              </w:rPr>
            </w:pPr>
            <w:r>
              <w:rPr>
                <w:rFonts w:ascii="Arial" w:cs="Arial" w:eastAsia="Arial" w:hAnsi="Arial"/>
                <w:sz w:val="18"/>
                <w:szCs w:val="18"/>
                <w:color w:val="auto"/>
              </w:rPr>
              <w:t>Notices</w:t>
            </w:r>
          </w:p>
        </w:tc>
        <w:tc>
          <w:tcPr>
            <w:tcW w:w="3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8.5</w:t>
            </w:r>
          </w:p>
        </w:tc>
        <w:tc>
          <w:tcPr>
            <w:tcW w:w="63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8.6</w:t>
            </w:r>
          </w:p>
        </w:tc>
        <w:tc>
          <w:tcPr>
            <w:tcW w:w="636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8.7</w:t>
            </w:r>
          </w:p>
        </w:tc>
        <w:tc>
          <w:tcPr>
            <w:tcW w:w="6360" w:type="dxa"/>
            <w:vAlign w:val="bottom"/>
          </w:tcPr>
          <w:p>
            <w:pPr>
              <w:ind w:left="60"/>
              <w:spacing w:after="0"/>
              <w:rPr>
                <w:sz w:val="20"/>
                <w:szCs w:val="20"/>
                <w:color w:val="auto"/>
              </w:rPr>
            </w:pPr>
            <w:r>
              <w:rPr>
                <w:rFonts w:ascii="Arial" w:cs="Arial" w:eastAsia="Arial" w:hAnsi="Arial"/>
                <w:sz w:val="18"/>
                <w:szCs w:val="18"/>
                <w:color w:val="auto"/>
              </w:rPr>
              <w:t>Construction; Interpretation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8.8</w:t>
            </w:r>
          </w:p>
        </w:tc>
        <w:tc>
          <w:tcPr>
            <w:tcW w:w="6360" w:type="dxa"/>
            <w:vAlign w:val="bottom"/>
          </w:tcPr>
          <w:p>
            <w:pPr>
              <w:ind w:left="60"/>
              <w:spacing w:after="0"/>
              <w:rPr>
                <w:sz w:val="20"/>
                <w:szCs w:val="20"/>
                <w:color w:val="auto"/>
              </w:rPr>
            </w:pPr>
            <w:r>
              <w:rPr>
                <w:rFonts w:ascii="Arial" w:cs="Arial" w:eastAsia="Arial" w:hAnsi="Arial"/>
                <w:sz w:val="18"/>
                <w:szCs w:val="18"/>
                <w:color w:val="auto"/>
              </w:rPr>
              <w:t>Exhibits and Schedules</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8.9</w:t>
            </w:r>
          </w:p>
        </w:tc>
        <w:tc>
          <w:tcPr>
            <w:tcW w:w="6360" w:type="dxa"/>
            <w:vAlign w:val="bottom"/>
          </w:tcPr>
          <w:p>
            <w:pPr>
              <w:ind w:left="60"/>
              <w:spacing w:after="0"/>
              <w:rPr>
                <w:sz w:val="20"/>
                <w:szCs w:val="20"/>
                <w:color w:val="auto"/>
              </w:rPr>
            </w:pPr>
            <w:r>
              <w:rPr>
                <w:rFonts w:ascii="Arial" w:cs="Arial" w:eastAsia="Arial" w:hAnsi="Arial"/>
                <w:sz w:val="18"/>
                <w:szCs w:val="18"/>
                <w:color w:val="auto"/>
              </w:rPr>
              <w:t>Parties in Interest</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8.10</w:t>
            </w:r>
          </w:p>
        </w:tc>
        <w:tc>
          <w:tcPr>
            <w:tcW w:w="6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8.11</w:t>
            </w:r>
          </w:p>
        </w:tc>
        <w:tc>
          <w:tcPr>
            <w:tcW w:w="6360" w:type="dxa"/>
            <w:vAlign w:val="bottom"/>
          </w:tcPr>
          <w:p>
            <w:pPr>
              <w:ind w:left="60"/>
              <w:spacing w:after="0"/>
              <w:rPr>
                <w:sz w:val="20"/>
                <w:szCs w:val="20"/>
                <w:color w:val="auto"/>
              </w:rPr>
            </w:pPr>
            <w:r>
              <w:rPr>
                <w:rFonts w:ascii="Arial" w:cs="Arial" w:eastAsia="Arial" w:hAnsi="Arial"/>
                <w:sz w:val="18"/>
                <w:szCs w:val="18"/>
                <w:color w:val="auto"/>
              </w:rPr>
              <w:t>Counterparts; Electronic Signatures</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8.12</w:t>
            </w:r>
          </w:p>
        </w:tc>
        <w:tc>
          <w:tcPr>
            <w:tcW w:w="6360" w:type="dxa"/>
            <w:vAlign w:val="bottom"/>
          </w:tcPr>
          <w:p>
            <w:pPr>
              <w:ind w:left="60"/>
              <w:spacing w:after="0"/>
              <w:rPr>
                <w:sz w:val="20"/>
                <w:szCs w:val="20"/>
                <w:color w:val="auto"/>
              </w:rPr>
            </w:pPr>
            <w:r>
              <w:rPr>
                <w:rFonts w:ascii="Arial" w:cs="Arial" w:eastAsia="Arial" w:hAnsi="Arial"/>
                <w:sz w:val="18"/>
                <w:szCs w:val="18"/>
                <w:color w:val="auto"/>
              </w:rPr>
              <w:t>Knowledge of Company; Knowledge of ACT</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8.13</w:t>
            </w:r>
          </w:p>
        </w:tc>
        <w:tc>
          <w:tcPr>
            <w:tcW w:w="6360" w:type="dxa"/>
            <w:vAlign w:val="bottom"/>
          </w:tcPr>
          <w:p>
            <w:pPr>
              <w:ind w:left="60"/>
              <w:spacing w:after="0"/>
              <w:rPr>
                <w:sz w:val="20"/>
                <w:szCs w:val="20"/>
                <w:color w:val="auto"/>
              </w:rPr>
            </w:pPr>
            <w:r>
              <w:rPr>
                <w:rFonts w:ascii="Arial" w:cs="Arial" w:eastAsia="Arial" w:hAnsi="Arial"/>
                <w:sz w:val="18"/>
                <w:szCs w:val="18"/>
                <w:color w:val="auto"/>
              </w:rPr>
              <w:t>No Recourse</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8.14</w:t>
            </w:r>
          </w:p>
        </w:tc>
        <w:tc>
          <w:tcPr>
            <w:tcW w:w="6360" w:type="dxa"/>
            <w:vAlign w:val="bottom"/>
          </w:tcPr>
          <w:p>
            <w:pPr>
              <w:ind w:left="60"/>
              <w:spacing w:after="0"/>
              <w:rPr>
                <w:sz w:val="20"/>
                <w:szCs w:val="20"/>
                <w:color w:val="auto"/>
              </w:rPr>
            </w:pPr>
            <w:r>
              <w:rPr>
                <w:rFonts w:ascii="Arial" w:cs="Arial" w:eastAsia="Arial" w:hAnsi="Arial"/>
                <w:sz w:val="18"/>
                <w:szCs w:val="18"/>
                <w:color w:val="auto"/>
              </w:rPr>
              <w:t>Extension; 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8.15</w:t>
            </w:r>
          </w:p>
        </w:tc>
        <w:tc>
          <w:tcPr>
            <w:tcW w:w="63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8.16</w:t>
            </w:r>
          </w:p>
        </w:tc>
        <w:tc>
          <w:tcPr>
            <w:tcW w:w="6360" w:type="dxa"/>
            <w:vAlign w:val="bottom"/>
          </w:tcPr>
          <w:p>
            <w:pPr>
              <w:ind w:left="60"/>
              <w:spacing w:after="0"/>
              <w:rPr>
                <w:sz w:val="20"/>
                <w:szCs w:val="20"/>
                <w:color w:val="auto"/>
              </w:rPr>
            </w:pPr>
            <w:r>
              <w:rPr>
                <w:rFonts w:ascii="Arial" w:cs="Arial" w:eastAsia="Arial" w:hAnsi="Arial"/>
                <w:sz w:val="18"/>
                <w:szCs w:val="18"/>
                <w:color w:val="auto"/>
              </w:rPr>
              <w:t>Submission to Jurisdiction</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8.17</w:t>
            </w:r>
          </w:p>
        </w:tc>
        <w:tc>
          <w:tcPr>
            <w:tcW w:w="6360" w:type="dxa"/>
            <w:vAlign w:val="bottom"/>
          </w:tcPr>
          <w:p>
            <w:pPr>
              <w:ind w:left="60"/>
              <w:spacing w:after="0"/>
              <w:rPr>
                <w:sz w:val="20"/>
                <w:szCs w:val="20"/>
                <w:color w:val="auto"/>
              </w:rPr>
            </w:pPr>
            <w:r>
              <w:rPr>
                <w:rFonts w:ascii="Arial" w:cs="Arial" w:eastAsia="Arial" w:hAnsi="Arial"/>
                <w:sz w:val="18"/>
                <w:szCs w:val="18"/>
                <w:color w:val="auto"/>
              </w:rPr>
              <w:t>Remedies</w:t>
            </w:r>
          </w:p>
        </w:tc>
        <w:tc>
          <w:tcPr>
            <w:tcW w:w="3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8.18</w:t>
            </w:r>
          </w:p>
        </w:tc>
        <w:tc>
          <w:tcPr>
            <w:tcW w:w="6360" w:type="dxa"/>
            <w:vAlign w:val="bottom"/>
          </w:tcPr>
          <w:p>
            <w:pPr>
              <w:ind w:left="60"/>
              <w:spacing w:after="0"/>
              <w:rPr>
                <w:sz w:val="20"/>
                <w:szCs w:val="20"/>
                <w:color w:val="auto"/>
              </w:rPr>
            </w:pPr>
            <w:r>
              <w:rPr>
                <w:rFonts w:ascii="Arial" w:cs="Arial" w:eastAsia="Arial" w:hAnsi="Arial"/>
                <w:sz w:val="18"/>
                <w:szCs w:val="18"/>
                <w:color w:val="auto"/>
              </w:rPr>
              <w:t>Trust Account 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ANNEXES, EXHIBITS AND SCHEDULES</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Annex A-1</w:t>
      </w:r>
      <w:r>
        <w:rPr>
          <w:sz w:val="20"/>
          <w:szCs w:val="20"/>
          <w:color w:val="auto"/>
        </w:rPr>
        <w:tab/>
      </w:r>
      <w:r>
        <w:rPr>
          <w:rFonts w:ascii="Arial" w:cs="Arial" w:eastAsia="Arial" w:hAnsi="Arial"/>
          <w:sz w:val="16"/>
          <w:szCs w:val="16"/>
          <w:color w:val="auto"/>
        </w:rPr>
        <w:t>Company PIPE Investors</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Annex A-2</w:t>
      </w:r>
      <w:r>
        <w:rPr>
          <w:sz w:val="20"/>
          <w:szCs w:val="20"/>
          <w:color w:val="auto"/>
        </w:rPr>
        <w:tab/>
      </w:r>
      <w:r>
        <w:rPr>
          <w:rFonts w:ascii="Arial" w:cs="Arial" w:eastAsia="Arial" w:hAnsi="Arial"/>
          <w:sz w:val="16"/>
          <w:szCs w:val="16"/>
          <w:color w:val="auto"/>
        </w:rPr>
        <w:t>Third Party PIPE Investors</w:t>
      </w:r>
    </w:p>
    <w:p>
      <w:pPr>
        <w:spacing w:after="0" w:line="10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Tax Receivable Agreement</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PIPE Subscription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Investor Rights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Post-Closing ACT Certificate of Incorporation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Post-Closing ACT Bylaws</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Post-Closing Company LLC Agreement</w:t>
      </w:r>
    </w:p>
    <w:p>
      <w:pPr>
        <w:spacing w:after="0" w:line="10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Post-Closing Company Units Allocation Schedule</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Post-Closing ACT Shares Allocation Schedule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III</w:t>
      </w:r>
      <w:r>
        <w:rPr>
          <w:sz w:val="20"/>
          <w:szCs w:val="20"/>
          <w:color w:val="auto"/>
        </w:rPr>
        <w:tab/>
      </w:r>
      <w:r>
        <w:rPr>
          <w:rFonts w:ascii="Arial" w:cs="Arial" w:eastAsia="Arial" w:hAnsi="Arial"/>
          <w:sz w:val="16"/>
          <w:szCs w:val="16"/>
          <w:color w:val="auto"/>
        </w:rPr>
        <w:t>Earnout Allocation Schedule</w:t>
      </w:r>
    </w:p>
    <w:p>
      <w:pPr>
        <w:spacing w:after="0" w:line="200" w:lineRule="exact"/>
        <w:rPr>
          <w:sz w:val="20"/>
          <w:szCs w:val="20"/>
          <w:color w:val="auto"/>
        </w:rPr>
      </w:pPr>
    </w:p>
    <w:p>
      <w:pPr>
        <w:spacing w:after="0" w:line="30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 AGREEMENT</w:t>
      </w:r>
    </w:p>
    <w:p>
      <w:pPr>
        <w:spacing w:after="0" w:line="229"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 2021, is made by and among ArcLight Clean Transition Corp. II, an exempted company incorporated in the Cayman Islands with limited liability, Opal HoldCo LLC, a Delaware limited liability company (“</w:t>
      </w:r>
      <w:r>
        <w:rPr>
          <w:rFonts w:ascii="Arial" w:cs="Arial" w:eastAsia="Arial" w:hAnsi="Arial"/>
          <w:sz w:val="18"/>
          <w:szCs w:val="18"/>
          <w:u w:val="single" w:color="auto"/>
          <w:color w:val="auto"/>
        </w:rPr>
        <w:t>Opal HoldCo</w:t>
      </w:r>
      <w:r>
        <w:rPr>
          <w:rFonts w:ascii="Arial" w:cs="Arial" w:eastAsia="Arial" w:hAnsi="Arial"/>
          <w:sz w:val="18"/>
          <w:szCs w:val="18"/>
          <w:color w:val="auto"/>
        </w:rPr>
        <w:t>”), and Opal Fuels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ACT (as defined below in </w:t>
      </w:r>
      <w:r>
        <w:rPr>
          <w:rFonts w:ascii="Arial" w:cs="Arial" w:eastAsia="Arial" w:hAnsi="Arial"/>
          <w:sz w:val="18"/>
          <w:szCs w:val="18"/>
          <w:u w:val="single" w:color="auto"/>
          <w:color w:val="auto"/>
        </w:rPr>
        <w:t>Section 1.1</w:t>
      </w:r>
      <w:r>
        <w:rPr>
          <w:rFonts w:ascii="Arial" w:cs="Arial" w:eastAsia="Arial" w:hAnsi="Arial"/>
          <w:sz w:val="18"/>
          <w:szCs w:val="18"/>
          <w:color w:val="auto"/>
        </w:rPr>
        <w:t>), Opal HoldCo and the Company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8"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WHEREAS, ACT is currently a blank check company incorporated in the Cayman Islands with limited liability as an exempted company on January 13, 2021 and incorporated for the purpose of effecting a merger, share exchange, asset acquisition, share purchase, reorganization or similar business combination with one or more businesses;</w:t>
      </w:r>
    </w:p>
    <w:p>
      <w:pPr>
        <w:spacing w:after="0" w:line="184"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WHEREAS, as of the date hereof: (a) Opal HoldCo is the record and beneficial owner of 986 Pre-Closing Company Common Units; (b) ARCC Beacon LLC, a Delaware limited liability company (“</w:t>
      </w:r>
      <w:r>
        <w:rPr>
          <w:rFonts w:ascii="Arial" w:cs="Arial" w:eastAsia="Arial" w:hAnsi="Arial"/>
          <w:sz w:val="16"/>
          <w:szCs w:val="16"/>
          <w:u w:val="single" w:color="auto"/>
          <w:color w:val="auto"/>
        </w:rPr>
        <w:t>Ares</w:t>
      </w:r>
      <w:r>
        <w:rPr>
          <w:rFonts w:ascii="Arial" w:cs="Arial" w:eastAsia="Arial" w:hAnsi="Arial"/>
          <w:sz w:val="16"/>
          <w:szCs w:val="16"/>
          <w:color w:val="auto"/>
        </w:rPr>
        <w:t>”), is the holder of that certain Convertible Promissory Note, dated as of May 1, 2021 (as amended, including by the Ares First Amendment, the “</w:t>
      </w:r>
      <w:r>
        <w:rPr>
          <w:rFonts w:ascii="Arial" w:cs="Arial" w:eastAsia="Arial" w:hAnsi="Arial"/>
          <w:sz w:val="16"/>
          <w:szCs w:val="16"/>
          <w:u w:val="single" w:color="auto"/>
          <w:color w:val="auto"/>
        </w:rPr>
        <w:t>Ares Note</w:t>
      </w:r>
      <w:r>
        <w:rPr>
          <w:rFonts w:ascii="Arial" w:cs="Arial" w:eastAsia="Arial" w:hAnsi="Arial"/>
          <w:sz w:val="16"/>
          <w:szCs w:val="16"/>
          <w:color w:val="auto"/>
        </w:rPr>
        <w:t>”); and (c) Hillman RNG Investments, LLC, a Delaware limited liability company (“</w:t>
      </w:r>
      <w:r>
        <w:rPr>
          <w:rFonts w:ascii="Arial" w:cs="Arial" w:eastAsia="Arial" w:hAnsi="Arial"/>
          <w:sz w:val="16"/>
          <w:szCs w:val="16"/>
          <w:u w:val="single" w:color="auto"/>
          <w:color w:val="auto"/>
        </w:rPr>
        <w:t>Hillman</w:t>
      </w:r>
      <w:r>
        <w:rPr>
          <w:rFonts w:ascii="Arial" w:cs="Arial" w:eastAsia="Arial" w:hAnsi="Arial"/>
          <w:sz w:val="16"/>
          <w:szCs w:val="16"/>
          <w:color w:val="auto"/>
        </w:rPr>
        <w:t>”), is the record and beneficial owner of (i) 300,000 Company Series A-1 Preferred Units and (ii) 14 Pre-Closing Company Common Units;</w:t>
      </w:r>
    </w:p>
    <w:p>
      <w:pPr>
        <w:spacing w:after="0" w:line="157"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WHEREAS, immediately prior to the execution of this Agreement, the Company has entered into that certain First Amendment to Convertible Note, dated November 29, 2021 (the “</w:t>
      </w:r>
      <w:r>
        <w:rPr>
          <w:rFonts w:ascii="Arial" w:cs="Arial" w:eastAsia="Arial" w:hAnsi="Arial"/>
          <w:sz w:val="16"/>
          <w:szCs w:val="16"/>
          <w:u w:val="single" w:color="auto"/>
          <w:color w:val="auto"/>
        </w:rPr>
        <w:t>Ares First Amendment</w:t>
      </w:r>
      <w:r>
        <w:rPr>
          <w:rFonts w:ascii="Arial" w:cs="Arial" w:eastAsia="Arial" w:hAnsi="Arial"/>
          <w:sz w:val="16"/>
          <w:szCs w:val="16"/>
          <w:color w:val="auto"/>
        </w:rPr>
        <w:t>”), with Ares, pursuant to which Ares has irrevocably agreed to (a) exercise its right to convert fifty percent (50%) of the principal and accrued interest outstanding pursuant to the Ares Note into Pre-Closing Company Common Units and</w:t>
      </w:r>
    </w:p>
    <w:p>
      <w:pPr>
        <w:spacing w:after="0" w:line="2" w:lineRule="exact"/>
        <w:rPr>
          <w:sz w:val="20"/>
          <w:szCs w:val="20"/>
          <w:color w:val="auto"/>
        </w:rPr>
      </w:pPr>
    </w:p>
    <w:p>
      <w:pPr>
        <w:ind w:left="4" w:right="280" w:hanging="4"/>
        <w:spacing w:after="0" w:line="260"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refrain from exercising its right to convert the remaining fifty percent (50%) of its economic interest in the Ares Note, in each case, in connection with the transactions contemplated by this Agreement;</w:t>
      </w:r>
    </w:p>
    <w:p>
      <w:pPr>
        <w:spacing w:after="0" w:line="18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WHEREAS, immediately prior to the execution of this Agreement, the Company has entered into the Hillman Exchange Agreement with Hillman, pursuant to which Hillman has exchanged all of its Equity Interests in the Group Companies for 300,000 Company Series A-1 Preferred Units and 14 Pre-Closing Company Common Units;</w:t>
      </w:r>
    </w:p>
    <w:p>
      <w:pPr>
        <w:spacing w:after="0" w:line="18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immediately prior to the execution of this Agreement, the Company has entered into the NextEra Subscription Agreement with Mendocino Capital, LLC, a Delaware limited liability company (“</w:t>
      </w:r>
      <w:r>
        <w:rPr>
          <w:rFonts w:ascii="Arial" w:cs="Arial" w:eastAsia="Arial" w:hAnsi="Arial"/>
          <w:sz w:val="18"/>
          <w:szCs w:val="18"/>
          <w:u w:val="single" w:color="auto"/>
          <w:color w:val="auto"/>
        </w:rPr>
        <w:t>NextEra</w:t>
      </w:r>
      <w:r>
        <w:rPr>
          <w:rFonts w:ascii="Arial" w:cs="Arial" w:eastAsia="Arial" w:hAnsi="Arial"/>
          <w:sz w:val="18"/>
          <w:szCs w:val="18"/>
          <w:color w:val="auto"/>
        </w:rPr>
        <w:t>”), pursuant to which NextEra has agreed to subscribe for up to an aggregate amount of 1,000,000 Company Series A Preferred Units;</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WHEREAS, pursuant to the Governing Documents of ACT, ACT is required to provide an opportunity for the Pre-Closing ACT Class A Shareholders to have their respective issued and outstanding Pre-Closing ACT Class A Shares redeemed on the terms and subject to the conditions set forth therein in connection with obtaining the ACT Shareholder Approval;</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5" w:name="page16"/>
    <w:bookmarkEnd w:id="15"/>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as of the date of this Agreement, ArcLight CTC Holdings II, L.P., a Delaware limited partnership (the “</w:t>
      </w:r>
      <w:r>
        <w:rPr>
          <w:rFonts w:ascii="Arial" w:cs="Arial" w:eastAsia="Arial" w:hAnsi="Arial"/>
          <w:sz w:val="18"/>
          <w:szCs w:val="18"/>
          <w:u w:val="single" w:color="auto"/>
          <w:color w:val="auto"/>
        </w:rPr>
        <w:t>ACT Sponsor</w:t>
      </w:r>
      <w:r>
        <w:rPr>
          <w:rFonts w:ascii="Arial" w:cs="Arial" w:eastAsia="Arial" w:hAnsi="Arial"/>
          <w:sz w:val="18"/>
          <w:szCs w:val="18"/>
          <w:color w:val="auto"/>
        </w:rPr>
        <w:t>”), and the Pre-Closing ACT Other Class B Shareholders collectively own 100% of the Pre-Closing ACT Class B Shares;</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WHEREAS, concurrently with the execution of this Agreement, the ACT Sponsor, the Pre-Closing ACT Other Class B Shareholders, ACT, the Company and the other parties thereto are entering into a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the ACT Sponsor and each of the Pre-Closing ACT Other Class B Shareholders have agreed to (a) vote in favor of this Agreement and the transactions contemplated hereby, (b) waive any adjustment to the conversion ratio set forth in the Governing Documents of ACT or any other anti-dilution or similar protections with respect to the Pre-Closing ACT Class B Shares (whether resulting from the transactions contemplated by the PIPE Subscription Agreements or otherwise), (c) subject 10% of the Post-Closing ACT Class A Shares, which the ACT Sponsor will hold after the Closing, to vesting and forfeiture and (d) the payment by the ACT Sponsor of the ACT Expenses to the extent that the ACT Expenses, in the aggregate, exceed $26,000,000, in each case, on the terms and subject to the conditions set forth in the Sponsor Letter Agreement;</w:t>
      </w:r>
    </w:p>
    <w:p>
      <w:pPr>
        <w:spacing w:after="0" w:line="17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immediately prior to the Closing, on the Closing Date, ACT shall transfer by way of continuation from the Cayman Islands to the State of Delaware and domesticate as a Delaware corporation in accordance with Section 388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Part XII of the Cayman Islands Companies Act (As Revised), on the terms and subject to the conditions set forth in this Agreement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WHEREAS, by virtue of the Domestication, ACT will change its name from “ArcLight Clean Transition Corp. II” to “Opal Fuels Inc.” (the “</w:t>
      </w:r>
      <w:r>
        <w:rPr>
          <w:rFonts w:ascii="Arial" w:cs="Arial" w:eastAsia="Arial" w:hAnsi="Arial"/>
          <w:sz w:val="18"/>
          <w:szCs w:val="18"/>
          <w:u w:val="single" w:color="auto"/>
          <w:color w:val="auto"/>
        </w:rPr>
        <w:t>Name Change</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WHEREAS, concurrently with the execution of this Agreement, each of the investors set forth on </w:t>
      </w:r>
      <w:r>
        <w:rPr>
          <w:rFonts w:ascii="Arial" w:cs="Arial" w:eastAsia="Arial" w:hAnsi="Arial"/>
          <w:sz w:val="18"/>
          <w:szCs w:val="18"/>
          <w:u w:val="single" w:color="auto"/>
          <w:color w:val="auto"/>
        </w:rPr>
        <w:t>Annex A-1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Company 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and the investors set forth on </w:t>
      </w:r>
      <w:r>
        <w:rPr>
          <w:rFonts w:ascii="Arial" w:cs="Arial" w:eastAsia="Arial" w:hAnsi="Arial"/>
          <w:sz w:val="18"/>
          <w:szCs w:val="18"/>
          <w:u w:val="single" w:color="auto"/>
          <w:color w:val="auto"/>
        </w:rPr>
        <w:t>Annex A-2</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and, collectively with the Company PIPE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xml:space="preserve">”) are entering into a subscription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(each, as amended, restated or otherwise modified from time to time in accordance with its terms, a “</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pursuant to which, among other things, each PIPE Investor has agreed to subscribe for and purchase on the Closing Date, and ACT has agreed to issue and sell to each such PIPE Investor on the Closing Date, the number of Post-Closing ACT Class A Shares set forth in the applicable PIPE Subscription Agreement in exchange for the purchase price set forth therein (the aggregate purchase price under all PIPE Subscription Agreements, collectively, the “</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and the equity financing under all PIPE Subscription Agreements, collectively, the “</w:t>
      </w:r>
      <w:r>
        <w:rPr>
          <w:rFonts w:ascii="Arial" w:cs="Arial" w:eastAsia="Arial" w:hAnsi="Arial"/>
          <w:sz w:val="18"/>
          <w:szCs w:val="18"/>
          <w:u w:val="single" w:color="auto"/>
          <w:color w:val="auto"/>
        </w:rPr>
        <w:t>PIPE Financing</w:t>
      </w:r>
      <w:r>
        <w:rPr>
          <w:rFonts w:ascii="Arial" w:cs="Arial" w:eastAsia="Arial" w:hAnsi="Arial"/>
          <w:sz w:val="18"/>
          <w:szCs w:val="18"/>
          <w:color w:val="auto"/>
        </w:rPr>
        <w:t>”), in each case, on the terms and subject to the conditions set forth therein;</w:t>
      </w:r>
    </w:p>
    <w:p>
      <w:pPr>
        <w:spacing w:after="0" w:line="196"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WHEREAS, at the Closing, (a) ACT shall contribute the Closing Date Contribution Amount and the Closing Date Equity Contribution to the Company (collectively, the “</w:t>
      </w:r>
      <w:r>
        <w:rPr>
          <w:rFonts w:ascii="Arial" w:cs="Arial" w:eastAsia="Arial" w:hAnsi="Arial"/>
          <w:sz w:val="17"/>
          <w:szCs w:val="17"/>
          <w:u w:val="single" w:color="auto"/>
          <w:color w:val="auto"/>
        </w:rPr>
        <w:t>ACT Contribution</w:t>
      </w:r>
      <w:r>
        <w:rPr>
          <w:rFonts w:ascii="Arial" w:cs="Arial" w:eastAsia="Arial" w:hAnsi="Arial"/>
          <w:sz w:val="17"/>
          <w:szCs w:val="17"/>
          <w:color w:val="auto"/>
        </w:rPr>
        <w:t xml:space="preserve">”) and, in exchange therefor, the Company shall issue to ACT the number of Post-Closing Company Class A Units determined pursuant to this Agreement and (b) in connection with the contribution and issuance described above, the Post-Closing Company Members shall enter into that certain Second Amended and Restated Limited Liability Company Agreement of the Company, substantially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Post-Closing Company LLC Agreement</w:t>
      </w:r>
      <w:r>
        <w:rPr>
          <w:rFonts w:ascii="Arial" w:cs="Arial" w:eastAsia="Arial" w:hAnsi="Arial"/>
          <w:sz w:val="17"/>
          <w:szCs w:val="17"/>
          <w:color w:val="auto"/>
        </w:rPr>
        <w:t>”), to, among other things, recapitalize the Pre-Closing Company Units such that, from and after the Closing, the Equity Securities of the Company will consist of the Post-Closing Company Units, with the applicable rights, preferences and obligations set forth in the Post-Closing Company LLC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 w:name="page17"/>
    <w:bookmarkEnd w:id="16"/>
    <w:p>
      <w:pPr>
        <w:ind w:right="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following the Closing, up to 10,000,000 Post-Closing ACT Shares and up to 10,000,000 Post-Closing Class B Units, in each case, in the aggregate, will be issued to the Earnout Participants upon the achievement of the Earnout Triggering Events as further set forth in this Agreement;</w:t>
      </w:r>
    </w:p>
    <w:p>
      <w:pPr>
        <w:spacing w:after="0" w:line="12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WHEREAS, at the Closing, ACT, the Agent (as defined in the Tax Receivable Agreement), the TRA Party Representative (as defined in the Tax Receivable Agreement) and each of the TRA Parties (as defined in the Tax Receivable Agreement) will enter into a tax receivable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w:t>
      </w:r>
    </w:p>
    <w:p>
      <w:pPr>
        <w:spacing w:after="0" w:line="184"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 xml:space="preserve">WHEREAS, at the Closing, each of ACT, Opal HoldCo, Ares, Hillman, the ACT Sponsor and each of the Pre-Closing ACT Other Class B Shareholders will enter into an investor rights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pursuant to which, among other things, (a) Opal HoldCo, Ares, Hillman and the ACT Sponsor will agree not to effect any sale or distribution of any Equity Securities of ACT held by any of them during the lock-up period described therein and (b) Opal HoldCo, Ares, Hillman, the ACT Sponsor and each of the Pre-Closing ACT Other Class B Shareholders will be granted certain registration rights with respect to their respective Post-Closing ACT Shares, in each case, on the terms and subject to the conditions set forth therein;</w:t>
      </w:r>
    </w:p>
    <w:p>
      <w:pPr>
        <w:spacing w:after="0" w:line="17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WHEREAS, the board of directors of ACT (the “</w:t>
      </w:r>
      <w:r>
        <w:rPr>
          <w:rFonts w:ascii="Arial" w:cs="Arial" w:eastAsia="Arial" w:hAnsi="Arial"/>
          <w:sz w:val="16"/>
          <w:szCs w:val="16"/>
          <w:u w:val="single" w:color="auto"/>
          <w:color w:val="auto"/>
        </w:rPr>
        <w:t>ACT Board</w:t>
      </w:r>
      <w:r>
        <w:rPr>
          <w:rFonts w:ascii="Arial" w:cs="Arial" w:eastAsia="Arial" w:hAnsi="Arial"/>
          <w:sz w:val="16"/>
          <w:szCs w:val="16"/>
          <w:color w:val="auto"/>
        </w:rPr>
        <w:t>”) has approved (a) this Agreement, the Ancillary Documents to which ACT is or will be a party and the transactions contemplated hereby and thereby (including the ACT Share Conversion, the Domestication and the ACT Contribution) and (b) the recommendation of, among other things, the approval of this Agreement and the transactions contemplated by this Agreement (including the ACT Share Conversion, the Domestication and the ACT Contribution) by the Pre-Closing ACT Shareholders entitled to vote thereon;</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WHEREAS, the Company Board has approved this Agreement, the Ancillary Documents to which the Company is or will be a party and the transactions contemplated hereby and thereby;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Opal HoldCo has approved this Agreement, the Ancillary Documents to which the Company is or will be a party and the transactions contemplated hereby and thereby;</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WHEREAS, prior to the execution of this Agreement, the Company has delivered to ACT executed written consents of the Company Board and Opal HoldCo, pursuant to which the execution and delivery of this Agreement, the Ancillary Documents to which the Company is or will be a party, the performance of the Company’s obligations hereby and thereby and the consummation of the transactions contemplated hereby and thereby, have been duly, validly and irrevocably authorized and approved by the Company Board and Opal HoldCo,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each of the Parties intends for U.S. federal income tax purposes that (a) this Agreement constitutes a “plan of reorganization” within the meaning of Section 368 of the Code and Treasury Regulations promulgated thereunder, (b) the ACT Share Conversion constitutes a transaction treated as a “reorganization” within the meaning of Section 368(a)(1)(E) of the Code, (c) the Domestication constitutes a transaction treated as a “reorganization” within the meaning of Section 368(a)(1)(F) of the Code and (d) the contribution of the Closing Date Contribution Amount (the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Contribution</w:t>
      </w:r>
      <w:r>
        <w:rPr>
          <w:rFonts w:ascii="Arial" w:cs="Arial" w:eastAsia="Arial" w:hAnsi="Arial"/>
          <w:sz w:val="16"/>
          <w:szCs w:val="16"/>
          <w:color w:val="auto"/>
        </w:rPr>
        <w:t>”) constitutes a transaction described in Section 721 of the Code (clauses (a)-(d),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16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(a) prior to the consummation of the Domestication, ArcLight Clean Transition Corp. II, an exempted company incorporated in the Cayman Islands with limited liability, and (b) from and after the consummation of the Domestication, shall mean ACT as domesticated in Delaware, and shall be named Opal Fuels Inc., a Delaware corporation. Any reference to ACT in this Agreement or any Ancillary Document shall be deemed to refer to clause (a) and/or (b), as the context so requires.</w:t>
      </w:r>
    </w:p>
    <w:p>
      <w:pPr>
        <w:spacing w:after="0" w:line="18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 Acquisition Proposal</w:t>
      </w:r>
      <w:r>
        <w:rPr>
          <w:rFonts w:ascii="Arial" w:cs="Arial" w:eastAsia="Arial" w:hAnsi="Arial"/>
          <w:sz w:val="16"/>
          <w:szCs w:val="16"/>
          <w:color w:val="auto"/>
        </w:rPr>
        <w:t>” means (a) any direct or indirect acquisition (or other business combination), in one or a series of related transactions under which ACT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clauses (i), (ii) and (iii), whether by merger, consolidation, recapitalization, purchase or issuance of Equity Securities, tender offer or otherwise), (b) any equity, debt or similar investment in ACT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ACT Acquisition Proposal.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Affiliated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Board</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Cash Contribution</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ACT Change of Control Payment</w:t>
      </w:r>
      <w:r>
        <w:rPr>
          <w:rFonts w:ascii="Arial" w:cs="Arial" w:eastAsia="Arial" w:hAnsi="Arial"/>
          <w:sz w:val="18"/>
          <w:szCs w:val="18"/>
          <w:color w:val="auto"/>
        </w:rPr>
        <w:t>” means any severance or termination payment, success, change of control, retention, transaction bonus or other similar payment or amount that ACT or any of its Affiliates is required to pay to any current or former officer, director, employee or other service provider of ACT or any ACT Affiliated Party that may become due and payable due to the occurrence of the transactions contemplated to occur on the Closing Date pursuant to this Agreement or the Ancillary Documents followed by or combined with one or more additional circumstances, matters or events, including a termination of employment (but not due to any action or inaction by ACT or any ACT Affiliated Party following the Closing), pursuant to the express terms of any plan, policy, arrangement or Contract to which ACT or any of its Subsidiaries is a party or by which any of their respective assets are bound as of or prior to the Closing, together with the employer portion of any payroll, social security, unemployment or similar Taxes imposed on any such amounts.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Contribution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Contribution Amount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Disclosure Schedules</w:t>
      </w:r>
      <w:r>
        <w:rPr>
          <w:rFonts w:ascii="Arial" w:cs="Arial" w:eastAsia="Arial" w:hAnsi="Arial"/>
          <w:sz w:val="18"/>
          <w:szCs w:val="18"/>
          <w:color w:val="auto"/>
        </w:rPr>
        <w:t>” means the disclosure schedules to this Agreement delivered to the Company by ACT on the date of this Agreement in connection with the execution of this Agreement.</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Employee Benefit Plan</w:t>
      </w:r>
      <w:r>
        <w:rPr>
          <w:rFonts w:ascii="Arial" w:cs="Arial" w:eastAsia="Arial" w:hAnsi="Arial"/>
          <w:sz w:val="18"/>
          <w:szCs w:val="18"/>
          <w:color w:val="auto"/>
        </w:rPr>
        <w:t>” means each “employee benefit plan” (as such term is defined in Section 3(3) of ERISA, whether or not subject to ERISA) and each other material benefit or compensatory plan, program, policy or Contract that ACT or any of its Subsidiaries maintains, sponsors, contributes to, or is required to contribute to or under or with respect to which ACT or any of its Subsidiaries has any Liability, other than any plan or program sponsored or maintained by a Governmental Entity.</w:t>
      </w:r>
    </w:p>
    <w:p>
      <w:pPr>
        <w:spacing w:after="0" w:line="18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Expenses</w:t>
      </w:r>
      <w:r>
        <w:rPr>
          <w:rFonts w:ascii="Arial" w:cs="Arial" w:eastAsia="Arial" w:hAnsi="Arial"/>
          <w:sz w:val="17"/>
          <w:szCs w:val="17"/>
          <w:color w:val="auto"/>
        </w:rPr>
        <w:t>” means, as of any determination time, the aggregate amount, without duplication, of all fees, expenses, costs, disbursements, commissions or other amounts incurred by or on behalf of ACT which ACT is obligated to pay, whether or not such amounts are due and payable, in connection with, or as a result of, the negotiation, preparation or execution of this Agreement or any Ancillary Document,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ACT (including with respect to this Agreement and the PIPE Financing), (b) severance or termination payment, success, change of control, retention, transaction bonus or other similar payment or amount that ACT or any of its Affiliates are required to pay to any current or former officer, director, employee or other service provider of ACT or any ACT Affiliated Party that may become due and payable based upon the occurrence of the transactions contemplated to occur on the Closing Date pursuant to this Agreement or the Ancillary Documents followed by or combined with one or more additional circumstances, matters or events (including a termination of employment, but not including any payments triggered by any action or inaction of the Company following the Closing) pursuant to the express terms of any plan, policy, arrangement to which ACT or any of its Subsidiaries is a party or by which any of their respective assets are bound as of or prior to the Closing, together with the employer portion of any payroll, social security,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 w:name="page20"/>
    <w:bookmarkEnd w:id="19"/>
    <w:p>
      <w:pPr>
        <w:ind w:left="4"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unemployment or similar Taxes imposed on any such amounts, and (c) any other fees, expenses, commissions or other amounts that are expressly allocated to ACT pursuant to this Agreement or any Ancillary Document, including fifty percent (50%) of the HSR Act filing fee;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ACT Expenses shall not include (i) the Trust Satisfied Obligations to the extent such obligations will be satisfied from the Trust Account, (ii) the Company Expenses or any fees, expenses, commissions or other amounts that are expressly contemplated to be allocated to and paid by Company or any Pre-Closing Company Member pursuant to this Agreement or any Ancillary Document or (iii) legal expenses and settlement costs in connection with any Transaction Litigation.</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Financial Statements</w:t>
      </w:r>
      <w:r>
        <w:rPr>
          <w:rFonts w:ascii="Arial" w:cs="Arial" w:eastAsia="Arial" w:hAnsi="Arial"/>
          <w:sz w:val="18"/>
          <w:szCs w:val="18"/>
          <w:color w:val="auto"/>
        </w:rPr>
        <w:t>” means all of the financial statements of ACT included in the ACT SEC Reports.</w:t>
      </w:r>
    </w:p>
    <w:p>
      <w:pPr>
        <w:spacing w:after="0" w:line="225"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and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of ACT).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Incentive Equity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 Liabilities</w:t>
      </w:r>
      <w:r>
        <w:rPr>
          <w:rFonts w:ascii="Arial" w:cs="Arial" w:eastAsia="Arial" w:hAnsi="Arial"/>
          <w:sz w:val="16"/>
          <w:szCs w:val="16"/>
          <w:color w:val="auto"/>
        </w:rPr>
        <w:t xml:space="preserve">” means, as of any determination time, the aggregate amount, without duplication, of Liabilities of ACT as of such determination time that would be required to be set forth on a balance sheet of ACT prepared in accordance with GAAP (as in effect as of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ACT Liabilities shall not include (a) any ACT Expenses, (b) the Trust Satisfied Obligations to the extent such obligations will be satisfied from the Trust Account, (c) any Company Expenses or any fees, expenses, commissions or other amounts that are expressly contemplated to be allocated to and paid by the Company or any Pre-Closing Company Member pursuant to this Agreement or any Ancillary Document,</w:t>
      </w:r>
    </w:p>
    <w:p>
      <w:pPr>
        <w:spacing w:after="0" w:line="2" w:lineRule="exact"/>
        <w:rPr>
          <w:sz w:val="20"/>
          <w:szCs w:val="20"/>
          <w:color w:val="auto"/>
        </w:rPr>
      </w:pPr>
    </w:p>
    <w:p>
      <w:pPr>
        <w:ind w:left="4" w:right="260" w:hanging="4"/>
        <w:spacing w:after="0" w:line="290"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non-cash Liabilities, (e) any Liabilities resulting from or arising out of any change in applicable Laws or GAAP, or any interpretation thereof, following the date of this Agreement or (f) legal expenses and settlement costs in connection with any Transaction Litigation.</w:t>
      </w:r>
    </w:p>
    <w:p>
      <w:pPr>
        <w:spacing w:after="0" w:line="16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Material Adverse Effect</w:t>
      </w:r>
      <w:r>
        <w:rPr>
          <w:rFonts w:ascii="Arial" w:cs="Arial" w:eastAsia="Arial" w:hAnsi="Arial"/>
          <w:sz w:val="17"/>
          <w:szCs w:val="17"/>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ACT, taken as a whole, or (b) the ability of ACT to consummate the Domestication, the ACT Contribution or the other transactions contemplated by this Agreement or the Ancillary Documents to be consummated by ACT on the Closing Date in connection therewith, in each case, in accordance with the terms of this Agreement and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none of the following shall be taken into account in determining whether an ACT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 w:name="page21"/>
    <w:bookmarkEnd w:id="20"/>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or securities markets generally in the United States or any other country or region in the world, or changes therein, including changes in interest rates in the United States or any other country and changes in exchange rates for the currencies of any country, (iv) changes in any applicable Law,</w:t>
      </w:r>
    </w:p>
    <w:p>
      <w:pPr>
        <w:ind w:left="4" w:hanging="4"/>
        <w:spacing w:after="0" w:line="285"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or public announcement of this Agreement or the pendency or consummation of the transactions contemplated by this Agreement, including the impact thereof on the relationships, contractual or otherwise, of ACT with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to the extent it relates to such representations and warranties), (vi) any failure by ACT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(v) or </w:t>
      </w:r>
      <w:r>
        <w:rPr>
          <w:rFonts w:ascii="Arial" w:cs="Arial" w:eastAsia="Arial" w:hAnsi="Arial"/>
          <w:sz w:val="16"/>
          <w:szCs w:val="16"/>
          <w:u w:val="single" w:color="auto"/>
          <w:color w:val="auto"/>
        </w:rPr>
        <w:t>clause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any hurricane, tornado, flood, earthquake, tsunami, natural disaster, mudslide, wildfire, epidemic, pandemic (including COVID-19) or quarantine, act of God or other natural disaster or comparable event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(vii)</w:t>
      </w:r>
      <w:r>
        <w:rPr>
          <w:rFonts w:ascii="Arial" w:cs="Arial" w:eastAsia="Arial" w:hAnsi="Arial"/>
          <w:sz w:val="16"/>
          <w:szCs w:val="16"/>
          <w:color w:val="auto"/>
        </w:rPr>
        <w:t xml:space="preserve"> may be taken into account in determining whether an ACT Material Adverse Effect has occurred or is reasonably likely to occur to the extent such change, event, effect or occurrence has or has had a disproportionate adverse effect on ACT, taken as a whole, relative to other “SPACs.”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-731520</wp:posOffset>
            </wp:positionV>
            <wp:extent cx="161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Shareholder Approval</w:t>
      </w:r>
      <w:r>
        <w:rPr>
          <w:rFonts w:ascii="Arial" w:cs="Arial" w:eastAsia="Arial" w:hAnsi="Arial"/>
          <w:sz w:val="17"/>
          <w:szCs w:val="17"/>
          <w:color w:val="auto"/>
        </w:rPr>
        <w:t>” means, collectively, the Required ACT Shareholder Approval and the Other ACT Shareholder Approval.</w:t>
      </w:r>
    </w:p>
    <w:p>
      <w:pPr>
        <w:spacing w:after="0" w:line="237" w:lineRule="exact"/>
        <w:rPr>
          <w:sz w:val="20"/>
          <w:szCs w:val="20"/>
          <w:color w:val="auto"/>
        </w:rPr>
      </w:pPr>
    </w:p>
    <w:p>
      <w:pPr>
        <w:ind w:left="4"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Shareholder Redemption</w:t>
      </w:r>
      <w:r>
        <w:rPr>
          <w:rFonts w:ascii="Arial" w:cs="Arial" w:eastAsia="Arial" w:hAnsi="Arial"/>
          <w:sz w:val="18"/>
          <w:szCs w:val="18"/>
          <w:color w:val="auto"/>
        </w:rPr>
        <w:t>” means the right of the Pre-Closing ACT Class A Shareholders to redeem all or a portion of their respective Pre-Closing ACT Class A Shares (in connection with the transactions contemplated by this Agreement or otherwise) as set forth in Governing Documents of ACT.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 Specified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Unit</w:t>
      </w:r>
      <w:r>
        <w:rPr>
          <w:rFonts w:ascii="Arial" w:cs="Arial" w:eastAsia="Arial" w:hAnsi="Arial"/>
          <w:sz w:val="18"/>
          <w:szCs w:val="18"/>
          <w:color w:val="auto"/>
        </w:rPr>
        <w:t>” means those units of ACT registered pursuant to that certain Registration Statement on Form S-1, dated March 25, 2021.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ACT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5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1" w:name="page22"/>
    <w:bookmarkEnd w:id="21"/>
    <w:p>
      <w:pPr>
        <w:ind w:right="2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Unless otherwise specified herein, ArcLight Capital Partners, LLC and its Affiliates (other than ACT and the ACT Sponsor) shall not be deemed Affiliates of ACT and the ACT Sponsor.</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PIPE Proceeds</w:t>
      </w:r>
      <w:r>
        <w:rPr>
          <w:rFonts w:ascii="Arial" w:cs="Arial" w:eastAsia="Arial" w:hAnsi="Arial"/>
          <w:sz w:val="18"/>
          <w:szCs w:val="18"/>
          <w:color w:val="auto"/>
        </w:rPr>
        <w:t>” means the aggregate cash proceeds actually received in respect of the PIPE Financing (whether on or prior to the Closing Date) and held in a bank account owned and controlled by ACT on the Closing Date (and, for the avoidance of doubt, after giving effect to the funding of the PIPE Financing on such date and before giving effect to the payment of any Unpaid ACT Expenses, Unpaid ACT Liabilities or Unpaid Company Expenses).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Transaction Proceeds</w:t>
      </w:r>
      <w:r>
        <w:rPr>
          <w:rFonts w:ascii="Arial" w:cs="Arial" w:eastAsia="Arial" w:hAnsi="Arial"/>
          <w:sz w:val="17"/>
          <w:szCs w:val="17"/>
          <w:color w:val="auto"/>
        </w:rPr>
        <w:t>” means an amount equal to (a) the sum of (i) the aggregate cash proceeds available for release to ACT from the Trust Account in connection with the transactions contemplated hereby (which amount, for the avoidance of doubt and without duplication, shall be calculated after giving effect to the ACT Shareholder Redemption (i.e., reduced by the aggregate amount payable with respect to all ACT Shareholder Redemptions, notwithstanding that such amounts may not have been paid out of the Trust Account at such time) (collectively, the “</w:t>
      </w:r>
      <w:r>
        <w:rPr>
          <w:rFonts w:ascii="Arial" w:cs="Arial" w:eastAsia="Arial" w:hAnsi="Arial"/>
          <w:sz w:val="17"/>
          <w:szCs w:val="17"/>
          <w:u w:val="single" w:color="auto"/>
          <w:color w:val="auto"/>
        </w:rPr>
        <w:t>Trust Satisfied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(ii) the aggregate amount of NextEra’s commitment to purchase Company Series A Preferred Units pursuant to the NextEra Subscription Agreement, (iii) the Aggregate Closing PIPE Proceeds, (iv) any debt financings which are convertible into equity entered into by any of the Group Companies following the date of this Agreement and (v) all unrestricted cash proceeds held in the name of and available for use by ACT as of the Closing but held in accounts other than the Trust Account,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Unpaid ACT Expenses. For the avoidance of doubt, the proceeds of any term loan agreement entered into by any of the Group Companies following the date of this Agreement shall not be included in the calculation of “Aggregate Transaction Proceeds.”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Documents</w:t>
      </w:r>
      <w:r>
        <w:rPr>
          <w:rFonts w:ascii="Arial" w:cs="Arial" w:eastAsia="Arial" w:hAnsi="Arial"/>
          <w:sz w:val="16"/>
          <w:szCs w:val="16"/>
          <w:color w:val="auto"/>
        </w:rPr>
        <w:t>” means the Investor Rights Agreement, Sponsor Letter Agreement, Tax Receivable Agreement, the PIPE Subscription Agreements, the Post-Closing Company LLC Agreement and each other agreement, document, instrument and/or certificate executed, or contemplated to be executed, in connection with the transactions contemplated hereby, including the ACT Contribution and the Domestication.</w:t>
      </w:r>
    </w:p>
    <w:p>
      <w:pPr>
        <w:spacing w:after="0" w:line="14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Ares First Amendment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2" w:name="page23"/>
    <w:bookmarkEnd w:id="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Ares Note</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the “</w:t>
      </w:r>
      <w:r>
        <w:rPr>
          <w:rFonts w:ascii="Arial" w:cs="Arial" w:eastAsia="Arial" w:hAnsi="Arial"/>
          <w:sz w:val="16"/>
          <w:szCs w:val="16"/>
          <w:u w:val="single" w:color="auto"/>
          <w:color w:val="auto"/>
        </w:rPr>
        <w:t>business of the Group Companies</w:t>
      </w:r>
      <w:r>
        <w:rPr>
          <w:rFonts w:ascii="Arial" w:cs="Arial" w:eastAsia="Arial" w:hAnsi="Arial"/>
          <w:sz w:val="16"/>
          <w:szCs w:val="16"/>
          <w:color w:val="auto"/>
        </w:rPr>
        <w:t>” or any similar term means (a) the design, development, construction, ownership and operation of renewable natural gas generation facilities and renewable power generation facilities in both cases utilizing landfill, animal waste, organic waste, wastewater treatment facility and other derived biogas, (b) the design development, construction (for the Company and for others), ownership, operation and service of renewable fuel infrastructure, including hydrogen fuel infrastructure, (c) the purchase of renewable natural gas and natural gas for resale, and the sale of renewable natural gas, natural gas and hydrogen, into vehicle fuel, power generation, industrial and other markets, (d) the purchase and sale of renewable natural gas and natural gas and all associated environmental attributes associated with the foregoing, (e) the design, development, construction, ownership and operation of low carbon intensity renewable fuels for sale into vehicle fuel, power generation, industrial and other markets,</w:t>
      </w:r>
    </w:p>
    <w:p>
      <w:pPr>
        <w:spacing w:after="0" w:line="2" w:lineRule="exact"/>
        <w:rPr>
          <w:sz w:val="20"/>
          <w:szCs w:val="20"/>
          <w:color w:val="auto"/>
        </w:rPr>
      </w:pPr>
    </w:p>
    <w:p>
      <w:pPr>
        <w:ind w:left="4" w:right="300" w:hanging="4"/>
        <w:spacing w:after="0" w:line="260" w:lineRule="auto"/>
        <w:tabs>
          <w:tab w:leader="none" w:pos="2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transportation of renewable natural gas, natural gas and hydrogen on gathering systems owned and/or operated by the Company or any Group Company and (g) doing all things appurtenant to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are open for the general transaction of business.</w:t>
      </w:r>
    </w:p>
    <w:p>
      <w:pPr>
        <w:spacing w:after="0" w:line="170" w:lineRule="exact"/>
        <w:rPr>
          <w:sz w:val="20"/>
          <w:szCs w:val="20"/>
          <w:color w:val="auto"/>
        </w:rPr>
      </w:pPr>
    </w:p>
    <w:p>
      <w:pPr>
        <w:ind w:left="4"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(Pub. L. 116-136), any regulations or administrative or other guidance published with respect thereto by any Governmental Entity, and any similar or corresponding state or local Laws.</w:t>
      </w:r>
    </w:p>
    <w:p>
      <w:pPr>
        <w:spacing w:after="0" w:line="146"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Loss</w:t>
      </w:r>
      <w:r>
        <w:rPr>
          <w:rFonts w:ascii="Arial" w:cs="Arial" w:eastAsia="Arial" w:hAnsi="Arial"/>
          <w:sz w:val="18"/>
          <w:szCs w:val="18"/>
          <w:color w:val="auto"/>
        </w:rPr>
        <w:t>” means an Asset that is (a) damaged or destroyed by casualty loss (not including normal wear and tear, downhole mechanical failure or reservoir changes) or (b) expropriated or taken into condemnation or under right of eminent domain.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labor organization, or works council.</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Contribution Amount</w:t>
      </w:r>
      <w:r>
        <w:rPr>
          <w:rFonts w:ascii="Arial" w:cs="Arial" w:eastAsia="Arial" w:hAnsi="Arial"/>
          <w:sz w:val="18"/>
          <w:szCs w:val="18"/>
          <w:color w:val="auto"/>
        </w:rPr>
        <w:t xml:space="preserve">” means an amount equal to (a) the amount of cash in the Trust Account as of immediately prior to the Closing (and before, for the avoidance of doubt, giving effect to the ACT Share Redemptions),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aggregate amount of cash required to fund ACT Share Redemptions from the Trust Account and any other Trust Satisfied Obligation,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Closing PIPE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Closing Date Contribution Amount shall not include any Unpaid ACT Expenses to the extent that such amounts withheld from the Closing Date Contribution Amount shall be used to pay the Unpaid ACT Expenses.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Acquisition Proposal</w:t>
      </w:r>
      <w:r>
        <w:rPr>
          <w:rFonts w:ascii="Arial" w:cs="Arial" w:eastAsia="Arial" w:hAnsi="Arial"/>
          <w:sz w:val="17"/>
          <w:szCs w:val="17"/>
          <w:color w:val="auto"/>
        </w:rPr>
        <w:t>” means (a) any direct or indirect acquisition (or other business combination), in one or a series of related transactions, (i) of the Pre-Closing Company Units, in each case, that, if consummated, would result in a Person acquiring beneficial ownership of 15% or more of any class of outstanding voting Pre-Closing Company Units or 15% or more of the outstanding voting Pre-Closing Company Units (regardless of class) or (ii) of all or a portion of assets or businesses of the Group Companies which constitute 15% or more of the fair market value of the Group Companies, taken as a whole (in the case of each of clauses (i) and (ii), whether by merger, consolidation, recapitalization, purchase or issuance of Equity Securities, tender offer or otherwise), or (b) any direct or indirect acquisition, in one or a series of related transactions, of15% or more of any class of outstanding voting Pre-Closing Company Units or 15% or more of the outstanding voting Pre-Closing Company Units (regardless of class). Notwithstanding the foregoing or anything to the contrary herein, none of this Agreement, the Ancillary Documents, the Hillman Exchange Agreement, the NextEra Subscription Agreement or the transactions contemplated hereby or thereby or any transaction with ACT shall constitute (in whole or in part) a Company Acquisition Proposal.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means the board of managers of the Company.</w:t>
      </w:r>
    </w:p>
    <w:p>
      <w:pPr>
        <w:spacing w:after="0" w:line="225"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Change of Control Payment</w:t>
      </w:r>
      <w:r>
        <w:rPr>
          <w:rFonts w:ascii="Arial" w:cs="Arial" w:eastAsia="Arial" w:hAnsi="Arial"/>
          <w:sz w:val="17"/>
          <w:szCs w:val="17"/>
          <w:color w:val="auto"/>
        </w:rPr>
        <w:t>” means any severance or termination payment, success, change of control, retention, transaction bonus or other similar payment or amount that any Group Company is required to pay to any current or former officer, director, employee or other service provider of the Company or any other Company Affiliated Party that may become due and payable due to the occurrence of the transactions contemplated to occur on the Closing Date pursuant to this Agreement or the Ancillary Documents followed by or combined with one or more additional circumstances, matters or events, including a termination of employment (but not due to any action or inaction by the Company or any of its Affiliates following the Closing) pursuant to the express terms of any plan, policy, arrangement or Contract to which the Company or any of its Subsidiaries is a party or by which any of their respective assets are bound as of or prior to the Closing, together with the employer portion of any payroll, social security, unemployment or similar Taxes imposed on any such amounts.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ACT by the Company on the date of this Agreement.</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Benefit Plan</w:t>
      </w:r>
      <w:r>
        <w:rPr>
          <w:rFonts w:ascii="Arial" w:cs="Arial" w:eastAsia="Arial" w:hAnsi="Arial"/>
          <w:sz w:val="18"/>
          <w:szCs w:val="18"/>
          <w:color w:val="auto"/>
        </w:rPr>
        <w:t>” means each “employee benefit plan” (as such term is defined in Section 3(3) of ERISA, whether or not subject to ERISA) and each other benefit or compensatory plan, program, policy or Contract that any Group Company maintains, sponsors, contributes to, or is required to contribute to or under or with respect to which any Group Company has any Liability, other than any plan or program sponsored or maintained by a Governmental Entity.</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Expenses</w:t>
      </w:r>
      <w:r>
        <w:rPr>
          <w:rFonts w:ascii="Arial" w:cs="Arial" w:eastAsia="Arial" w:hAnsi="Arial"/>
          <w:sz w:val="17"/>
          <w:szCs w:val="17"/>
          <w:color w:val="auto"/>
        </w:rPr>
        <w:t xml:space="preserve">”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(b) any Company Change of Control Payment and (c) any other fees, expenses, commissions or other amounts that are expressly allocated to any Group Company pursuant to this Agreement or any Ancillary Document, including fifty percent (50%) of the HSR Act filing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Company Expenses shall not include any ACT Expenses or any fees, expenses, commissions or other amounts that are expressly contemplated to be allocated to and paid by ACT pursuant to this Agreement or any Ancillary Document.</w:t>
      </w:r>
    </w:p>
    <w:p>
      <w:pPr>
        <w:spacing w:after="0" w:line="18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Foreign Benefit Plan</w:t>
      </w:r>
      <w:r>
        <w:rPr>
          <w:rFonts w:ascii="Arial" w:cs="Arial" w:eastAsia="Arial" w:hAnsi="Arial"/>
          <w:sz w:val="18"/>
          <w:szCs w:val="18"/>
          <w:color w:val="auto"/>
        </w:rPr>
        <w:t>” means each Company Employee Benefit Plan maintained by any of the Group Companies for its current or former employees, officers, directors or other individual service providers located outside of the United States.</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(Capitalization of the Group Companies),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(Brokers).</w:t>
      </w:r>
    </w:p>
    <w:p>
      <w:pPr>
        <w:spacing w:after="0" w:line="184"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 systems, Software and hardware, computer firmware, communication systems, servers, computer or information technology systems or infrastructure, networks, network equipment, electronic data processing systems, interfaces, platforms, peripherals, other information technology equipment, including, in each case, related documentation, including any outsourced systems and processes, in each case, relied on, owned, licensed or leased by a Group Company.</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5" w:name="page26"/>
    <w:bookmarkEnd w:id="25"/>
    <w:p>
      <w:pPr>
        <w:ind w:left="4" w:right="8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ACT Contribution or the other transactions contemplated by this Agreement or the Ancillary Documents to be consummated by the Company on the Closing Date in connection therewith, in each case, in accordance with the terms of this Agreement and the Ancillary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w:t>
      </w:r>
    </w:p>
    <w:p>
      <w:pPr>
        <w:spacing w:after="0" w:line="5" w:lineRule="exact"/>
        <w:rPr>
          <w:sz w:val="20"/>
          <w:szCs w:val="20"/>
          <w:color w:val="auto"/>
        </w:rPr>
      </w:pPr>
    </w:p>
    <w:p>
      <w:pPr>
        <w:ind w:left="4" w:right="140" w:hanging="4"/>
        <w:spacing w:after="0" w:line="281" w:lineRule="auto"/>
        <w:tabs>
          <w:tab w:leader="none" w:pos="3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country,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the extent it relates to such representations and warranties), (vii) any failure by any Group Company to meet, or changes to, any internal or published budget, projection, forecast, estimate or prediction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w:t>
      </w:r>
    </w:p>
    <w:p>
      <w:pPr>
        <w:spacing w:after="0" w:line="6" w:lineRule="exact"/>
        <w:rPr>
          <w:rFonts w:ascii="Arial" w:cs="Arial" w:eastAsia="Arial" w:hAnsi="Arial"/>
          <w:sz w:val="16"/>
          <w:szCs w:val="16"/>
          <w:color w:val="auto"/>
        </w:rPr>
      </w:pPr>
    </w:p>
    <w:p>
      <w:pPr>
        <w:ind w:left="4" w:right="40" w:hanging="4"/>
        <w:spacing w:after="0" w:line="290" w:lineRule="auto"/>
        <w:tabs>
          <w:tab w:leader="none" w:pos="219"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 wildfire, epidemic, pandemic (including COVID-19) or quarantine, act of God or other natural disaster or comparable event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means all Intellectual Property Rights that are owned or purported to be owned by the Group Companies.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PIPE Investors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6" w:name="page27"/>
    <w:bookmarkEnd w:id="26"/>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 that has not been cancelled, expired, lapsed or been abandoned.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Required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Units</w:t>
      </w:r>
      <w:r>
        <w:rPr>
          <w:rFonts w:ascii="Arial" w:cs="Arial" w:eastAsia="Arial" w:hAnsi="Arial"/>
          <w:sz w:val="18"/>
          <w:szCs w:val="18"/>
          <w:color w:val="auto"/>
        </w:rPr>
        <w:t>” means the Series A preferred units of the Company issued and outstanding prior to the Closing.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Series A-1 Preferred Units</w:t>
      </w:r>
      <w:r>
        <w:rPr>
          <w:rFonts w:ascii="Arial" w:cs="Arial" w:eastAsia="Arial" w:hAnsi="Arial"/>
          <w:sz w:val="17"/>
          <w:szCs w:val="17"/>
          <w:color w:val="auto"/>
        </w:rPr>
        <w:t>” means the Series A-1 preferred units of the Company issued and outstanding prior to the Closing.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that certain Mutual Confidentiality Agreement, dated as of May 24, 2021, by and between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that is legally binding upon a Person or any of his, her or its properties or assets.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Contributed ACT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 thereof or related or associated epidemic, pandemic or disease outbreak.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Security Requirements</w:t>
      </w:r>
      <w:r>
        <w:rPr>
          <w:rFonts w:ascii="Arial" w:cs="Arial" w:eastAsia="Arial" w:hAnsi="Arial"/>
          <w:sz w:val="18"/>
          <w:szCs w:val="18"/>
          <w:color w:val="auto"/>
        </w:rPr>
        <w:t>” means, collectively, all of the following to the extent relating to confidential or sensitive information, payment card data, personally identifiable information, or other protected information relating to individuals or otherwise relating to privacy, security, or security breach notification requirements and, in all cases, applicable to the Group Companies: (a) each Group Company’s own rules, policies, and procedures (whether physical or technical in nature), (b) all applicable Laws and all industry standards applicable to the Group Companies’ industry (including the Payment Card Industry Data Security Standard (PCI DSS)), and (c) agreements into which the Group Companies have entered or by which they are bound.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had the meaning set forth in </w:t>
      </w:r>
      <w:r>
        <w:rPr>
          <w:rFonts w:ascii="Arial" w:cs="Arial" w:eastAsia="Arial" w:hAnsi="Arial"/>
          <w:sz w:val="18"/>
          <w:szCs w:val="18"/>
          <w:u w:val="single" w:color="auto"/>
          <w:color w:val="auto"/>
        </w:rPr>
        <w:t>Section 4.21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Participants</w:t>
      </w:r>
      <w:r>
        <w:rPr>
          <w:rFonts w:ascii="Arial" w:cs="Arial" w:eastAsia="Arial" w:hAnsi="Arial"/>
          <w:sz w:val="18"/>
          <w:szCs w:val="18"/>
          <w:color w:val="auto"/>
        </w:rPr>
        <w:t xml:space="preserve">” means the Persons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Triggering Events</w:t>
      </w:r>
      <w:r>
        <w:rPr>
          <w:rFonts w:ascii="Arial" w:cs="Arial" w:eastAsia="Arial" w:hAnsi="Arial"/>
          <w:sz w:val="18"/>
          <w:szCs w:val="18"/>
          <w:color w:val="auto"/>
        </w:rPr>
        <w:t>” means the First Earnout Triggering Event and the Second Earnout Triggering Event.</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(a) that portion of the consolidated “operating income” , </w:t>
      </w:r>
      <w:r>
        <w:rPr>
          <w:rFonts w:ascii="Arial" w:cs="Arial" w:eastAsia="Arial" w:hAnsi="Arial"/>
          <w:sz w:val="16"/>
          <w:szCs w:val="16"/>
          <w:i w:val="1"/>
          <w:iCs w:val="1"/>
          <w:color w:val="auto"/>
        </w:rPr>
        <w:t>plus</w:t>
      </w:r>
      <w:r>
        <w:rPr>
          <w:rFonts w:ascii="Arial" w:cs="Arial" w:eastAsia="Arial" w:hAnsi="Arial"/>
          <w:sz w:val="16"/>
          <w:szCs w:val="16"/>
          <w:color w:val="auto"/>
        </w:rPr>
        <w:t xml:space="preserve"> (b) “Renewable Power Major Maintenance”,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“Asset Retirement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(d) “depreciation”,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(e) “amortization”,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(f) “Impairment”,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(g) “Business owned non-consolidated Minority Interest EBITDA”, </w:t>
      </w:r>
      <w:r>
        <w:rPr>
          <w:rFonts w:ascii="Arial" w:cs="Arial" w:eastAsia="Arial" w:hAnsi="Arial"/>
          <w:sz w:val="16"/>
          <w:szCs w:val="16"/>
          <w:i w:val="1"/>
          <w:iCs w:val="1"/>
          <w:color w:val="auto"/>
        </w:rPr>
        <w:t>minus</w:t>
      </w:r>
      <w:r>
        <w:rPr>
          <w:rFonts w:ascii="Arial" w:cs="Arial" w:eastAsia="Arial" w:hAnsi="Arial"/>
          <w:sz w:val="16"/>
          <w:szCs w:val="16"/>
          <w:color w:val="auto"/>
        </w:rPr>
        <w:t xml:space="preserve"> (h) “Minority Interest EBITDA not owned by the Business”, in each case, referring to the line item in the consolidated audited income statement of ACT for the applicable calendar year, to the extent attributable to the Business, as calculated in accordance with GAAP, applied on a consistent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the amount set forth in this definition, the following expenses shall be excluded from the calculation of “operating expenses”: (i) one-time or extraordinary items of other income or loss; and (ii) non-cash, employee stock-based compensation.</w:t>
      </w:r>
    </w:p>
    <w:p>
      <w:pPr>
        <w:spacing w:after="0" w:line="16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 (as related to exposure to Hazardous Substances).</w:t>
      </w:r>
    </w:p>
    <w:p>
      <w:pPr>
        <w:spacing w:after="0" w:line="170"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any share, share capital, capital stock, partnership, membership, joint venture or similar interest in any Person (including any stock appreciation, phantom stock, restricted stock, restricted stock unit, performance share, profit participation or similar rights), and any option, warrant, right or security (including debt securities) convertible, exchangeable or exercisable therefor.</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Value</w:t>
      </w:r>
      <w:r>
        <w:rPr>
          <w:rFonts w:ascii="Arial" w:cs="Arial" w:eastAsia="Arial" w:hAnsi="Arial"/>
          <w:sz w:val="18"/>
          <w:szCs w:val="18"/>
          <w:color w:val="auto"/>
        </w:rPr>
        <w:t xml:space="preserve">” means an amount equal to (a) $1,501,870,000,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all principal and accrued interest outstanding pursuant to the Ares Note as of immediately after the Closing.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 or its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ACT Earnout Tranche</w:t>
      </w:r>
      <w:r>
        <w:rPr>
          <w:rFonts w:ascii="Arial" w:cs="Arial" w:eastAsia="Arial" w:hAnsi="Arial"/>
          <w:sz w:val="18"/>
          <w:szCs w:val="18"/>
          <w:color w:val="auto"/>
        </w:rPr>
        <w:t xml:space="preserve">” means the Post-Closing ACT Class B Shares and the Post-Closing ACT Class D Shares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ACT Shares.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Company Earnout Tranche</w:t>
      </w:r>
      <w:r>
        <w:rPr>
          <w:rFonts w:ascii="Arial" w:cs="Arial" w:eastAsia="Arial" w:hAnsi="Arial"/>
          <w:sz w:val="18"/>
          <w:szCs w:val="18"/>
          <w:color w:val="auto"/>
        </w:rPr>
        <w:t xml:space="preserve">” means the Post-Closing Company Class B Units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Class B Units.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First Earnout Triggering Event</w:t>
      </w:r>
      <w:r>
        <w:rPr>
          <w:rFonts w:ascii="Arial" w:cs="Arial" w:eastAsia="Arial" w:hAnsi="Arial"/>
          <w:sz w:val="18"/>
          <w:szCs w:val="18"/>
          <w:color w:val="auto"/>
        </w:rPr>
        <w:t>” means the date on which the annual EBITDA for the calendar year 2023 exceeds $238,000,000.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w:t>
      </w:r>
    </w:p>
    <w:p>
      <w:pPr>
        <w:spacing w:after="0" w:line="46" w:lineRule="exact"/>
        <w:rPr>
          <w:sz w:val="20"/>
          <w:szCs w:val="20"/>
          <w:color w:val="auto"/>
        </w:rPr>
      </w:pPr>
    </w:p>
    <w:p>
      <w:pPr>
        <w:ind w:left="4" w:right="80" w:hanging="4"/>
        <w:spacing w:after="0" w:line="270"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 (including a claim for fraud or alleged fraud) based on negligence or recklessness.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Governing Documents</w:t>
      </w:r>
      <w:r>
        <w:rPr>
          <w:rFonts w:ascii="Arial" w:cs="Arial" w:eastAsia="Arial" w:hAnsi="Arial"/>
          <w:sz w:val="16"/>
          <w:szCs w:val="16"/>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6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ind w:left="4" w:right="460" w:hanging="4"/>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body exercising or entitled to exercise any administrative, executive, judicial, legislative, police, regulatory or taxing authority or power of any nature, including any arbitral tribunal of competent jurisdiction (public or private).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material, substance, chemical, waste or other pollutant that is regulated by, or may give rise to standards of conduct or Liability pursuant to, any Environmental Law, including any petroleum products or by-products, asbestos, lead, polychlorinated biphenyls, per- and poly-fluoroalkyl substances, or radon.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Hillman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Hillman Exchange Agreement</w:t>
      </w:r>
      <w:r>
        <w:rPr>
          <w:rFonts w:ascii="Arial" w:cs="Arial" w:eastAsia="Arial" w:hAnsi="Arial"/>
          <w:sz w:val="18"/>
          <w:szCs w:val="18"/>
          <w:color w:val="auto"/>
        </w:rPr>
        <w:t>” means that certain Exchange Agreement, dated as of November 29, 2021, by and between the Company and Hillman.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 thereunder.</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Hydrocarbons</w:t>
      </w:r>
      <w:r>
        <w:rPr>
          <w:rFonts w:ascii="Arial" w:cs="Arial" w:eastAsia="Arial" w:hAnsi="Arial"/>
          <w:sz w:val="18"/>
          <w:szCs w:val="18"/>
          <w:color w:val="auto"/>
        </w:rPr>
        <w:t>” means oil, gas, minerals, and other gaseous and liquid hydrocarbons, or any combination of the foregoing, produced from and attributable to the Assets.</w:t>
      </w:r>
    </w:p>
    <w:p>
      <w:pPr>
        <w:spacing w:after="0" w:line="17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 arising in the ordinary course of business), (d) reimbursement and other obligations with respect to letters of credit, bank guarantees, bankers’ acceptances or other similar instruments, in each case, solely to the extent drawn, (e) leases required to be capitalized under GAAP and (f) any of the obligations of any other Person of the type referred to in clauses (a) through (e) above directly or indirectly guaranteed by such Person or secured by any asset of such Person, whether or not such Indebtedness has been assumed by such Person.</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and extensions of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(c) copyrights and other rights in works of authorship, database and design rights, mask work rights and moral rights, whether or not registered or published, and all registrations, applications, renewals, extensions and reversions of any of the foregoing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rights in trade secrets, know-how and confidential and proprietary information, including invention disclosures, inventions and formulae, whether patentable or not; and (e) any other intellectual or proprietary right protectable, arising under or associated with any of the foregoing, including those protected by any Law anywhere in the world.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0" w:name="page31"/>
    <w:bookmarkEnd w:id="3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Latest ACT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foreign, national or supranational statute, law (including common law), act, statute, ordinance, Order, treaty, rule, code, regulation or other legally binding directive issued, promulgated or enforced by a Governmental Entity having jurisdiction over a given matter.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 but excluding any and all non-cash liabilities (e.g., mark-to-market warrants).</w:t>
      </w:r>
    </w:p>
    <w:p>
      <w:pPr>
        <w:spacing w:after="0" w:line="18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w:t>
      </w:r>
    </w:p>
    <w:p>
      <w:pPr>
        <w:spacing w:after="0" w:line="170"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all losses, costs, liabilities, obligations, expenses, fines, penalties, interest, expenditures, claims, awards, settlements, judgments, damages, reasonable and documented out-of-pocket attorneys’ fees and reasonable out-of-pocket expenses of investigating, defending and prosecuting litigation.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Malicious Code</w:t>
      </w:r>
      <w:r>
        <w:rPr>
          <w:rFonts w:ascii="Arial" w:cs="Arial" w:eastAsia="Arial" w:hAnsi="Arial"/>
          <w:sz w:val="16"/>
          <w:szCs w:val="16"/>
          <w:color w:val="auto"/>
        </w:rPr>
        <w:t>” means any Software code or other mechanism that (a) contains any “back door,” virus, malware, Trojan horse or similar device,</w:t>
      </w:r>
    </w:p>
    <w:p>
      <w:pPr>
        <w:spacing w:after="0" w:line="46" w:lineRule="exact"/>
        <w:rPr>
          <w:sz w:val="20"/>
          <w:szCs w:val="20"/>
          <w:color w:val="auto"/>
        </w:rPr>
      </w:pPr>
    </w:p>
    <w:p>
      <w:pPr>
        <w:ind w:left="4" w:right="60" w:hanging="4"/>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designed to disrupt, disable, erase or harm the operation of Software, or cause any Software to damage or corrupt any data, hardware, storage media, programs, equipment or communications, or (c) permits any Person to access any Software, data, hardware, storage media, programs, equipment or communications without authorization.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NextEra</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1" w:name="page32"/>
    <w:bookmarkEnd w:id="31"/>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NextEra Subscription Agreement</w:t>
      </w:r>
      <w:r>
        <w:rPr>
          <w:rFonts w:ascii="Arial" w:cs="Arial" w:eastAsia="Arial" w:hAnsi="Arial"/>
          <w:sz w:val="17"/>
          <w:szCs w:val="17"/>
          <w:color w:val="auto"/>
        </w:rPr>
        <w:t>” means that certain Subscription Agreement, dated as of November 29, 2021, by and between the Company and NextEra pursuant to which NextEra has agreed to subscribe for and purchase, and the Company has agreed to issue and sell to NextEra, the number of Company Series A Preferred Units set forth therein in exchange for the purchase price set forth therein.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Non-Scheduled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3.13(c)</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Off-the-Shelf Software</w:t>
      </w:r>
      <w:r>
        <w:rPr>
          <w:rFonts w:ascii="Arial" w:cs="Arial" w:eastAsia="Arial" w:hAnsi="Arial"/>
          <w:sz w:val="17"/>
          <w:szCs w:val="17"/>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order, judgment, injunction, settlement, decision, determination, award, ruling, subpoena, verdict or decree entered, issued or rendered by any Governmental Entity.</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ACT Shareholder Approval</w:t>
      </w:r>
      <w:r>
        <w:rPr>
          <w:rFonts w:ascii="Arial" w:cs="Arial" w:eastAsia="Arial" w:hAnsi="Arial"/>
          <w:sz w:val="18"/>
          <w:szCs w:val="18"/>
          <w:color w:val="auto"/>
        </w:rPr>
        <w:t>” means the approval of each Other Transaction Proposal by the affirmative vote of the holders of the requisite number of Pre-Closing ACT Shares entitled to vote thereon, who attend whether in person or by proxy at the ACT Shareholders Meeting (or any adjournment thereof), in accordance with the Governing Documents of ACT and applicable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Governing Document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Transaction Proposal</w:t>
      </w:r>
      <w:r>
        <w:rPr>
          <w:rFonts w:ascii="Arial" w:cs="Arial" w:eastAsia="Arial" w:hAnsi="Arial"/>
          <w:sz w:val="18"/>
          <w:szCs w:val="18"/>
          <w:color w:val="auto"/>
        </w:rPr>
        <w:t>” means each Transaction Proposal, other than the Required Transaction Proposals.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all land, together with all buildings, structures, improvements and fixtures located thereon, and all easements and other rights and interests appurtenant thereto, owned by any Group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Tax Audit Rules</w:t>
      </w:r>
      <w:r>
        <w:rPr>
          <w:rFonts w:ascii="Arial" w:cs="Arial" w:eastAsia="Arial" w:hAnsi="Arial"/>
          <w:sz w:val="18"/>
          <w:szCs w:val="18"/>
          <w:color w:val="auto"/>
        </w:rPr>
        <w:t>” means Sections 6221 through 6241 of the Code, together with any guidance issued thereunder or successor provisions and any similar or corresponding provisions of state or local Tax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Governmental Entity (including IRS Notice 2020-65).</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any approvals, authorizations, clearances, business licenses, registrations, permits or certificates of a Governmental Entity.</w:t>
      </w:r>
    </w:p>
    <w:p>
      <w:pPr>
        <w:spacing w:after="0" w:line="23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or would not prohibit or materially interfere with any of the Group Companies’ use or occupancy of such real property in the operation of the business,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and (f) grants by any Group Company of non-exclusive rights in Intellectual Property Rights in the ordinary course of business.</w:t>
      </w:r>
    </w:p>
    <w:p>
      <w:pPr>
        <w:spacing w:after="0" w:line="174"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in addition to any definition for any similar term (e.g., “personally identifiable information” or “PII”) provided by applicable Law, any data or information that (a) can, alone or when combined with other information maintained for or on behalf of the Company, identifies or is reasonably capable of identifying, directly or indirectly, a particular a natural person, including (i) names, addresses, telephone numbers, email address, financial information, financial account number, personal health information, drivers’ license numbers and government-issued identification numbers and (ii) Internet Protocol addresses, device identifiers or other persistent identifiers, or (b) is otherwise subject to, protected by, or defined under applicable Laws governing personal information, personal data, personally identifiable information, or protected health information.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Post-Closing ACT Bylaws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Certificate of Incorporation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A Shares</w:t>
      </w:r>
      <w:r>
        <w:rPr>
          <w:rFonts w:ascii="Arial" w:cs="Arial" w:eastAsia="Arial" w:hAnsi="Arial"/>
          <w:sz w:val="18"/>
          <w:szCs w:val="18"/>
          <w:color w:val="auto"/>
        </w:rPr>
        <w:t>” means the shares of Class A common stock, par value $0.0001 per share, of ACT authorized pursuant to the Post-Closing ACT Certificate of Incorporation.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B Shares</w:t>
      </w:r>
      <w:r>
        <w:rPr>
          <w:rFonts w:ascii="Arial" w:cs="Arial" w:eastAsia="Arial" w:hAnsi="Arial"/>
          <w:sz w:val="18"/>
          <w:szCs w:val="18"/>
          <w:color w:val="auto"/>
        </w:rPr>
        <w:t>” means the shares of Class B common stock, par value $0.0001 per share, of ACT authorized pursuant to the Post-Closing ACT Certificate of Incorporation.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C Shares</w:t>
      </w:r>
      <w:r>
        <w:rPr>
          <w:rFonts w:ascii="Arial" w:cs="Arial" w:eastAsia="Arial" w:hAnsi="Arial"/>
          <w:sz w:val="18"/>
          <w:szCs w:val="18"/>
          <w:color w:val="auto"/>
        </w:rPr>
        <w:t>” means the shares of Class C common stock, par value $0.0001 per share, of ACT authorized pursuant to the Post-Closing ACT Certificate of Incorporation.</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D Shares</w:t>
      </w:r>
      <w:r>
        <w:rPr>
          <w:rFonts w:ascii="Arial" w:cs="Arial" w:eastAsia="Arial" w:hAnsi="Arial"/>
          <w:sz w:val="18"/>
          <w:szCs w:val="18"/>
          <w:color w:val="auto"/>
        </w:rPr>
        <w:t>” means the shares of Class D common stock, par value $0.0001 per share, of ACT authorized pursuant to the Post-Closing ACT Certificate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Shares</w:t>
      </w:r>
      <w:r>
        <w:rPr>
          <w:rFonts w:ascii="Arial" w:cs="Arial" w:eastAsia="Arial" w:hAnsi="Arial"/>
          <w:sz w:val="18"/>
          <w:szCs w:val="18"/>
          <w:color w:val="auto"/>
        </w:rPr>
        <w:t>” means the Post-Closing ACT Class A Shares, the Post-Closing ACT Class B Shares, the Post-Closing ACT Class C Shares and the Post-Closing ACT Class D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Warrants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Class A Units</w:t>
      </w:r>
      <w:r>
        <w:rPr>
          <w:rFonts w:ascii="Arial" w:cs="Arial" w:eastAsia="Arial" w:hAnsi="Arial"/>
          <w:sz w:val="18"/>
          <w:szCs w:val="18"/>
          <w:color w:val="auto"/>
        </w:rPr>
        <w:t>” means the Class A Units (as defined in the Post-Closing Company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Class B Units</w:t>
      </w:r>
      <w:r>
        <w:rPr>
          <w:rFonts w:ascii="Arial" w:cs="Arial" w:eastAsia="Arial" w:hAnsi="Arial"/>
          <w:sz w:val="18"/>
          <w:szCs w:val="18"/>
          <w:color w:val="auto"/>
        </w:rPr>
        <w:t>” means the Class B Units (as defined in the Post-Closing Company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LLC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Post-Closing Company Members</w:t>
      </w:r>
      <w:r>
        <w:rPr>
          <w:rFonts w:ascii="Arial" w:cs="Arial" w:eastAsia="Arial" w:hAnsi="Arial"/>
          <w:sz w:val="16"/>
          <w:szCs w:val="16"/>
          <w:color w:val="auto"/>
        </w:rPr>
        <w:t>” means, as of any determination time following the Closing, the holders of the Post-Closing Company Units.</w:t>
      </w:r>
    </w:p>
    <w:p>
      <w:pPr>
        <w:spacing w:after="0" w:line="248"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Post-Closing Company Units</w:t>
      </w:r>
      <w:r>
        <w:rPr>
          <w:rFonts w:ascii="Arial" w:cs="Arial" w:eastAsia="Arial" w:hAnsi="Arial"/>
          <w:sz w:val="17"/>
          <w:szCs w:val="17"/>
          <w:color w:val="auto"/>
        </w:rPr>
        <w:t>” means the Post-Closing Company Class A Units, the Post-Closing Company Class B Units, the Company Series A Preferred Units and the Company Series A-1 Preferred Units, in each case, issued and outstanding following the Closing.</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A Shareholders</w:t>
      </w:r>
      <w:r>
        <w:rPr>
          <w:rFonts w:ascii="Arial" w:cs="Arial" w:eastAsia="Arial" w:hAnsi="Arial"/>
          <w:sz w:val="18"/>
          <w:szCs w:val="18"/>
          <w:color w:val="auto"/>
        </w:rPr>
        <w:t>” means, as of any determination time prior to the Closing, the holders of the Pre-Closing ACT Class A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 w:name="page35"/>
    <w:bookmarkEnd w:id="34"/>
    <w:p>
      <w:pPr>
        <w:ind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Pre-Closing ACT Class A Shares</w:t>
      </w:r>
      <w:r>
        <w:rPr>
          <w:rFonts w:ascii="Arial" w:cs="Arial" w:eastAsia="Arial" w:hAnsi="Arial"/>
          <w:sz w:val="18"/>
          <w:szCs w:val="18"/>
          <w:color w:val="auto"/>
        </w:rPr>
        <w:t>” means the Class A ordinary shares of ACT issued pursuant to the Amended and Restated Articles of Association of ACT, dated as of January 13, 2021.</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B Shareholders</w:t>
      </w:r>
      <w:r>
        <w:rPr>
          <w:rFonts w:ascii="Arial" w:cs="Arial" w:eastAsia="Arial" w:hAnsi="Arial"/>
          <w:sz w:val="18"/>
          <w:szCs w:val="18"/>
          <w:color w:val="auto"/>
        </w:rPr>
        <w:t>” means, as of any determination time prior to the Closing, the holders of the Pre-Closing ACT Class B Shares.</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B Shares</w:t>
      </w:r>
      <w:r>
        <w:rPr>
          <w:rFonts w:ascii="Arial" w:cs="Arial" w:eastAsia="Arial" w:hAnsi="Arial"/>
          <w:sz w:val="18"/>
          <w:szCs w:val="18"/>
          <w:color w:val="auto"/>
        </w:rPr>
        <w:t>” means the Class B ordinary shares of ACT issued pursuant to the Amended and Restated Articles of Association of ACT, dated as of January 13, 2021.</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Governing Documents</w:t>
      </w:r>
      <w:r>
        <w:rPr>
          <w:rFonts w:ascii="Arial" w:cs="Arial" w:eastAsia="Arial" w:hAnsi="Arial"/>
          <w:sz w:val="18"/>
          <w:szCs w:val="18"/>
          <w:color w:val="auto"/>
        </w:rPr>
        <w:t>” means, collectively, (a) the Amended and Restated Memorandum of Association of ACT, dated as of January 13, 2021, and (b) the Amended and Restated Articles of Association of ACT, dated as of January 13, 2021.</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Other Class B Shareholders</w:t>
      </w:r>
      <w:r>
        <w:rPr>
          <w:rFonts w:ascii="Arial" w:cs="Arial" w:eastAsia="Arial" w:hAnsi="Arial"/>
          <w:sz w:val="18"/>
          <w:szCs w:val="18"/>
          <w:color w:val="auto"/>
        </w:rPr>
        <w:t>” means, collectively, Arno Harris, Dr. Ja-Chin Audrey Lee, Brian Goncher and Steven Berkenfeld, which, together with the ACT Sponsor are 100% of the Pre-Closing ACT Class B Shareholders as of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ACT Shareholders</w:t>
      </w:r>
      <w:r>
        <w:rPr>
          <w:rFonts w:ascii="Arial" w:cs="Arial" w:eastAsia="Arial" w:hAnsi="Arial"/>
          <w:sz w:val="17"/>
          <w:szCs w:val="17"/>
          <w:color w:val="auto"/>
        </w:rPr>
        <w:t>” means, as of any determination time prior to the Closing, the holders of the Pre-Closing ACT Shares.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Shares</w:t>
      </w:r>
      <w:r>
        <w:rPr>
          <w:rFonts w:ascii="Arial" w:cs="Arial" w:eastAsia="Arial" w:hAnsi="Arial"/>
          <w:sz w:val="18"/>
          <w:szCs w:val="18"/>
          <w:color w:val="auto"/>
        </w:rPr>
        <w:t>” means the Pre-Closing ACT Class A Shares and the Pre-Closing ACT Class B Shares.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Warrant</w:t>
      </w:r>
      <w:r>
        <w:rPr>
          <w:rFonts w:ascii="Arial" w:cs="Arial" w:eastAsia="Arial" w:hAnsi="Arial"/>
          <w:sz w:val="18"/>
          <w:szCs w:val="18"/>
          <w:color w:val="auto"/>
        </w:rPr>
        <w:t>” means each warrant to purchase one Pre-Closing Class ACT Share at an exercise price of $11.50 per share, subject to adjustment in accordance with the Warrant Agreement (including, for the avoidance of doubt, each such warrant held by the ACT Sponsor or any Pre-Closing ACT Other Class B Shareholder).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Common Units</w:t>
      </w:r>
      <w:r>
        <w:rPr>
          <w:rFonts w:ascii="Arial" w:cs="Arial" w:eastAsia="Arial" w:hAnsi="Arial"/>
          <w:sz w:val="18"/>
          <w:szCs w:val="18"/>
          <w:color w:val="auto"/>
        </w:rPr>
        <w:t>” has the meaning of “Common Units” set forth in the Pre-Closing Company LLC Agreement.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LLC Agreement</w:t>
      </w:r>
      <w:r>
        <w:rPr>
          <w:rFonts w:ascii="Arial" w:cs="Arial" w:eastAsia="Arial" w:hAnsi="Arial"/>
          <w:sz w:val="18"/>
          <w:szCs w:val="18"/>
          <w:color w:val="auto"/>
        </w:rPr>
        <w:t>” means that certain Amended and Restated Limited Liability Company Agreement of the Company, dated as of November 29, 2021,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Company Members</w:t>
      </w:r>
      <w:r>
        <w:rPr>
          <w:rFonts w:ascii="Arial" w:cs="Arial" w:eastAsia="Arial" w:hAnsi="Arial"/>
          <w:sz w:val="17"/>
          <w:szCs w:val="17"/>
          <w:color w:val="auto"/>
        </w:rPr>
        <w:t>” means, as of any determination time prior to the Closing, the holders of the Pre-Closing Company Units.</w:t>
      </w:r>
    </w:p>
    <w:p>
      <w:pPr>
        <w:spacing w:after="0" w:line="23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Units</w:t>
      </w:r>
      <w:r>
        <w:rPr>
          <w:rFonts w:ascii="Arial" w:cs="Arial" w:eastAsia="Arial" w:hAnsi="Arial"/>
          <w:sz w:val="18"/>
          <w:szCs w:val="18"/>
          <w:color w:val="auto"/>
        </w:rPr>
        <w:t>” means the Pre-Closing Company Common Units, the Company Series A Preferred Units and the Company Series A-1 Preferred Units, in each case, issued and outstanding prior to the Closing.</w:t>
      </w:r>
    </w:p>
    <w:p>
      <w:pPr>
        <w:spacing w:after="0" w:line="170"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lawsuit, litigation, action, audit, inquiry, examination, investigation, claim, complaint, charge, proceeding, suit or arbitration (in each case, whether civil, criminal or administrative and whether public or private) pending by or before or otherwise involving any Governmental Entity.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5" w:name="page36"/>
    <w:bookmarkEnd w:id="35"/>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Process</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or “</w:t>
      </w:r>
      <w:r>
        <w:rPr>
          <w:rFonts w:ascii="Arial" w:cs="Arial" w:eastAsia="Arial" w:hAnsi="Arial"/>
          <w:sz w:val="18"/>
          <w:szCs w:val="18"/>
          <w:u w:val="single" w:color="auto"/>
          <w:color w:val="auto"/>
        </w:rPr>
        <w:t>Processes</w:t>
      </w:r>
      <w:r>
        <w:rPr>
          <w:rFonts w:ascii="Arial" w:cs="Arial" w:eastAsia="Arial" w:hAnsi="Arial"/>
          <w:sz w:val="18"/>
          <w:szCs w:val="18"/>
          <w:color w:val="auto"/>
        </w:rPr>
        <w:t>”) means the collection, use, storage, processing, sharing, recording, distribution, transfer, transmission, import, export, protection (including security measures), disposal or disclosure or other activity regarding Personal Data (whether electronically or in any other form or medium).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Prudent Industry Practices</w:t>
      </w:r>
      <w:r>
        <w:rPr>
          <w:rFonts w:ascii="Arial" w:cs="Arial" w:eastAsia="Arial" w:hAnsi="Arial"/>
          <w:sz w:val="17"/>
          <w:szCs w:val="17"/>
          <w:color w:val="auto"/>
        </w:rPr>
        <w:t>” means the practices, methods and acts engaged in or approved or commonly used by members of the renewable natural gas industry in the United States in respect of the design, development, construction, ownership and operation of renewable natural gas generation facilities and renewable power generation facilities of comparable type and complexity to the renewable natural gas projects of the Business and such other practices, methods or acts that, at a particular time, in the exercise of reasonable judgment in light of the facts known by those reasonably experienced in the renewable natural gas industry as would have reasonably been expected to accomplish the desired result in a manner consistent with applicable Laws (including Environmental Laws) and in a reliable, safe and expeditious manner. “Prudent Industry Practices” does not necessarily mean one particular practice, method, or standard of care, skill, safety and diligence in all cases, but is instead intended to encompass a broad range of acceptable practices, methods, specifications and standards.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Arial" w:cs="Arial" w:eastAsia="Arial" w:hAnsi="Arial"/>
          <w:sz w:val="18"/>
          <w:szCs w:val="18"/>
          <w:i w:val="1"/>
          <w:iCs w:val="1"/>
          <w:color w:val="auto"/>
        </w:rPr>
        <w:t>e.g.</w:t>
      </w:r>
      <w:r>
        <w:rPr>
          <w:rFonts w:ascii="Arial" w:cs="Arial" w:eastAsia="Arial" w:hAnsi="Arial"/>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Facility</w:t>
      </w:r>
      <w:r>
        <w:rPr>
          <w:rFonts w:ascii="Arial" w:cs="Arial" w:eastAsia="Arial" w:hAnsi="Arial"/>
          <w:sz w:val="18"/>
          <w:szCs w:val="18"/>
          <w:color w:val="auto"/>
        </w:rPr>
        <w:t>” means a qualifying small power production facility pursuant to PURPA, and in the FERC regulations implementing that statute at 18 C.F.R. § 292.203(a).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3.18(c)</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Statement/Proxy Statement</w:t>
      </w:r>
      <w:r>
        <w:rPr>
          <w:rFonts w:ascii="Arial" w:cs="Arial" w:eastAsia="Arial" w:hAnsi="Arial"/>
          <w:sz w:val="18"/>
          <w:szCs w:val="18"/>
          <w:color w:val="auto"/>
        </w:rPr>
        <w:t>” means a registration statement on Form S-4 relating to the transactions contemplated by this Agreement and the Ancillary Documents and containing a prospectus and proxy statement of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ACT Shareholder Approval</w:t>
      </w:r>
      <w:r>
        <w:rPr>
          <w:rFonts w:ascii="Arial" w:cs="Arial" w:eastAsia="Arial" w:hAnsi="Arial"/>
          <w:sz w:val="16"/>
          <w:szCs w:val="16"/>
          <w:color w:val="auto"/>
        </w:rPr>
        <w:t>” means (a) the approval of the Domestication Proposal and the Required Governing Document Proposal by the affirmative vote of the holders of at least two-thirds (2/3) of Pre-Closing ACT Shares entitled to vote thereon, who attend whether in person or by proxy at the ACT Shareholders Meeting (or any adjournment thereof), in accordance with the Governing Documents of ACT and applicable Law, and</w:t>
      </w:r>
    </w:p>
    <w:p>
      <w:pPr>
        <w:spacing w:after="0" w:line="2" w:lineRule="exact"/>
        <w:rPr>
          <w:sz w:val="20"/>
          <w:szCs w:val="20"/>
          <w:color w:val="auto"/>
        </w:rPr>
      </w:pPr>
    </w:p>
    <w:p>
      <w:pPr>
        <w:ind w:left="4" w:right="80" w:hanging="4"/>
        <w:spacing w:after="0" w:line="277"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of the Business Combination Proposal, the Nasdaq Proposal and the ACT Incentive Equity Plan Proposal by the affirmative vote of the holders of a majority of Pre-Closing ACT Shares entitled to vote thereon, who attend whether in person or by proxy at the ACT Shareholders Meeting (or any adjournment thereof), in accordance with the Governing Documents of ACT and applicable Law.</w:t>
      </w:r>
    </w:p>
    <w:p>
      <w:pPr>
        <w:spacing w:after="0" w:line="173"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Transaction Proposals</w:t>
      </w:r>
      <w:r>
        <w:rPr>
          <w:rFonts w:ascii="Arial" w:cs="Arial" w:eastAsia="Arial" w:hAnsi="Arial"/>
          <w:sz w:val="18"/>
          <w:szCs w:val="18"/>
          <w:color w:val="auto"/>
        </w:rPr>
        <w:t>” means, collectively, the Business Combination Proposal, the Domestication Proposal, the Nasdaq Proposal, the Required Governing Document Proposal and the ACT Incentive Equity Plan Proposal.</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RNG Assets</w:t>
      </w:r>
      <w:r>
        <w:rPr>
          <w:rFonts w:ascii="Arial" w:cs="Arial" w:eastAsia="Arial" w:hAnsi="Arial"/>
          <w:sz w:val="18"/>
          <w:szCs w:val="18"/>
          <w:color w:val="auto"/>
        </w:rPr>
        <w:t>” means the production facilities of the Group Companies that convert landfill resources or dairy farm resources into renewable natural gas.</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and Export Control Laws</w:t>
      </w:r>
      <w:r>
        <w:rPr>
          <w:rFonts w:ascii="Arial" w:cs="Arial" w:eastAsia="Arial" w:hAnsi="Arial"/>
          <w:sz w:val="18"/>
          <w:szCs w:val="18"/>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ACT Disclosure Schedules.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ACT Earnout Tranche</w:t>
      </w:r>
      <w:r>
        <w:rPr>
          <w:rFonts w:ascii="Arial" w:cs="Arial" w:eastAsia="Arial" w:hAnsi="Arial"/>
          <w:sz w:val="18"/>
          <w:szCs w:val="18"/>
          <w:color w:val="auto"/>
        </w:rPr>
        <w:t xml:space="preserve">” means the Post-Closing ACT Class B Shares and the Post-Closing ACT Class D Shares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which, in the aggregate, shall equal 5,000,000 Post-Closing ACT Shares.</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Company Earnout Tranche</w:t>
      </w:r>
      <w:r>
        <w:rPr>
          <w:rFonts w:ascii="Arial" w:cs="Arial" w:eastAsia="Arial" w:hAnsi="Arial"/>
          <w:sz w:val="18"/>
          <w:szCs w:val="18"/>
          <w:color w:val="auto"/>
        </w:rPr>
        <w:t xml:space="preserve">” means the Post-Closing Company Class B Units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Class B Units.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Triggering Event</w:t>
      </w:r>
      <w:r>
        <w:rPr>
          <w:rFonts w:ascii="Arial" w:cs="Arial" w:eastAsia="Arial" w:hAnsi="Arial"/>
          <w:sz w:val="18"/>
          <w:szCs w:val="18"/>
          <w:color w:val="auto"/>
        </w:rPr>
        <w:t>” means the date on which the annual EBITDA for the calendar year 2024 exceeds $446,000,000.</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Incident</w:t>
      </w:r>
      <w:r>
        <w:rPr>
          <w:rFonts w:ascii="Arial" w:cs="Arial" w:eastAsia="Arial" w:hAnsi="Arial"/>
          <w:sz w:val="17"/>
          <w:szCs w:val="17"/>
          <w:color w:val="auto"/>
        </w:rPr>
        <w:t>” means any (a) breach of security, phishing incident, ransomware or malware attack materially and adversely affecting the use, functionality or performance of any Company IT System, or (b) incident in which confidential information or Personal Data under the control of the Group Companies was accessed, disclosed, destroyed, processed, used, or exfiltrated in an unauthorized manner.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object code, or executable code format, (b) all related specifications and documentation, including descriptions, flowcharts and other work product used to design, plan, organize and develop any of the foregoing, screens, user interfaces, report formats, firmware, development tools, templates, menus, buttons and icons and (c) all documentation, including user manuals and other training documentation, related to any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Equity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Commission</w:t>
      </w:r>
      <w:r>
        <w:rPr>
          <w:rFonts w:ascii="Arial" w:cs="Arial" w:eastAsia="Arial" w:hAnsi="Arial"/>
          <w:sz w:val="18"/>
          <w:szCs w:val="18"/>
          <w:color w:val="auto"/>
        </w:rPr>
        <w:t>” has the meaning set forth in 18 C.F.R. § 1.101(k).</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8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8" w:name="page39"/>
    <w:bookmarkEnd w:id="3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imposition, collection or administration of Taxes or Tax Returns.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filed or required to be filed with any Governmental Entity, including any amendment of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Unpaid ACT Expenses</w:t>
      </w:r>
      <w:r>
        <w:rPr>
          <w:rFonts w:ascii="Arial" w:cs="Arial" w:eastAsia="Arial" w:hAnsi="Arial"/>
          <w:sz w:val="16"/>
          <w:szCs w:val="16"/>
          <w:color w:val="auto"/>
        </w:rPr>
        <w:t>” means the ACT Expenses calculated as of immediately prior to the Closing, in each case, to the extent unpaid as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ACT Liabilities</w:t>
      </w:r>
      <w:r>
        <w:rPr>
          <w:rFonts w:ascii="Arial" w:cs="Arial" w:eastAsia="Arial" w:hAnsi="Arial"/>
          <w:sz w:val="18"/>
          <w:szCs w:val="18"/>
          <w:color w:val="auto"/>
        </w:rPr>
        <w:t>” means the ACT Liabilities calculated as of immediately prior to the Closing, in each case, to the extent unpaid as of such time.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calculated as of immediately prior to the Closing, in each case, to the extent unpaid as of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Retraining and Notification Act of 1988, as well as similar foreign, state or local 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means that certain Warrant Agreement, dated as of March 25, 2021, by and between ACT and the trustee set forth therein.</w:t>
      </w:r>
    </w:p>
    <w:p>
      <w:pPr>
        <w:spacing w:after="0" w:line="24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39" w:name="page40"/>
    <w:bookmarkEnd w:id="3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BUSINESS COMBINATION</w:t>
      </w:r>
    </w:p>
    <w:p>
      <w:pPr>
        <w:spacing w:after="0" w:line="207"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color w:val="auto"/>
        </w:rPr>
        <w:t>. On the terms and subject to the conditions set forth in this Agreement, the transactions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shall occur in the order set forth in this </w:t>
      </w:r>
      <w:r>
        <w:rPr>
          <w:rFonts w:ascii="Arial" w:cs="Arial" w:eastAsia="Arial" w:hAnsi="Arial"/>
          <w:sz w:val="18"/>
          <w:szCs w:val="18"/>
          <w:u w:val="single" w:color="auto"/>
          <w:color w:val="auto"/>
        </w:rPr>
        <w:t>Article 2</w:t>
      </w:r>
      <w:r>
        <w:rPr>
          <w:rFonts w:ascii="Arial" w:cs="Arial" w:eastAsia="Arial" w:hAnsi="Arial"/>
          <w:sz w:val="18"/>
          <w:szCs w:val="18"/>
          <w:color w:val="auto"/>
        </w:rPr>
        <w:t>, unless otherwise provided herein.</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ACT Share Conversion</w:t>
      </w:r>
      <w:r>
        <w:rPr>
          <w:rFonts w:ascii="Arial" w:cs="Arial" w:eastAsia="Arial" w:hAnsi="Arial"/>
          <w:sz w:val="18"/>
          <w:szCs w:val="18"/>
          <w:color w:val="auto"/>
        </w:rPr>
        <w:t>. On the Closing Date, prior to the Domestication, ACT shall cause each Pre-Closing ACT Class B Share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issued and outstanding to be converted into one (1) Pre-Closing ACT Class A Share in accordance with applicable Law and the Governing Documents of ACT (the “</w:t>
      </w:r>
      <w:r>
        <w:rPr>
          <w:rFonts w:ascii="Arial" w:cs="Arial" w:eastAsia="Arial" w:hAnsi="Arial"/>
          <w:sz w:val="18"/>
          <w:szCs w:val="18"/>
          <w:u w:val="single" w:color="auto"/>
          <w:color w:val="auto"/>
        </w:rPr>
        <w:t>ACT Share Conversion</w:t>
      </w:r>
      <w:r>
        <w:rPr>
          <w:rFonts w:ascii="Arial" w:cs="Arial" w:eastAsia="Arial" w:hAnsi="Arial"/>
          <w:sz w:val="18"/>
          <w:szCs w:val="18"/>
          <w:color w:val="auto"/>
        </w:rPr>
        <w:t>”).</w:t>
      </w:r>
    </w:p>
    <w:p>
      <w:pPr>
        <w:spacing w:after="0" w:line="17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Domestication</w:t>
      </w:r>
      <w:r>
        <w:rPr>
          <w:rFonts w:ascii="Arial" w:cs="Arial" w:eastAsia="Arial" w:hAnsi="Arial"/>
          <w:sz w:val="16"/>
          <w:szCs w:val="16"/>
          <w:color w:val="auto"/>
        </w:rPr>
        <w:t>. On the Closing Date, following the ACT Share Conversion but prior to the Closing, ACT shall, subject to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Required ACT Shareholder Approval, cause the Domestication to become effective in accordance with Section 388 of the DGCL and Part XII of the Cayman Islands Companies Act (As Revised), by (a) filing with the Delaware Secretary of State, (i) a Certificate of Domestication with respect to the Domestication, in form and substance reasonably acceptable to ACT and the Company, and (ii) the Post-Closing ACT Certificate of Incorporation, and (b) completing and making all filings required to be made with the Registrar of Companies in the Cayman Islands to effect the Domestication and, in connection with (and as part of) the Domestication, (i) each Pre-Closing ACT Class A Share that is issued and outstanding immediately prior to the Domestication shall convert automatically on an one-for-one basis into one (1) Post-Closing ACT Class A Share, (ii) each Pre-Closing ACT Warrant that is outstanding immediately prior to the Domestication shall, from and after the Domestication, represent the right to purchase one new Post-Closing ACT Class A Share at an exercise price of $11.50 per share on the terms and subject to the conditions set forth in the Warrant Agreement (collectively, the “</w:t>
      </w:r>
      <w:r>
        <w:rPr>
          <w:rFonts w:ascii="Arial" w:cs="Arial" w:eastAsia="Arial" w:hAnsi="Arial"/>
          <w:sz w:val="16"/>
          <w:szCs w:val="16"/>
          <w:u w:val="single" w:color="auto"/>
          <w:color w:val="auto"/>
        </w:rPr>
        <w:t>Post-Closing ACT Warrants</w:t>
      </w:r>
      <w:r>
        <w:rPr>
          <w:rFonts w:ascii="Arial" w:cs="Arial" w:eastAsia="Arial" w:hAnsi="Arial"/>
          <w:sz w:val="16"/>
          <w:szCs w:val="16"/>
          <w:color w:val="auto"/>
        </w:rPr>
        <w:t xml:space="preserve">”) and (iii) ACT’s name shall be changed to “Opal Fuels Inc.”;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clauses (b)</w:t>
      </w:r>
    </w:p>
    <w:p>
      <w:pPr>
        <w:spacing w:after="0" w:line="1" w:lineRule="exact"/>
        <w:rPr>
          <w:sz w:val="20"/>
          <w:szCs w:val="20"/>
          <w:color w:val="auto"/>
        </w:rPr>
      </w:pPr>
    </w:p>
    <w:p>
      <w:pPr>
        <w:ind w:left="4" w:hanging="4"/>
        <w:spacing w:after="0" w:line="281" w:lineRule="auto"/>
        <w:tabs>
          <w:tab w:leader="none" w:pos="2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(b)(ii), each issued and outstanding ACT Unit that has not been previously separated into the underlying Pre-Closing ACT Class A Shares and underlying Pre-Closing ACT Warrants prior to the Domestication shall, for the avoidance of doubt, be cancelled and will entitle the holder thereof to one</w:t>
      </w:r>
    </w:p>
    <w:p>
      <w:pPr>
        <w:spacing w:after="0" w:line="1" w:lineRule="exact"/>
        <w:rPr>
          <w:rFonts w:ascii="Arial" w:cs="Arial" w:eastAsia="Arial" w:hAnsi="Arial"/>
          <w:sz w:val="16"/>
          <w:szCs w:val="16"/>
          <w:color w:val="auto"/>
        </w:rPr>
      </w:pPr>
    </w:p>
    <w:p>
      <w:pPr>
        <w:ind w:left="4" w:right="1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share of Post-Closing ACT Class A Shares and one Post-Closing ACT Warrant on the terms and subject to the conditions set forth in the Warrant Agreement, as applicable. ACT shall cause the Governing Documents of ACT to become (1) in connection with (and as part of) the Domestication, the certificate of incorporation, substantially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such changes as may be agreed in writing by ACT and the Company, the “</w:t>
      </w:r>
      <w:r>
        <w:rPr>
          <w:rFonts w:ascii="Arial" w:cs="Arial" w:eastAsia="Arial" w:hAnsi="Arial"/>
          <w:sz w:val="17"/>
          <w:szCs w:val="17"/>
          <w:u w:val="single" w:color="auto"/>
          <w:color w:val="auto"/>
        </w:rPr>
        <w:t>Post-Closing ACT Certificate of Incorporation</w:t>
      </w:r>
      <w:r>
        <w:rPr>
          <w:rFonts w:ascii="Arial" w:cs="Arial" w:eastAsia="Arial" w:hAnsi="Arial"/>
          <w:sz w:val="17"/>
          <w:szCs w:val="17"/>
          <w:color w:val="auto"/>
        </w:rPr>
        <w:t xml:space="preserve">”), and (2) as soon as practicable following the Domestication, but prior to the Closing, the bylaws, substantially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(with such changes as may be agreed in writing by ACT and the Company, the “</w:t>
      </w:r>
      <w:r>
        <w:rPr>
          <w:rFonts w:ascii="Arial" w:cs="Arial" w:eastAsia="Arial" w:hAnsi="Arial"/>
          <w:sz w:val="17"/>
          <w:szCs w:val="17"/>
          <w:u w:val="single" w:color="auto"/>
          <w:color w:val="auto"/>
        </w:rPr>
        <w:t>Post-Closing ACT Bylaws</w:t>
      </w:r>
      <w:r>
        <w:rPr>
          <w:rFonts w:ascii="Arial" w:cs="Arial" w:eastAsia="Arial" w:hAnsi="Arial"/>
          <w:sz w:val="17"/>
          <w:szCs w:val="17"/>
          <w:color w:val="auto"/>
        </w:rPr>
        <w:t>”). ACT shall cause the Domestication to be consummated in accordance with applicable Law. ACT and its Representatives shall give the Company and its Representatives a reasonable opportunity to review any applicable documents, certificates or filings in connection with the Domestication and will consider, in good faith, any comments thereto.</w:t>
      </w:r>
    </w:p>
    <w:p>
      <w:pPr>
        <w:spacing w:after="0" w:line="179" w:lineRule="exact"/>
        <w:rPr>
          <w:sz w:val="20"/>
          <w:szCs w:val="20"/>
          <w:color w:val="auto"/>
        </w:rPr>
      </w:pPr>
    </w:p>
    <w:p>
      <w:pPr>
        <w:ind w:left="4" w:right="860" w:firstLine="440"/>
        <w:spacing w:after="0" w:line="28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PIPE Subscriptions</w:t>
      </w:r>
      <w:r>
        <w:rPr>
          <w:rFonts w:ascii="Arial" w:cs="Arial" w:eastAsia="Arial" w:hAnsi="Arial"/>
          <w:sz w:val="18"/>
          <w:szCs w:val="18"/>
          <w:color w:val="auto"/>
        </w:rPr>
        <w:t>. Immediately prior to the Closing, ACT shall consummate the transactions contemplated by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in accordance with the PIPE Subscription Agreements.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40" w:name="page41"/>
    <w:bookmarkEnd w:id="4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b w:val="1"/>
          <w:bCs w:val="1"/>
          <w:u w:val="single" w:color="auto"/>
          <w:color w:val="auto"/>
        </w:rPr>
        <w:t>Closing Matters</w:t>
      </w:r>
      <w:r>
        <w:rPr>
          <w:rFonts w:ascii="Arial" w:cs="Arial" w:eastAsia="Arial" w:hAnsi="Arial"/>
          <w:sz w:val="18"/>
          <w:szCs w:val="18"/>
          <w:color w:val="auto"/>
        </w:rPr>
        <w:t>.</w:t>
      </w:r>
    </w:p>
    <w:p>
      <w:pPr>
        <w:spacing w:after="0" w:line="229" w:lineRule="exact"/>
        <w:rPr>
          <w:sz w:val="20"/>
          <w:szCs w:val="20"/>
          <w:color w:val="auto"/>
        </w:rPr>
      </w:pPr>
    </w:p>
    <w:p>
      <w:pPr>
        <w:ind w:left="4" w:right="180" w:firstLine="987"/>
        <w:spacing w:after="0" w:line="273" w:lineRule="auto"/>
        <w:tabs>
          <w:tab w:leader="none" w:pos="12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Pre-Closing Company Members and the Company shall cause the Pre-Closing Company LLC Agreement to be amended and restated to be in the form of the Post-Closing Company LLC Agreement and, in connection therewith, all of the Pre-Closing Company Common Units held by the applicable Pre-Closing Company Members shall be re-classified into a number of Post-Closing Company Class B Units, calculated as a function of the Equity Value, as set forth next to such Pre-Closing Company Member’s name on the allocation schedule attached to this Agreement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may be updated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in each case, free and clear of all Liens other than restrictions pursuant to the Company’s Governing Documents, applicable Securities Laws, this Agreement and the Ancillary Documents.</w:t>
      </w:r>
    </w:p>
    <w:p>
      <w:pPr>
        <w:spacing w:after="0" w:line="177" w:lineRule="exact"/>
        <w:rPr>
          <w:rFonts w:ascii="Arial" w:cs="Arial" w:eastAsia="Arial" w:hAnsi="Arial"/>
          <w:sz w:val="17"/>
          <w:szCs w:val="17"/>
          <w:color w:val="auto"/>
        </w:rPr>
      </w:pPr>
    </w:p>
    <w:p>
      <w:pPr>
        <w:ind w:left="4" w:right="180" w:firstLine="987"/>
        <w:spacing w:after="0" w:line="286" w:lineRule="auto"/>
        <w:tabs>
          <w:tab w:leader="none" w:pos="12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later than three (3) Business Days prior to the Closing, ACT shall deliver to the Company a reasonably detailed calculation of the Closing Date Contribution Amount (the “</w:t>
      </w:r>
      <w:r>
        <w:rPr>
          <w:rFonts w:ascii="Arial" w:cs="Arial" w:eastAsia="Arial" w:hAnsi="Arial"/>
          <w:sz w:val="16"/>
          <w:szCs w:val="16"/>
          <w:u w:val="single" w:color="auto"/>
          <w:color w:val="auto"/>
        </w:rPr>
        <w:t>Aggregate Transaction Proceeds Schedule</w:t>
      </w:r>
      <w:r>
        <w:rPr>
          <w:rFonts w:ascii="Arial" w:cs="Arial" w:eastAsia="Arial" w:hAnsi="Arial"/>
          <w:sz w:val="16"/>
          <w:szCs w:val="16"/>
          <w:color w:val="auto"/>
        </w:rPr>
        <w:t>”), including each subcomponent thereof, and reasonably detailed supporting documentation. ACT may update the Aggregate Transaction Proceeds Schedule if any of the calculations or amounts shown therein are incorrect as a result of changes in the number of Pre-Closing ACT Shareholders participating in the ACT Shareholder Redemption, not later than one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Day prior to the Closing Date.</w:t>
      </w:r>
    </w:p>
    <w:p>
      <w:pPr>
        <w:spacing w:after="0" w:line="210" w:lineRule="exact"/>
        <w:rPr>
          <w:rFonts w:ascii="Arial" w:cs="Arial" w:eastAsia="Arial" w:hAnsi="Arial"/>
          <w:sz w:val="18"/>
          <w:szCs w:val="18"/>
          <w:color w:val="auto"/>
        </w:rPr>
      </w:pPr>
    </w:p>
    <w:p>
      <w:pPr>
        <w:ind w:left="4" w:firstLine="987"/>
        <w:spacing w:after="0" w:line="271"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The Company may update the allocation schedules attached to this Agreement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to reflect (i) any correction of any mis-calculations or other error in the amounts shown therein, (ii) the additional accrual of interest on convertible securities following the date hereof, (iii) the issuance of Pre-Closing Company Units permitted by the terms of this Agreement or (iv) an election by the Company to receive, as part of the Closing Date Equity Contribution, a number of Post-Closing ACT Class A Shares in lieu of shares of Post-Closing ACT Class B Shares, in each case, not later than five (5) Business Days prior to the Closing Date. At the Closing, ACT shall contribute to the Company the Closing Date Contribution Amount and, in consideration thereof, the Company shall issue to ACT a number of Post-Closing Company Class A Units, calculated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updated, if applicable), free and clear of all Liens other than restrictions pursuant to the Company’s Governing Documents, applicable Securities Laws, this Agreement and the Ancillary Documents.</w:t>
      </w:r>
    </w:p>
    <w:p>
      <w:pPr>
        <w:spacing w:after="0" w:line="178" w:lineRule="exact"/>
        <w:rPr>
          <w:rFonts w:ascii="Arial" w:cs="Arial" w:eastAsia="Arial" w:hAnsi="Arial"/>
          <w:sz w:val="17"/>
          <w:szCs w:val="17"/>
          <w:color w:val="auto"/>
        </w:rPr>
      </w:pPr>
    </w:p>
    <w:p>
      <w:pPr>
        <w:ind w:left="4" w:right="100" w:firstLine="987"/>
        <w:spacing w:after="0" w:line="270" w:lineRule="auto"/>
        <w:tabs>
          <w:tab w:leader="none" w:pos="12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At the Closing, ACT shall contribute to the Company the number of shares of Post-Closing ACT Class A Shares (to the extent elected by the Company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Post-Closing ACT Class B Shares and Post-Closing ACT Class D Shares, in each case, as set forth on the allocation schedule attached to this Agreement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(as may be updated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free and clear of all Liens other than restrictions pursuant to ACT’s Governing Documents (the “</w:t>
      </w:r>
      <w:r>
        <w:rPr>
          <w:rFonts w:ascii="Arial" w:cs="Arial" w:eastAsia="Arial" w:hAnsi="Arial"/>
          <w:sz w:val="17"/>
          <w:szCs w:val="17"/>
          <w:u w:val="single" w:color="auto"/>
          <w:color w:val="auto"/>
        </w:rPr>
        <w:t>Closing Date Equity Contribution</w:t>
      </w:r>
      <w:r>
        <w:rPr>
          <w:rFonts w:ascii="Arial" w:cs="Arial" w:eastAsia="Arial" w:hAnsi="Arial"/>
          <w:sz w:val="17"/>
          <w:szCs w:val="17"/>
          <w:color w:val="auto"/>
        </w:rPr>
        <w:t>” and, such shares, the “</w:t>
      </w:r>
      <w:r>
        <w:rPr>
          <w:rFonts w:ascii="Arial" w:cs="Arial" w:eastAsia="Arial" w:hAnsi="Arial"/>
          <w:sz w:val="17"/>
          <w:szCs w:val="17"/>
          <w:u w:val="single" w:color="auto"/>
          <w:color w:val="auto"/>
        </w:rPr>
        <w:t>Contributed ACT Shares</w:t>
      </w:r>
      <w:r>
        <w:rPr>
          <w:rFonts w:ascii="Arial" w:cs="Arial" w:eastAsia="Arial" w:hAnsi="Arial"/>
          <w:sz w:val="17"/>
          <w:szCs w:val="17"/>
          <w:color w:val="auto"/>
        </w:rPr>
        <w:t>”). Immediately following the Closing Date Equity Contribution, the Company shall distribute the Contributed ACT Shares to the holders of the Pre-Closing Company Common Units in accordance with the terms of the Post-Closing Company LLC Agreement (the “</w:t>
      </w:r>
      <w:r>
        <w:rPr>
          <w:rFonts w:ascii="Arial" w:cs="Arial" w:eastAsia="Arial" w:hAnsi="Arial"/>
          <w:sz w:val="17"/>
          <w:szCs w:val="17"/>
          <w:u w:val="single" w:color="auto"/>
          <w:color w:val="auto"/>
        </w:rPr>
        <w:t>Special Equity Distribution</w:t>
      </w:r>
      <w:r>
        <w:rPr>
          <w:rFonts w:ascii="Arial" w:cs="Arial" w:eastAsia="Arial" w:hAnsi="Arial"/>
          <w:sz w:val="17"/>
          <w:szCs w:val="17"/>
          <w:color w:val="auto"/>
        </w:rPr>
        <w:t>”). Following the Special Equity Distribution, ACT shall make appropriate book entries to the accounts (as designated in writing by the applicable Pre-Closing Company Members at least five (5) Business Days prior to Closing) evidencing the ownership by the applicable Pre-Closing Company Members of the Contributed ACT Shares.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41" w:name="page42"/>
    <w:bookmarkEnd w:id="41"/>
    <w:p>
      <w:pPr>
        <w:ind w:right="60" w:firstLine="987"/>
        <w:spacing w:after="0" w:line="26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Closing, ACT shall pay or cause to be paid by wire transfer of immediately available funds (i) all documented out-of-pocket fees, expenses and disbursements of the Company for outside counsel and, to the extent required to be paid or reimbursed by the Company, of the Post-Closing Company Members for outside counsel, in each case, incurred in connection with the transactions contemplated by this Agreement and the Ancillary Documents and fees and expenses of the Company for any other agents, advisors, consultants, experts and financial advisors employed by the Company incurred in connection with the transactions contemplated by this Agreement and the Ancillary Documents and (ii) subject to the terms of the Sponsor Letter Agreement, all reasonable, documented out-of-pocket fees, expenses and disbursements of ACT or the ACT Sponsor for outside counsel and fees and expenses of ACT or the ACT Sponsor for any other agents, advisors, consultants, experts and financial advisors employed by or on behalf of ACT or the ACT Sponsor incurred in connection with the transactions contemplated by this Agreement and the Ancillary Documents, in each case of clauses (i) and (ii), pursuant to the written instruction of the Company received no later than three (3) Business Days prior to the Closing (along with reasonably detailed supporting documentation).</w:t>
      </w:r>
    </w:p>
    <w:p>
      <w:pPr>
        <w:spacing w:after="0" w:line="185" w:lineRule="exact"/>
        <w:rPr>
          <w:rFonts w:ascii="Arial" w:cs="Arial" w:eastAsia="Arial" w:hAnsi="Arial"/>
          <w:sz w:val="17"/>
          <w:szCs w:val="17"/>
          <w:color w:val="auto"/>
        </w:rPr>
      </w:pPr>
    </w:p>
    <w:p>
      <w:pPr>
        <w:ind w:right="60" w:firstLine="987"/>
        <w:spacing w:after="0" w:line="290" w:lineRule="auto"/>
        <w:tabs>
          <w:tab w:leader="none" w:pos="12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If, between the date of this Agreement and the Closing, the outstanding Pre-Closing ACT Shares shall have been changed into a different number of shares or a different class, by reason of any stock dividend, change to capitalization, subdivision, reclassification, recapitalization, split, combination or exchange of shares, or any similar event shall have occurred, then any number, value (including dollar value) or amount contained herein which is based upon the number of Pre-Closing ACT Shares will be appropriately adjusted to provide to the Pre-Closing Company Members and ACT the same economic effect as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shall not (i) be construed to permit ACT or the Company to take any action with respect to their respective Equity Securities that is prohibited by the terms and conditions of this Agreement, or (ii)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6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Closing of the Transactions Contemplated by this Agreement</w:t>
      </w:r>
      <w:r>
        <w:rPr>
          <w:rFonts w:ascii="Arial" w:cs="Arial" w:eastAsia="Arial" w:hAnsi="Arial"/>
          <w:sz w:val="18"/>
          <w:szCs w:val="18"/>
          <w:color w:val="auto"/>
        </w:rPr>
        <w:t>. The closing of the transactions contemplated by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electronically by exchange of the closing deliverables by the means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satisfaction or waiver of such conditions) (the date upon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place, date and/or time as ACT and the Company may agree in writing.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Earnout</w:t>
      </w:r>
      <w:r>
        <w:rPr>
          <w:rFonts w:ascii="Arial" w:cs="Arial" w:eastAsia="Arial" w:hAnsi="Arial"/>
          <w:sz w:val="18"/>
          <w:szCs w:val="18"/>
          <w:color w:val="auto"/>
        </w:rPr>
        <w:t>.</w:t>
      </w:r>
    </w:p>
    <w:p>
      <w:pPr>
        <w:spacing w:after="0" w:line="121" w:lineRule="exact"/>
        <w:rPr>
          <w:sz w:val="20"/>
          <w:szCs w:val="20"/>
          <w:color w:val="auto"/>
        </w:rPr>
      </w:pPr>
    </w:p>
    <w:p>
      <w:pPr>
        <w:ind w:right="380" w:firstLine="987"/>
        <w:spacing w:after="0" w:line="259"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Upon the occurrence of the First Earnout Triggering Event, (i) ACT shall issue to the Earnout Participants, the First ACT Earnout Tranche, allocated among the Earnout Participants in the amount and class of Post-Closing ACT Shares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and (ii) the Company shall issue to the Earnout Participants, the First Company Earnout Tranche, allocated among the Earnout Participants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 w:name="page43"/>
    <w:bookmarkEnd w:id="42"/>
    <w:p>
      <w:pPr>
        <w:ind w:firstLine="987"/>
        <w:spacing w:after="0" w:line="259"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occurrence of the Second Earnout Triggering Event, (i) ACT shall issue to the Earnout Participants, the Second ACT Earnout Tranche, allocated among the Earnout Participants in the amount and class of Post-Closing ACT Shares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and (ii) the Company shall issue to the Earnout Participants, the Second Company Earnout Tranche, allocated among the Earnout Participants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87"/>
        <w:spacing w:after="0" w:line="254"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All Post-Closing ACT Shares issued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(i) will be duly authorized, validly issued, fully paid and nonassessable, (ii) will have been issued in compliance with applicable Law, including Securities Laws, in each case, under this clause (ii), in all material respects and (iii) will not have been issued in breach or violation of any preemptive rights or Contract to which ACT is a party or bound, in each case, under this clause (iii), in any material respect. All Post-Closing Company Units (A) will be duly authorized and validly issued, (B) will have been issued in compliance with applicable Law, including Securities Laws, in each case, under this clause (B), in all material respects and (C) will not have been issued in breach or violation of any preemptive rights or Contract to which the Company is a party or bound, in each case, under this clause (C), in any material respect.</w:t>
      </w:r>
    </w:p>
    <w:p>
      <w:pPr>
        <w:spacing w:after="0" w:line="194"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If, prior to the issuance of any Post-Closing ACT Shares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issued and outstanding Post-Closing ACT Shares shall have been changed into a different number of shares or a different class, by reason of any stock dividend, change to capitalization, subdivision, reclassification, recapitalization, split, combination or exchange of shares, or any similar event shall have occurred, then the number of Post-Closing Act Shares issuable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will be equitably adjusted to provide to the Earnout Participants the same economic effect as contemplated by this Agreement. If, prior to the issuance of any Post-Closing Company Units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issued and outstanding Post-Closing Company Units shall have been changed into a different number of shares or a different class, by reason of any unit distribution, change to capitalization, subdivision, reclassification, recapitalization, split, combination or exchange of units, or any similar event shall have occurred, then the number of Post-Closing Company Units issuable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will be equitably adjusted to provide to the Earnout Participants the same economic effect as contemplated by this Agreement.</w:t>
      </w:r>
    </w:p>
    <w:p>
      <w:pPr>
        <w:spacing w:after="0" w:line="177"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ACT and the Group Companies shall be entitled to deduct and withhold (or cause to be deducted and withheld)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amounts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 accordance with applicable Law (including through the request and provision of any statements, forms or other documents that may be required to reduce or eliminate any such deduction or withholding).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GROUP COMPANIES</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Except as set forth in the Company Disclosure Schedules (which shall only qualify the representations and warranties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the manner set forth in </w:t>
      </w:r>
      <w:r>
        <w:rPr>
          <w:rFonts w:ascii="Arial" w:cs="Arial" w:eastAsia="Arial" w:hAnsi="Arial"/>
          <w:sz w:val="16"/>
          <w:szCs w:val="16"/>
          <w:u w:val="single" w:color="auto"/>
          <w:color w:val="auto"/>
        </w:rPr>
        <w:t>Section 8.8</w:t>
      </w:r>
      <w:r>
        <w:rPr>
          <w:rFonts w:ascii="Arial" w:cs="Arial" w:eastAsia="Arial" w:hAnsi="Arial"/>
          <w:sz w:val="16"/>
          <w:szCs w:val="16"/>
          <w:color w:val="auto"/>
        </w:rPr>
        <w:t>), the Company hereby represents and warrants to ACT, as of the date of this Agreement and as of the Closing, as follows: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w:t>
      </w:r>
    </w:p>
    <w:p>
      <w:pPr>
        <w:spacing w:after="0" w:line="121" w:lineRule="exact"/>
        <w:rPr>
          <w:sz w:val="20"/>
          <w:szCs w:val="20"/>
          <w:color w:val="auto"/>
        </w:rPr>
      </w:pPr>
    </w:p>
    <w:p>
      <w:pPr>
        <w:ind w:right="240" w:firstLine="987"/>
        <w:spacing w:after="0" w:line="272"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of the Company Disclosure Schedules sets forth the jurisdiction of incorporation,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77" w:lineRule="exact"/>
        <w:rPr>
          <w:rFonts w:ascii="Arial" w:cs="Arial" w:eastAsia="Arial" w:hAnsi="Arial"/>
          <w:sz w:val="17"/>
          <w:szCs w:val="17"/>
          <w:color w:val="auto"/>
        </w:rPr>
      </w:pPr>
    </w:p>
    <w:p>
      <w:pPr>
        <w:ind w:right="100" w:firstLine="987"/>
        <w:spacing w:after="0" w:line="263"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have been made available to ACT, in each case, as amended and in effect as of the date of this Agreement. The Governing Documents of the Company are in full force and effect, and the Company is not in breach or violation of any provision set forth in its Governing Documents.</w:t>
      </w:r>
    </w:p>
    <w:p>
      <w:pPr>
        <w:spacing w:after="0" w:line="183" w:lineRule="exact"/>
        <w:rPr>
          <w:rFonts w:ascii="Arial" w:cs="Arial" w:eastAsia="Arial" w:hAnsi="Arial"/>
          <w:sz w:val="18"/>
          <w:szCs w:val="18"/>
          <w:color w:val="auto"/>
        </w:rPr>
      </w:pPr>
    </w:p>
    <w:p>
      <w:pPr>
        <w:ind w:right="20" w:firstLine="987"/>
        <w:spacing w:after="0" w:line="301" w:lineRule="auto"/>
        <w:tabs>
          <w:tab w:leader="none" w:pos="12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Capitalization of the Group Companies</w:t>
      </w:r>
      <w:r>
        <w:rPr>
          <w:rFonts w:ascii="Arial" w:cs="Arial" w:eastAsia="Arial" w:hAnsi="Arial"/>
          <w:sz w:val="18"/>
          <w:szCs w:val="18"/>
          <w:color w:val="auto"/>
        </w:rPr>
        <w:t>.</w:t>
      </w:r>
    </w:p>
    <w:p>
      <w:pPr>
        <w:spacing w:after="0" w:line="121" w:lineRule="exact"/>
        <w:rPr>
          <w:sz w:val="20"/>
          <w:szCs w:val="20"/>
          <w:color w:val="auto"/>
        </w:rPr>
      </w:pPr>
    </w:p>
    <w:p>
      <w:pPr>
        <w:ind w:right="220" w:firstLine="987"/>
        <w:spacing w:after="0" w:line="257"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Company Disclosure Schedules sets forth a true and complete statement, as of the date hereof, of (i) the number and class or series (as applicable) of all of the Pre-Closing Company Units issued and outstanding as of the date hereof and (ii) the identity of the Persons that are the record owners thereof. Except as set forth on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Company Disclosure Schedules, as of the date hereof, the Company does not have any issued and outstanding Equity Securities. All of the issued and outstanding Pre-Closing Company Units have been duly authorized and validly issued and are fully paid and non-assessable.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44" w:name="page45"/>
    <w:bookmarkEnd w:id="44"/>
    <w:p>
      <w:pPr>
        <w:ind w:left="-40" w:right="80" w:firstLine="987"/>
        <w:spacing w:after="0" w:line="290" w:lineRule="auto"/>
        <w:tabs>
          <w:tab w:leader="none" w:pos="1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Pre-Closing Company Units (i) were not issued in violation of the Governing Documents of the Company or any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as set forth on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of the Company Disclosure Schedules, the Company has no outstanding (A) equity appreciation, phantom equity or profit participation rights or (B)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65" w:lineRule="exact"/>
        <w:rPr>
          <w:rFonts w:ascii="Arial" w:cs="Arial" w:eastAsia="Arial" w:hAnsi="Arial"/>
          <w:sz w:val="16"/>
          <w:szCs w:val="16"/>
          <w:color w:val="auto"/>
        </w:rPr>
      </w:pPr>
    </w:p>
    <w:p>
      <w:pPr>
        <w:ind w:left="-40" w:firstLine="987"/>
        <w:spacing w:after="0" w:line="269" w:lineRule="auto"/>
        <w:tabs>
          <w:tab w:leader="none" w:pos="119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Except for the Hillman Exchange Agreement,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issued and outstanding or to acquire, repurchase or redeem any Equity Securities or securities convertible into or exchangeable for Equity Securities of the Subsidiaries of the Company. Except for the Hillman Exchange Agreement,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Pre-Closing Company Members may vote.</w:t>
      </w:r>
    </w:p>
    <w:p>
      <w:pPr>
        <w:spacing w:after="0" w:line="185" w:lineRule="exact"/>
        <w:rPr>
          <w:rFonts w:ascii="Arial" w:cs="Arial" w:eastAsia="Arial" w:hAnsi="Arial"/>
          <w:sz w:val="17"/>
          <w:szCs w:val="17"/>
          <w:color w:val="auto"/>
        </w:rPr>
      </w:pPr>
    </w:p>
    <w:p>
      <w:pPr>
        <w:ind w:left="-40" w:right="100" w:firstLine="987"/>
        <w:spacing w:after="0" w:line="277" w:lineRule="auto"/>
        <w:tabs>
          <w:tab w:leader="none" w:pos="1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of the Company Disclosure Schedules, there are no voting trusts, proxies or other Contracts with respect to the voting or transfer of the Pre-Closing Company Units between the Company and any other Person.</w:t>
      </w:r>
    </w:p>
    <w:p>
      <w:pPr>
        <w:spacing w:after="0" w:line="170" w:lineRule="exact"/>
        <w:rPr>
          <w:rFonts w:ascii="Arial" w:cs="Arial" w:eastAsia="Arial" w:hAnsi="Arial"/>
          <w:sz w:val="18"/>
          <w:szCs w:val="18"/>
          <w:color w:val="auto"/>
        </w:rPr>
      </w:pPr>
    </w:p>
    <w:p>
      <w:pPr>
        <w:ind w:left="-40" w:right="20" w:firstLine="987"/>
        <w:spacing w:after="0" w:line="263" w:lineRule="auto"/>
        <w:tabs>
          <w:tab w:leader="none" w:pos="1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83" w:lineRule="exact"/>
        <w:rPr>
          <w:rFonts w:ascii="Arial" w:cs="Arial" w:eastAsia="Arial" w:hAnsi="Arial"/>
          <w:sz w:val="18"/>
          <w:szCs w:val="18"/>
          <w:color w:val="auto"/>
        </w:rPr>
      </w:pPr>
    </w:p>
    <w:p>
      <w:pPr>
        <w:ind w:left="-40" w:right="100" w:firstLine="987"/>
        <w:spacing w:after="0" w:line="263" w:lineRule="auto"/>
        <w:tabs>
          <w:tab w:leader="none" w:pos="117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4" w:right="499" w:bottom="1440" w:gutter="0" w:footer="0" w:header="0"/>
        </w:sectPr>
      </w:pPr>
    </w:p>
    <w:bookmarkStart w:id="45" w:name="page46"/>
    <w:bookmarkEnd w:id="45"/>
    <w:p>
      <w:pPr>
        <w:ind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Company has the requisite limited liability company power and authority to execute and deliver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Ancillary Document to which it is (or, in the case of any Ancillary Document contemplated hereby to be entered into after the date of this Agreement, will be) a party, and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holders of a majority of the voting power of the issued and outstanding Pre-Closing Company Units pursuant to the Company Required Approval. Other than the Company Required Approval and the approval of the Company Board, no other corporate or equivalent action or proceeding on the part of the Company or the Pre-Closing Company Members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approval and adoption of this Agreement and the transactions contemplated hereby by holders of a majority of the voting power of the issued and outstanding Pre-Closing Company Units, as memorialized by an irrevocable written consent of Opal HoldCo delivered to ACT prior to the execution and delivery of this Agreement (the “</w:t>
      </w:r>
      <w:r>
        <w:rPr>
          <w:rFonts w:ascii="Arial" w:cs="Arial" w:eastAsia="Arial" w:hAnsi="Arial"/>
          <w:sz w:val="16"/>
          <w:szCs w:val="16"/>
          <w:u w:val="single" w:color="auto"/>
          <w:color w:val="auto"/>
        </w:rPr>
        <w:t>Company Required Approval</w:t>
      </w:r>
      <w:r>
        <w:rPr>
          <w:rFonts w:ascii="Arial" w:cs="Arial" w:eastAsia="Arial" w:hAnsi="Arial"/>
          <w:sz w:val="16"/>
          <w:szCs w:val="16"/>
          <w:color w:val="auto"/>
        </w:rPr>
        <w:t>”) is the only vote of the holders of any class or series of equity interests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Financial Statements; Undisclosed Liabilities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3"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made available to ACT a true and complete copy of the unaudited consolidated balance sheet of the Group Companies as of December 31, 2020 (the “</w:t>
      </w:r>
      <w:r>
        <w:rPr>
          <w:rFonts w:ascii="Arial" w:cs="Arial" w:eastAsia="Arial" w:hAnsi="Arial"/>
          <w:sz w:val="17"/>
          <w:szCs w:val="17"/>
          <w:u w:val="single" w:color="auto"/>
          <w:color w:val="auto"/>
        </w:rPr>
        <w:t>Latest Balance Sheet</w:t>
      </w:r>
      <w:r>
        <w:rPr>
          <w:rFonts w:ascii="Arial" w:cs="Arial" w:eastAsia="Arial" w:hAnsi="Arial"/>
          <w:sz w:val="17"/>
          <w:szCs w:val="17"/>
          <w:color w:val="auto"/>
        </w:rPr>
        <w:t>”), and the related unaudited consolidated statements of operations, members’ equity and cash flows of the Group Companies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which are attached as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Schedules. The Financial Statements (including the notes thereto, if applicable) (i) were prepared in accordance with GAAP applied on a consistent basis throughout the periods indicated (except as may be specifically indicated in the notes thereto) and (ii) fairly present, in all material respects, the consolidated financial position, results of operations and cash flows of the Group Companies for the period indicated therein.</w:t>
      </w:r>
    </w:p>
    <w:p>
      <w:pPr>
        <w:spacing w:after="0" w:line="177" w:lineRule="exact"/>
        <w:rPr>
          <w:rFonts w:ascii="Arial" w:cs="Arial" w:eastAsia="Arial" w:hAnsi="Arial"/>
          <w:sz w:val="17"/>
          <w:szCs w:val="17"/>
          <w:color w:val="auto"/>
        </w:rPr>
      </w:pPr>
    </w:p>
    <w:p>
      <w:pPr>
        <w:ind w:firstLine="987"/>
        <w:spacing w:after="0" w:line="259"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(i) as set forth on the Latest Balance Sheet (and the notes thereto), (ii) for Liabilities incurred in the ordinary course of business since the date of the Latest Balance Sheet (excluding any Liability directly or indirectly related to a breach of Contract, breach of warranty, tort, Proceeding or violation of, or non-compliance with Law), (iii) for Liabilities incurred in connection with the negotiation, preparation or execution of this Agreement or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46" w:name="page47"/>
    <w:bookmarkEnd w:id="46"/>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w:t>
      </w:r>
    </w:p>
    <w:p>
      <w:pPr>
        <w:ind w:left="4" w:hanging="4"/>
        <w:spacing w:after="0" w:line="281" w:lineRule="auto"/>
        <w:tabs>
          <w:tab w:leader="none" w:pos="3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executory obligations under Contracts (excluding any Liability directly or indirectly related to a breach of Contract), (v) that are expressly permitted pursuant to or incurred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5.1(b)(i)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Company Disclosure Schedules) and</w:t>
      </w:r>
    </w:p>
    <w:p>
      <w:pPr>
        <w:spacing w:after="0" w:line="1" w:lineRule="exact"/>
        <w:rPr>
          <w:rFonts w:ascii="Arial" w:cs="Arial" w:eastAsia="Arial" w:hAnsi="Arial"/>
          <w:sz w:val="16"/>
          <w:szCs w:val="16"/>
          <w:color w:val="auto"/>
        </w:rPr>
      </w:pPr>
    </w:p>
    <w:p>
      <w:pPr>
        <w:ind w:left="4" w:hanging="4"/>
        <w:spacing w:after="0" w:line="260" w:lineRule="auto"/>
        <w:tabs>
          <w:tab w:leader="none" w:pos="3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Liabilities that are not and would not reasonably be expected to be, individually or in the aggregate, material to the Group Companies, taken as a whole, no Group Company has any Liability.</w:t>
      </w:r>
    </w:p>
    <w:p>
      <w:pPr>
        <w:spacing w:after="0" w:line="185" w:lineRule="exact"/>
        <w:rPr>
          <w:rFonts w:ascii="Arial" w:cs="Arial" w:eastAsia="Arial" w:hAnsi="Arial"/>
          <w:sz w:val="18"/>
          <w:szCs w:val="18"/>
          <w:color w:val="auto"/>
        </w:rPr>
      </w:pPr>
    </w:p>
    <w:p>
      <w:pPr>
        <w:ind w:left="4" w:right="20" w:firstLine="987"/>
        <w:spacing w:after="0" w:line="273" w:lineRule="auto"/>
        <w:tabs>
          <w:tab w:leader="none" w:pos="12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77" w:lineRule="exact"/>
        <w:rPr>
          <w:rFonts w:ascii="Arial" w:cs="Arial" w:eastAsia="Arial" w:hAnsi="Arial"/>
          <w:sz w:val="17"/>
          <w:szCs w:val="17"/>
          <w:color w:val="auto"/>
        </w:rPr>
      </w:pPr>
    </w:p>
    <w:p>
      <w:pPr>
        <w:ind w:left="4" w:right="140" w:firstLine="987"/>
        <w:spacing w:after="0" w:line="287" w:lineRule="auto"/>
        <w:tabs>
          <w:tab w:leader="none" w:pos="12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of the Company Disclosure Schedules, since January 1, 2020, (i) as of the date hereof, no Group Company has received any written complaint, allegation, assertion or claim that there is (A) “significant deficiency” in the internal controls over financial reporting of the Group Companies, or (B) a “material weakness” in the internal controls over financial reporting of the Group Companies or</w:t>
      </w:r>
    </w:p>
    <w:p>
      <w:pPr>
        <w:spacing w:after="0" w:line="2" w:lineRule="exact"/>
        <w:rPr>
          <w:rFonts w:ascii="Arial" w:cs="Arial" w:eastAsia="Arial" w:hAnsi="Arial"/>
          <w:sz w:val="16"/>
          <w:szCs w:val="16"/>
          <w:color w:val="auto"/>
        </w:rPr>
      </w:pPr>
    </w:p>
    <w:p>
      <w:pPr>
        <w:ind w:left="4" w:right="300" w:hanging="4"/>
        <w:spacing w:after="0" w:line="260"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whether or not material, that involves management or other employees of the Group Companies who have a significant role in the internal controls over financial reporting of the Group Companies.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72"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Statement/Proxy Statement and the declaration of the effectiveness thereof by the SEC and (B) such reports under Section 13(a) or 15(d) of the Exchange Act as may be required in connection with this Agreement, the Ancillary Documents or the transactions contemplated hereby or thereby or (iii) any other consents, approvals, authorizations, designations, declarations, waivers or filings, the absence of which would not have a Company Material Adverse Effect.</w:t>
      </w:r>
    </w:p>
    <w:p>
      <w:pPr>
        <w:spacing w:after="0" w:line="177" w:lineRule="exact"/>
        <w:rPr>
          <w:rFonts w:ascii="Arial" w:cs="Arial" w:eastAsia="Arial" w:hAnsi="Arial"/>
          <w:sz w:val="17"/>
          <w:szCs w:val="17"/>
          <w:color w:val="auto"/>
        </w:rPr>
      </w:pPr>
    </w:p>
    <w:p>
      <w:pPr>
        <w:ind w:left="4" w:right="100" w:firstLine="987"/>
        <w:spacing w:after="0" w:line="259" w:lineRule="auto"/>
        <w:tabs>
          <w:tab w:leader="none" w:pos="12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47" w:name="page48"/>
    <w:bookmarkEnd w:id="4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as would not have a Company Material Adverse Effect.</w:t>
      </w:r>
    </w:p>
    <w:p>
      <w:pPr>
        <w:spacing w:after="0" w:line="157" w:lineRule="exact"/>
        <w:rPr>
          <w:sz w:val="20"/>
          <w:szCs w:val="20"/>
          <w:color w:val="auto"/>
        </w:rPr>
      </w:pPr>
    </w:p>
    <w:p>
      <w:pPr>
        <w:ind w:right="480" w:firstLine="440"/>
        <w:spacing w:after="0" w:line="274"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Each of the Group Companies has all Permits (the “</w:t>
      </w:r>
      <w:r>
        <w:rPr>
          <w:rFonts w:ascii="Arial" w:cs="Arial" w:eastAsia="Arial" w:hAnsi="Arial"/>
          <w:sz w:val="17"/>
          <w:szCs w:val="17"/>
          <w:u w:val="single" w:color="auto"/>
          <w:color w:val="auto"/>
        </w:rPr>
        <w:t>Material Permits</w:t>
      </w:r>
      <w:r>
        <w:rPr>
          <w:rFonts w:ascii="Arial" w:cs="Arial" w:eastAsia="Arial" w:hAnsi="Arial"/>
          <w:sz w:val="17"/>
          <w:szCs w:val="17"/>
          <w:color w:val="auto"/>
        </w:rPr>
        <w:t>”) that are required to own, lease or operate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(ii) there are no Proceedings pending or threatened in writing that would reasonably be expected to result in the revocation, cancellation or termination of any Material Permit and (iii) no written notice of revocation, cancellation or termination of any Material Permit has been received by any Group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301"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Schedules sets forth a list of the following Contracts (other than Company Employee Benefit Plans) to which a Group Company is, as of the date of this Agreement, a party or by which any of their respective assets are bound and that are not expired or have not been terminated, and excluding any Contract pursuant to which the Company has no material outstanding or executory obligations or Liabilities (each Contract required to be set forth on </w:t>
      </w: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Schedules,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980" w:right="560" w:firstLine="408"/>
        <w:spacing w:after="0" w:line="277" w:lineRule="auto"/>
        <w:tabs>
          <w:tab w:leader="none" w:pos="15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relating to Indebtedness for borrowed money of any Group Company or to the placing of a Lien (other than a Permitted Lien) on any material asset or property of any Group Company;</w:t>
      </w:r>
    </w:p>
    <w:p>
      <w:pPr>
        <w:spacing w:after="0" w:line="62" w:lineRule="exact"/>
        <w:rPr>
          <w:rFonts w:ascii="Arial" w:cs="Arial" w:eastAsia="Arial" w:hAnsi="Arial"/>
          <w:sz w:val="18"/>
          <w:szCs w:val="18"/>
          <w:color w:val="auto"/>
        </w:rPr>
      </w:pPr>
    </w:p>
    <w:p>
      <w:pPr>
        <w:ind w:left="980" w:right="200" w:firstLine="408"/>
        <w:spacing w:after="0" w:line="263" w:lineRule="auto"/>
        <w:tabs>
          <w:tab w:leader="none" w:pos="16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$5,000,000;</w:t>
      </w:r>
    </w:p>
    <w:p>
      <w:pPr>
        <w:spacing w:after="0" w:line="75" w:lineRule="exact"/>
        <w:rPr>
          <w:rFonts w:ascii="Arial" w:cs="Arial" w:eastAsia="Arial" w:hAnsi="Arial"/>
          <w:sz w:val="18"/>
          <w:szCs w:val="18"/>
          <w:color w:val="auto"/>
        </w:rPr>
      </w:pPr>
    </w:p>
    <w:p>
      <w:pPr>
        <w:ind w:left="980" w:right="100" w:firstLine="408"/>
        <w:spacing w:after="0" w:line="263" w:lineRule="auto"/>
        <w:tabs>
          <w:tab w:leader="none" w:pos="16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$5,000,000;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8" w:name="page49"/>
    <w:bookmarkEnd w:id="48"/>
    <w:p>
      <w:pPr>
        <w:ind w:left="-20" w:right="260" w:firstLine="408"/>
        <w:spacing w:after="0" w:line="257" w:lineRule="auto"/>
        <w:tabs>
          <w:tab w:leader="none" w:pos="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annually or (B) other Contract with respect to material Company Licensed Intellectual Property (other than any Non-Scheduled Contract);</w:t>
      </w:r>
    </w:p>
    <w:p>
      <w:pPr>
        <w:spacing w:after="0" w:line="79" w:lineRule="exact"/>
        <w:rPr>
          <w:rFonts w:ascii="Arial" w:cs="Arial" w:eastAsia="Arial" w:hAnsi="Arial"/>
          <w:sz w:val="18"/>
          <w:szCs w:val="18"/>
          <w:color w:val="auto"/>
        </w:rPr>
      </w:pPr>
    </w:p>
    <w:p>
      <w:pPr>
        <w:ind w:left="-20" w:right="360" w:firstLine="408"/>
        <w:spacing w:after="0" w:line="277"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requiring any future capital commitment or capital expenditure (or series of capital expenditures) by any Group Company in an amount in excess of $5,000,000 annually;</w:t>
      </w:r>
    </w:p>
    <w:p>
      <w:pPr>
        <w:spacing w:after="0" w:line="62" w:lineRule="exact"/>
        <w:rPr>
          <w:rFonts w:ascii="Arial" w:cs="Arial" w:eastAsia="Arial" w:hAnsi="Arial"/>
          <w:sz w:val="18"/>
          <w:szCs w:val="18"/>
          <w:color w:val="auto"/>
        </w:rPr>
      </w:pPr>
    </w:p>
    <w:p>
      <w:pPr>
        <w:ind w:left="-20" w:right="80" w:firstLine="408"/>
        <w:spacing w:after="0" w:line="263" w:lineRule="auto"/>
        <w:tabs>
          <w:tab w:leader="none" w:pos="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$5,000,000 annually;</w:t>
      </w:r>
    </w:p>
    <w:p>
      <w:pPr>
        <w:spacing w:after="0" w:line="75" w:lineRule="exact"/>
        <w:rPr>
          <w:rFonts w:ascii="Arial" w:cs="Arial" w:eastAsia="Arial" w:hAnsi="Arial"/>
          <w:sz w:val="18"/>
          <w:szCs w:val="18"/>
          <w:color w:val="auto"/>
        </w:rPr>
      </w:pPr>
    </w:p>
    <w:p>
      <w:pPr>
        <w:ind w:left="-20" w:right="20" w:firstLine="408"/>
        <w:spacing w:after="0" w:line="259"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(other than another Group Company) outside of the ordinary course of business or, individually or in the aggregate, in an amount in excess of $5,000,000 or made any capital contribution to, or other investment in, any Person (other than another Group Company);</w:t>
      </w:r>
    </w:p>
    <w:p>
      <w:pPr>
        <w:spacing w:after="0" w:line="78" w:lineRule="exact"/>
        <w:rPr>
          <w:rFonts w:ascii="Arial" w:cs="Arial" w:eastAsia="Arial" w:hAnsi="Arial"/>
          <w:sz w:val="18"/>
          <w:szCs w:val="18"/>
          <w:color w:val="auto"/>
        </w:rPr>
      </w:pPr>
    </w:p>
    <w:p>
      <w:pPr>
        <w:ind w:left="800" w:hanging="41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CBA;</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17" w:lineRule="exact"/>
        <w:rPr>
          <w:rFonts w:ascii="Arial" w:cs="Arial" w:eastAsia="Arial" w:hAnsi="Arial"/>
          <w:sz w:val="18"/>
          <w:szCs w:val="18"/>
          <w:color w:val="auto"/>
        </w:rPr>
      </w:pPr>
    </w:p>
    <w:p>
      <w:pPr>
        <w:ind w:left="-20" w:firstLine="408"/>
        <w:spacing w:after="0" w:line="275"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Contract with any Person (A) pursuant to which any Group Company (or ACT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Intellectual Property Right;</w:t>
      </w:r>
    </w:p>
    <w:p>
      <w:pPr>
        <w:spacing w:after="0" w:line="68" w:lineRule="exact"/>
        <w:rPr>
          <w:rFonts w:ascii="Arial" w:cs="Arial" w:eastAsia="Arial" w:hAnsi="Arial"/>
          <w:sz w:val="17"/>
          <w:szCs w:val="17"/>
          <w:color w:val="auto"/>
        </w:rPr>
      </w:pPr>
    </w:p>
    <w:p>
      <w:pPr>
        <w:ind w:left="-20" w:right="140" w:firstLine="408"/>
        <w:spacing w:after="0" w:line="308" w:lineRule="auto"/>
        <w:tabs>
          <w:tab w:leader="none" w:pos="6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Contract providing for any Company Change of Control Payment, and any additional employment or similar Contract with any employee, director or officer of any Group Company that provides for annual base compensation in excess of $400,000;</w:t>
      </w:r>
    </w:p>
    <w:p>
      <w:pPr>
        <w:spacing w:after="0" w:line="38" w:lineRule="exact"/>
        <w:rPr>
          <w:rFonts w:ascii="Arial" w:cs="Arial" w:eastAsia="Arial" w:hAnsi="Arial"/>
          <w:sz w:val="17"/>
          <w:szCs w:val="17"/>
          <w:color w:val="auto"/>
        </w:rPr>
      </w:pPr>
    </w:p>
    <w:p>
      <w:pPr>
        <w:ind w:left="-20" w:right="240" w:firstLine="408"/>
        <w:spacing w:after="0" w:line="259"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00"/>
          </w:cols>
          <w:pgMar w:left="1440" w:top="274" w:right="459" w:bottom="1440" w:gutter="0" w:footer="0" w:header="0"/>
        </w:sectPr>
      </w:pPr>
    </w:p>
    <w:bookmarkStart w:id="49" w:name="page50"/>
    <w:bookmarkEnd w:id="49"/>
    <w:p>
      <w:pPr>
        <w:jc w:val="both"/>
        <w:ind w:left="980" w:right="80" w:firstLine="408"/>
        <w:spacing w:after="0" w:line="263" w:lineRule="auto"/>
        <w:tabs>
          <w:tab w:leader="none" w:pos="1786"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settlement, conciliation or similar Contract (A) requiring monetary payments by any Group Company after the date of this Agreement, (B) with a Governmental Entity or (C) that imposes any material, non-monetary obligations on any Group Company (or ACT or any of its Affiliates after the Closing);</w:t>
      </w:r>
    </w:p>
    <w:p>
      <w:pPr>
        <w:spacing w:after="0" w:line="75" w:lineRule="exact"/>
        <w:rPr>
          <w:rFonts w:ascii="Arial" w:cs="Arial" w:eastAsia="Arial" w:hAnsi="Arial"/>
          <w:sz w:val="18"/>
          <w:szCs w:val="18"/>
          <w:color w:val="auto"/>
        </w:rPr>
      </w:pPr>
    </w:p>
    <w:p>
      <w:pPr>
        <w:ind w:left="980" w:right="40" w:firstLine="408"/>
        <w:spacing w:after="0" w:line="286" w:lineRule="auto"/>
        <w:tabs>
          <w:tab w:leader="none" w:pos="17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Contract involving aggregate consideration to or from the Company in excess of $5,000,000 and relating to the purchase or sale of natural gas (including renewable natural gas), electric energy, capacity, ancillary services and/or renewable energy certificates or credits based on the output of any electric generation facility or renewable natural gas facility;</w:t>
      </w:r>
    </w:p>
    <w:p>
      <w:pPr>
        <w:spacing w:after="0" w:line="57" w:lineRule="exact"/>
        <w:rPr>
          <w:rFonts w:ascii="Arial" w:cs="Arial" w:eastAsia="Arial" w:hAnsi="Arial"/>
          <w:sz w:val="17"/>
          <w:szCs w:val="17"/>
          <w:color w:val="auto"/>
        </w:rPr>
      </w:pPr>
    </w:p>
    <w:p>
      <w:pPr>
        <w:ind w:left="1740" w:hanging="352"/>
        <w:spacing w:after="0"/>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Contract that provides for the interconnection of any electric generation or renewable natural gas facility; and</w:t>
      </w:r>
    </w:p>
    <w:p>
      <w:pPr>
        <w:spacing w:after="0" w:line="117" w:lineRule="exact"/>
        <w:rPr>
          <w:rFonts w:ascii="Arial" w:cs="Arial" w:eastAsia="Arial" w:hAnsi="Arial"/>
          <w:sz w:val="18"/>
          <w:szCs w:val="18"/>
          <w:color w:val="auto"/>
        </w:rPr>
      </w:pPr>
    </w:p>
    <w:p>
      <w:pPr>
        <w:ind w:left="980" w:right="100" w:firstLine="408"/>
        <w:spacing w:after="0" w:line="342" w:lineRule="auto"/>
        <w:tabs>
          <w:tab w:leader="none" w:pos="177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other Contract involving aggregate consideration to or from any Group Company in excess of $5,000,000 annually and, in each case, that is not terminable by the applicable Group Company without penalty upon less than thirty (30) days’ prior written notice.</w:t>
      </w:r>
    </w:p>
    <w:p>
      <w:pPr>
        <w:spacing w:after="0" w:line="123" w:lineRule="exact"/>
        <w:rPr>
          <w:rFonts w:ascii="Arial" w:cs="Arial" w:eastAsia="Arial" w:hAnsi="Arial"/>
          <w:sz w:val="16"/>
          <w:szCs w:val="16"/>
          <w:color w:val="auto"/>
        </w:rPr>
      </w:pPr>
    </w:p>
    <w:p>
      <w:pPr>
        <w:ind w:firstLine="987"/>
        <w:spacing w:after="0" w:line="288"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breach of, or default under, any Material Contract and (iii) no event has occurred that (with or without due notice or lapse of time or both) would result in a breach of, or default under, any Material Contract by the applicable Group Company or, to the Company’s knowledge, the counterparties thereto, in each case, except as would not have a Company Material Adverse Effect. The Company has made available to ACT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64"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u w:val="single" w:color="auto"/>
          <w:color w:val="auto"/>
        </w:rPr>
        <w:t>Absence of Changes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since June 30, 2021, (a) no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and (ii) no Group Company has taken any action that would require the consent of ACT if taken during the period from the date of this Agreement until the Closing pursuant to </w:t>
      </w:r>
      <w:r>
        <w:rPr>
          <w:rFonts w:ascii="Arial" w:cs="Arial" w:eastAsia="Arial" w:hAnsi="Arial"/>
          <w:sz w:val="17"/>
          <w:szCs w:val="17"/>
          <w:u w:val="single" w:color="auto"/>
          <w:color w:val="auto"/>
        </w:rPr>
        <w:t>Section 5.1(b)(i)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5.1(b)(iv)(A)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5.1(b)(viii), Section 5.1(b)(ix)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5.1(b)(xxi)</w:t>
      </w:r>
      <w:r>
        <w:rPr>
          <w:rFonts w:ascii="Arial" w:cs="Arial" w:eastAsia="Arial" w:hAnsi="Arial"/>
          <w:sz w:val="17"/>
          <w:szCs w:val="17"/>
          <w:color w:val="auto"/>
        </w:rPr>
        <w:t xml:space="preserve"> (to the extent related to any of the foregoing).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0" w:name="page51"/>
    <w:bookmarkEnd w:id="50"/>
    <w:p>
      <w:pPr>
        <w:ind w:right="10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since January 1, 2019, there has been 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Proceeding by any counterparty not a Party pending or, to the Company’s knowledge, threatened against or involving any Group Company or, to the Company’s knowledge, pending or threatened against or involving any Group Company’s managers, officers, directors or employees (in their capacity as such), except, in each case, as is not and would not reasonably be expected to be, individually or in the aggregate, material to the Group Companies, taken as a whole. To the Company’s knowledge, neither the Group Companies nor any of their respective properties or assets is subject to any material Order, except as set forth on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of the Company Disclosure Schedules. Since January 1, 2019, there have been no material Proceedings by a Group Company pending against any other Person.</w:t>
      </w:r>
    </w:p>
    <w:p>
      <w:pPr>
        <w:spacing w:after="0" w:line="17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each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conducts (and since January 1, 2019 has conducted) its business 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91"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Schedules sets forth a true and complete list of all material Company Employee Benefit Plans (including, for each such Company Employee Benefit Plan, its jurisdiction). With respect to each material Company Employee Benefit Plan, the Group Companies have provided ACT with true and complete copies of the following, as applicable: (i) the governing plan document, including all amendments thereto, and all related trust documents and funding instruments, including any group contracts and insurance policies; (ii) a written summary of the material terms of any Company Employee Benefit Plan that is not set forth in a written document; (iii) the most recent summary plan description together with any summary or summaries of material modifications thereto; (iv) the most recent determination or opinion letter; and (v) the most recently filed annual reports (Form 5500 series and all schedules and financial statements attached thereto).</w:t>
      </w:r>
    </w:p>
    <w:p>
      <w:pPr>
        <w:spacing w:after="0" w:line="166" w:lineRule="exact"/>
        <w:rPr>
          <w:rFonts w:ascii="Arial" w:cs="Arial" w:eastAsia="Arial" w:hAnsi="Arial"/>
          <w:sz w:val="16"/>
          <w:szCs w:val="16"/>
          <w:color w:val="auto"/>
        </w:rPr>
      </w:pPr>
    </w:p>
    <w:p>
      <w:pPr>
        <w:ind w:right="60" w:firstLine="987"/>
        <w:spacing w:after="0" w:line="272" w:lineRule="auto"/>
        <w:tabs>
          <w:tab w:leader="none" w:pos="12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group health plan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51" w:name="page52"/>
    <w:bookmarkEnd w:id="51"/>
    <w:p>
      <w:pPr>
        <w:jc w:val="both"/>
        <w:ind w:right="200" w:firstLine="987"/>
        <w:spacing w:after="0" w:line="301"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Employee Benefit Plan that is intended to be qualified under Section 401(a) of the Code is so qualified and has either timely received a favorable determination letter from the Internal Revenue Service or is based on a preapproved plan document that is the subject of a favorable opinion letter from the Internal Revenue Service upon which the Group Companies may rely. None of the Group Companies has incurred (whether or not assessed) any material penalty or Tax under Section 4980H, 4980B, 4980D, 6721 or 6722 of the Code.</w:t>
      </w:r>
    </w:p>
    <w:p>
      <w:pPr>
        <w:spacing w:after="0" w:line="157" w:lineRule="exact"/>
        <w:rPr>
          <w:rFonts w:ascii="Arial" w:cs="Arial" w:eastAsia="Arial" w:hAnsi="Arial"/>
          <w:sz w:val="16"/>
          <w:szCs w:val="16"/>
          <w:color w:val="auto"/>
        </w:rPr>
      </w:pPr>
    </w:p>
    <w:p>
      <w:pPr>
        <w:ind w:right="220" w:firstLine="987"/>
        <w:spacing w:after="0" w:line="301"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Company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Company Employee Benefit Plan is or has been subject to any interest or additional Tax set forth under Section 409A(a)(1)(B) of the Code.</w:t>
      </w:r>
    </w:p>
    <w:p>
      <w:pPr>
        <w:spacing w:after="0" w:line="157" w:lineRule="exact"/>
        <w:rPr>
          <w:rFonts w:ascii="Arial" w:cs="Arial" w:eastAsia="Arial" w:hAnsi="Arial"/>
          <w:sz w:val="16"/>
          <w:szCs w:val="16"/>
          <w:color w:val="auto"/>
        </w:rPr>
      </w:pPr>
    </w:p>
    <w:p>
      <w:pPr>
        <w:ind w:right="100" w:firstLine="987"/>
        <w:spacing w:after="0" w:line="272"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is no pending or, to the Company’s knowledge, threatened in writing, material claims or Proceedings with respect to any Company Employee Benefit Plan (other than routine claims for benefits). There have been no non-exempt “prohibited transactions” within the meaning of Section 4975 of the Code or Sections 406 or 407 of ERISA and no breaches of fiduciary duty (as determined under ERISA) with respect to any Company Employee Benefit Plan that have resulted in or could reasonably be expected to result in a material Liability to any Group Company imposed under Section 502(i) or (l) of ERISA or Section 4975 of the Code. With respect to each Company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20" w:firstLine="987"/>
        <w:spacing w:after="0" w:line="253"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transactions contemplated by this Agreement could not (alone or in combination with any other event, including but not limited to a termination of employment) (i) result in any additional termination payment or severance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under any Company Employee Benefit Plan to any current or former director, manager, officer, employee, individual independent contractor or other service providers of any of the Group Companies, (iii) result in the acceleration of the time of payment or vesting, or trigger any payment or funding of any compensation or benefits under any Company Employee Benefit Plan to any current or former director, manager, officer, employee, individual independent contractor or other service providers of any of the Group Companies, or (iv) limit or restrict the right of any Group Company to merge, amend or terminate any Company Employee Benefit Plan (other than any limitations or restrictions that arise by operation of applicable Law).</w:t>
      </w:r>
    </w:p>
    <w:p>
      <w:pPr>
        <w:spacing w:after="0" w:line="194" w:lineRule="exact"/>
        <w:rPr>
          <w:rFonts w:ascii="Arial" w:cs="Arial" w:eastAsia="Arial" w:hAnsi="Arial"/>
          <w:sz w:val="18"/>
          <w:szCs w:val="18"/>
          <w:color w:val="auto"/>
        </w:rPr>
      </w:pPr>
    </w:p>
    <w:p>
      <w:pPr>
        <w:ind w:firstLine="987"/>
        <w:spacing w:after="0" w:line="257"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by any “disqualified individual” of any of the Group Companies under any Company Employee Benefit Plan or otherwise as a result of the consummation of the transactions contemplated by this Agreement could, separately or in the aggregate, result in any payment or benefit under any agreement with any of the Group Companies that could constitute the payment of any “excess parachute payment” within the meaning of Section 280G of the Code or result in the imposition of an excise Tax under Section 4999 of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52" w:name="page53"/>
    <w:bookmarkEnd w:id="52"/>
    <w:p>
      <w:pPr>
        <w:jc w:val="both"/>
        <w:ind w:left="-20" w:right="160" w:firstLine="987"/>
        <w:spacing w:after="0" w:line="263" w:lineRule="auto"/>
        <w:tabs>
          <w:tab w:leader="none" w:pos="122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have no material obligation to make a “gross-up” or similar payment or to otherwise reimburse any current or former director, manager, officer, employee, individual independent contractor or other service providers of any of the Group Companies in respect of any Taxes that may become payable under Section 4999 or 409A of the Code.</w:t>
      </w:r>
    </w:p>
    <w:p>
      <w:pPr>
        <w:spacing w:after="0" w:line="183" w:lineRule="exact"/>
        <w:rPr>
          <w:rFonts w:ascii="Arial" w:cs="Arial" w:eastAsia="Arial" w:hAnsi="Arial"/>
          <w:sz w:val="18"/>
          <w:szCs w:val="18"/>
          <w:color w:val="auto"/>
        </w:rPr>
      </w:pPr>
    </w:p>
    <w:p>
      <w:pPr>
        <w:ind w:left="-20" w:right="340" w:firstLine="987"/>
        <w:spacing w:after="0" w:line="273" w:lineRule="auto"/>
        <w:tabs>
          <w:tab w:leader="none" w:pos="118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Company Foreign Benefit Plan that is required to be registered or intended to be tax exempt has been registered (and, where applicable, accepted for registration) and is tax exempt and has been maintained in good standing, to the extent applicable, with each Governmental Entity. No Company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w:t>
      </w:r>
    </w:p>
    <w:p>
      <w:pPr>
        <w:spacing w:after="0" w:line="121" w:lineRule="exact"/>
        <w:rPr>
          <w:sz w:val="20"/>
          <w:szCs w:val="20"/>
          <w:color w:val="auto"/>
        </w:rPr>
      </w:pPr>
    </w:p>
    <w:p>
      <w:pPr>
        <w:ind w:left="-20" w:firstLine="987"/>
        <w:spacing w:after="0" w:line="272" w:lineRule="auto"/>
        <w:tabs>
          <w:tab w:leader="none" w:pos="12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Group Company is (and since January 1, 2019 has been) in compliance with all Environmental Laws, which compliance has included obtaining, maintaining and complying with all Permits that are required pursuant to Environmental Laws for the occupation of their facilities and the operation of the business, except as is not and would not reasonably be expected to be, individually or in the aggregate, material to the Group Companies, taken as a whole. Each Permit necessary for the Business or required under applicable Environmental Law has already been obtained by the Group Companies or, to the Knowledge of the Group Companies, will be obtained in due course and without unanticipated cost or adverse conditions prior to the time the same is required to be obtained under Environmental Law,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left="-20" w:right="60" w:firstLine="987"/>
        <w:spacing w:after="0" w:line="259" w:lineRule="auto"/>
        <w:tabs>
          <w:tab w:leader="none" w:pos="12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 in each case, since January 1, 2019 or that either remains pending or unresolved,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left="-20" w:right="40" w:firstLine="987"/>
        <w:spacing w:after="0" w:line="311" w:lineRule="auto"/>
        <w:tabs>
          <w:tab w:leader="none" w:pos="12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3.12(c)</w:t>
      </w:r>
      <w:r>
        <w:rPr>
          <w:rFonts w:ascii="Arial" w:cs="Arial" w:eastAsia="Arial" w:hAnsi="Arial"/>
          <w:sz w:val="16"/>
          <w:szCs w:val="16"/>
          <w:color w:val="auto"/>
        </w:rPr>
        <w:t xml:space="preserve"> of the Company Disclosure Schedules, there is (and since January 1, 2019 there has been) no Proceeding pending or, to the Company’s knowledge, threatened in writing against or involving any Group Company in respect of any Environmental Laws, except as is not and would not reasonably be expected to be, individually or in the aggregate, material to the Group Companies, taken as a whole.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4" w:right="479" w:bottom="1440" w:gutter="0" w:footer="0" w:header="0"/>
        </w:sectPr>
      </w:pPr>
    </w:p>
    <w:bookmarkStart w:id="53" w:name="page54"/>
    <w:bookmarkEnd w:id="53"/>
    <w:p>
      <w:pPr>
        <w:ind w:left="-60" w:right="60" w:firstLine="987"/>
        <w:spacing w:after="0" w:line="259" w:lineRule="auto"/>
        <w:tabs>
          <w:tab w:leader="none" w:pos="118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Section 3.12(d)</w:t>
      </w:r>
      <w:r>
        <w:rPr>
          <w:rFonts w:ascii="Arial" w:cs="Arial" w:eastAsia="Arial" w:hAnsi="Arial"/>
          <w:sz w:val="18"/>
          <w:szCs w:val="18"/>
          <w:color w:val="auto"/>
        </w:rPr>
        <w:t xml:space="preserve"> of the Company Disclosure Schedules, the Group Companies have not manufactured, released, treated, stored, disposed of, arranged for or permitted the disposal of, transported, handled, sold, distributed or exposed any Person to, any Hazardous Substance, and no current or former property or facility is or has been contaminated by any Hazardous Substance, in each case, so as to give rise to any material Liability pursuant to any Environmental Laws.</w:t>
      </w:r>
    </w:p>
    <w:p>
      <w:pPr>
        <w:spacing w:after="0" w:line="186" w:lineRule="exact"/>
        <w:rPr>
          <w:rFonts w:ascii="Arial" w:cs="Arial" w:eastAsia="Arial" w:hAnsi="Arial"/>
          <w:sz w:val="18"/>
          <w:szCs w:val="18"/>
          <w:color w:val="auto"/>
        </w:rPr>
      </w:pPr>
    </w:p>
    <w:p>
      <w:pPr>
        <w:ind w:left="-60" w:right="380" w:firstLine="987"/>
        <w:spacing w:after="0" w:line="277" w:lineRule="auto"/>
        <w:tabs>
          <w:tab w:leader="none" w:pos="1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Group Companies have not assumed, undertaken or provided an indemnity with respect to, or otherwise become subject to, a material Liability of any other Person under Environmental Laws.</w:t>
      </w:r>
    </w:p>
    <w:p>
      <w:pPr>
        <w:spacing w:after="0" w:line="170" w:lineRule="exact"/>
        <w:rPr>
          <w:rFonts w:ascii="Arial" w:cs="Arial" w:eastAsia="Arial" w:hAnsi="Arial"/>
          <w:sz w:val="18"/>
          <w:szCs w:val="18"/>
          <w:color w:val="auto"/>
        </w:rPr>
      </w:pPr>
    </w:p>
    <w:p>
      <w:pPr>
        <w:ind w:left="-60" w:right="120" w:firstLine="987"/>
        <w:spacing w:after="0" w:line="263" w:lineRule="auto"/>
        <w:tabs>
          <w:tab w:leader="none" w:pos="11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Group Companies have made available to ACT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left="-60" w:firstLine="987"/>
        <w:spacing w:after="0" w:line="296" w:lineRule="auto"/>
        <w:tabs>
          <w:tab w:leader="none" w:pos="117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Schedules lists, for each item of Company Registered Intellectual Property as of the date of this Agreement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61" w:lineRule="exact"/>
        <w:rPr>
          <w:rFonts w:ascii="Arial" w:cs="Arial" w:eastAsia="Arial" w:hAnsi="Arial"/>
          <w:sz w:val="16"/>
          <w:szCs w:val="16"/>
          <w:color w:val="auto"/>
        </w:rPr>
      </w:pPr>
    </w:p>
    <w:p>
      <w:pPr>
        <w:ind w:left="-60" w:right="20" w:firstLine="987"/>
        <w:spacing w:after="0" w:line="293" w:lineRule="auto"/>
        <w:tabs>
          <w:tab w:leader="none" w:pos="11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As of the date of this Agreement, no issuance or registration obtained and no application filed by the Group Companies for any material Intellectual Property Right has been cancelled, abandoned, allowed to lapse or not renewed.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164" w:lineRule="exact"/>
        <w:rPr>
          <w:rFonts w:ascii="Arial" w:cs="Arial" w:eastAsia="Arial" w:hAnsi="Arial"/>
          <w:sz w:val="16"/>
          <w:szCs w:val="16"/>
          <w:color w:val="auto"/>
        </w:rPr>
      </w:pPr>
    </w:p>
    <w:p>
      <w:pPr>
        <w:ind w:left="-60" w:right="100" w:firstLine="987"/>
        <w:spacing w:after="0" w:line="273" w:lineRule="auto"/>
        <w:tabs>
          <w:tab w:leader="none" w:pos="1176"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Owned Intellectual Property on anything other than a non-exclusive basis. </w:t>
      </w:r>
      <w:r>
        <w:rPr>
          <w:rFonts w:ascii="Arial" w:cs="Arial" w:eastAsia="Arial" w:hAnsi="Arial"/>
          <w:sz w:val="17"/>
          <w:szCs w:val="17"/>
          <w:u w:val="single" w:color="auto"/>
          <w:color w:val="auto"/>
        </w:rPr>
        <w:t>Section 3.13(c)</w:t>
      </w:r>
      <w:r>
        <w:rPr>
          <w:rFonts w:ascii="Arial" w:cs="Arial" w:eastAsia="Arial" w:hAnsi="Arial"/>
          <w:sz w:val="17"/>
          <w:szCs w:val="17"/>
          <w:color w:val="auto"/>
        </w:rPr>
        <w:t xml:space="preserve"> of the Company Disclosure Schedules sets forth a list of all current (i.e., not terminated or expired) Contracts for material Company Licensed Intellectual Property as of the date of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80"/>
          </w:cols>
          <w:pgMar w:left="500" w:top="274" w:right="519" w:bottom="1440" w:gutter="0" w:footer="0" w:header="0"/>
        </w:sectPr>
      </w:pPr>
    </w:p>
    <w:bookmarkStart w:id="54" w:name="page55"/>
    <w:bookmarkEnd w:id="54"/>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Arial" w:cs="Arial" w:eastAsia="Arial" w:hAnsi="Arial"/>
          <w:sz w:val="16"/>
          <w:szCs w:val="16"/>
          <w:u w:val="single" w:color="auto"/>
          <w:color w:val="auto"/>
        </w:rPr>
        <w:t>Non-Scheduled Contracts</w:t>
      </w:r>
      <w:r>
        <w:rPr>
          <w:rFonts w:ascii="Arial" w:cs="Arial" w:eastAsia="Arial" w:hAnsi="Arial"/>
          <w:sz w:val="16"/>
          <w:szCs w:val="16"/>
          <w:color w:val="auto"/>
        </w:rPr>
        <w:t>”): (A) Contracts for Off-the-Shelf Software, (B) Contracts for Public Software, (C) non-disclosure Contracts and</w:t>
      </w:r>
    </w:p>
    <w:p>
      <w:pPr>
        <w:spacing w:after="0" w:line="2" w:lineRule="exact"/>
        <w:rPr>
          <w:sz w:val="20"/>
          <w:szCs w:val="20"/>
          <w:color w:val="auto"/>
        </w:rPr>
      </w:pPr>
    </w:p>
    <w:p>
      <w:pPr>
        <w:ind w:left="4" w:right="20" w:hanging="4"/>
        <w:spacing w:after="0" w:line="267" w:lineRule="auto"/>
        <w:tabs>
          <w:tab w:leader="none" w:pos="2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Contracts with licenses granted by employees, individual consultants or individual contractors of any Group Company to a Group Company that do not materially differ from the Group Companies’ form therefor that has been made available to ACT.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82" w:lineRule="exact"/>
        <w:rPr>
          <w:rFonts w:ascii="Arial" w:cs="Arial" w:eastAsia="Arial" w:hAnsi="Arial"/>
          <w:sz w:val="17"/>
          <w:szCs w:val="17"/>
          <w:color w:val="auto"/>
        </w:rPr>
      </w:pPr>
    </w:p>
    <w:p>
      <w:pPr>
        <w:ind w:left="4" w:right="120" w:firstLine="987"/>
        <w:spacing w:after="0" w:line="293"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2019 (each such person, a “</w:t>
      </w:r>
      <w:r>
        <w:rPr>
          <w:rFonts w:ascii="Arial" w:cs="Arial" w:eastAsia="Arial" w:hAnsi="Arial"/>
          <w:sz w:val="16"/>
          <w:szCs w:val="16"/>
          <w:u w:val="single" w:color="auto"/>
          <w:color w:val="auto"/>
        </w:rPr>
        <w:t>Creator</w:t>
      </w:r>
      <w:r>
        <w:rPr>
          <w:rFonts w:ascii="Arial" w:cs="Arial" w:eastAsia="Arial" w:hAnsi="Arial"/>
          <w:sz w:val="16"/>
          <w:szCs w:val="16"/>
          <w:color w:val="auto"/>
        </w:rPr>
        <w:t>”) have agreed to maintain and protect the trade secrets and confidential information of all Group Companies. Each Creator has assigned (or has executed an agreement containing a present assignment to such Group Company) all Intellectual Property Rights authored, invented, created, improved, modified or developed by such person in the course of such Creator’s employment or other engagement with such Group Company, other than such Intellectual Property Rights that cannot be assigned under applicable Law.</w:t>
      </w:r>
    </w:p>
    <w:p>
      <w:pPr>
        <w:spacing w:after="0" w:line="164" w:lineRule="exact"/>
        <w:rPr>
          <w:rFonts w:ascii="Arial" w:cs="Arial" w:eastAsia="Arial" w:hAnsi="Arial"/>
          <w:sz w:val="16"/>
          <w:szCs w:val="16"/>
          <w:color w:val="auto"/>
        </w:rPr>
      </w:pPr>
    </w:p>
    <w:p>
      <w:pPr>
        <w:ind w:left="4" w:firstLine="987"/>
        <w:spacing w:after="0" w:line="254" w:lineRule="auto"/>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2019, there has been no violation or unauthorized access to or disclosure of any material trade secrets, know-how or confidential information of or in the possession each Group Company, or of any written obligations with respect to such.</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55" w:name="page56"/>
    <w:bookmarkEnd w:id="55"/>
    <w:p>
      <w:pPr>
        <w:ind w:right="20" w:firstLine="987"/>
        <w:spacing w:after="0" w:line="259" w:lineRule="auto"/>
        <w:tabs>
          <w:tab w:leader="none" w:pos="121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firstLine="987"/>
        <w:spacing w:after="0" w:line="273"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Company’s knowledge, neither the conduct of the business of the Group Companies nor any of the Company Owned Intellectual Property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40" w:firstLine="987"/>
        <w:spacing w:after="0" w:line="273"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Since January 1, 2019,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300" w:firstLine="987"/>
        <w:spacing w:after="0" w:line="286" w:lineRule="auto"/>
        <w:tabs>
          <w:tab w:leader="none" w:pos="120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Company’s knowledge, no Person is infringing, misappropriating, misusing, diluting or violating any Company Owned Intellectual Property in any material respect. Since January 1, 2019, no Group Company has made any written claim against any Person alleging any infringement, misappropriation or other violation of any Company Owned Intellectual Property in any material respect.</w:t>
      </w:r>
    </w:p>
    <w:p>
      <w:pPr>
        <w:spacing w:after="0" w:line="165" w:lineRule="exact"/>
        <w:rPr>
          <w:rFonts w:ascii="Arial" w:cs="Arial" w:eastAsia="Arial" w:hAnsi="Arial"/>
          <w:sz w:val="17"/>
          <w:szCs w:val="17"/>
          <w:color w:val="auto"/>
        </w:rPr>
      </w:pPr>
    </w:p>
    <w:p>
      <w:pPr>
        <w:ind w:right="20" w:firstLine="987"/>
        <w:spacing w:after="0" w:line="288" w:lineRule="auto"/>
        <w:tabs>
          <w:tab w:leader="none" w:pos="12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a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been granted any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6" w:name="page57"/>
    <w:bookmarkEnd w:id="56"/>
    <w:p>
      <w:pPr>
        <w:ind w:left="-20" w:right="60" w:firstLine="987"/>
        <w:spacing w:after="0" w:line="269" w:lineRule="auto"/>
        <w:tabs>
          <w:tab w:leader="none" w:pos="1226"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20" w:right="40" w:firstLine="987"/>
        <w:spacing w:after="0" w:line="271" w:lineRule="auto"/>
        <w:tabs>
          <w:tab w:leader="none" w:pos="12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Since January 1, 2019,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ordinary course of business) and (ii) the Group Companies have withheld all amounts required by applicable Law or by agreement to be withheld from wages, salaries and other payments to employees or independent contractors or other service providers of each Group Company.</w:t>
      </w:r>
    </w:p>
    <w:p>
      <w:pPr>
        <w:spacing w:after="0" w:line="178" w:lineRule="exact"/>
        <w:rPr>
          <w:rFonts w:ascii="Arial" w:cs="Arial" w:eastAsia="Arial" w:hAnsi="Arial"/>
          <w:sz w:val="17"/>
          <w:szCs w:val="17"/>
          <w:color w:val="auto"/>
        </w:rPr>
      </w:pPr>
    </w:p>
    <w:p>
      <w:pPr>
        <w:ind w:left="-20" w:firstLine="987"/>
        <w:spacing w:after="0" w:line="263" w:lineRule="auto"/>
        <w:tabs>
          <w:tab w:leader="none" w:pos="12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January 1, 2019,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183" w:lineRule="exact"/>
        <w:rPr>
          <w:rFonts w:ascii="Arial" w:cs="Arial" w:eastAsia="Arial" w:hAnsi="Arial"/>
          <w:sz w:val="18"/>
          <w:szCs w:val="18"/>
          <w:color w:val="auto"/>
        </w:rPr>
      </w:pPr>
    </w:p>
    <w:p>
      <w:pPr>
        <w:ind w:left="-20" w:right="20" w:firstLine="987"/>
        <w:spacing w:after="0" w:line="259" w:lineRule="auto"/>
        <w:tabs>
          <w:tab w:leader="none" w:pos="12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60" w:top="274" w:right="459" w:bottom="1440" w:gutter="0" w:footer="0" w:header="0"/>
        </w:sectPr>
      </w:pPr>
    </w:p>
    <w:bookmarkStart w:id="57" w:name="page58"/>
    <w:bookmarkEnd w:id="57"/>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including in connection with the execution and delivery of this Agreement, the Ancillary Documents or the consummation of the transactions contemplated hereby or thereby. There are, and since January 1, 2019, there have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there are, and since January 1, 2019, there have been, no labor organizing activities with respect to any employees of any Group Company.</w:t>
      </w:r>
    </w:p>
    <w:p>
      <w:pPr>
        <w:spacing w:after="0" w:line="176" w:lineRule="exact"/>
        <w:rPr>
          <w:sz w:val="20"/>
          <w:szCs w:val="20"/>
          <w:color w:val="auto"/>
        </w:rPr>
      </w:pPr>
    </w:p>
    <w:p>
      <w:pPr>
        <w:ind w:firstLine="987"/>
        <w:spacing w:after="0" w:line="273" w:lineRule="auto"/>
        <w:tabs>
          <w:tab w:leader="none" w:pos="1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employee layoff, facility closure or shutdown (whether voluntary or by Order), reduction-in-force, furlough, temporary layoff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177" w:lineRule="exact"/>
        <w:rPr>
          <w:rFonts w:ascii="Arial" w:cs="Arial" w:eastAsia="Arial" w:hAnsi="Arial"/>
          <w:sz w:val="17"/>
          <w:szCs w:val="17"/>
          <w:color w:val="auto"/>
        </w:rPr>
      </w:pPr>
    </w:p>
    <w:p>
      <w:pPr>
        <w:ind w:right="80" w:firstLine="987"/>
        <w:spacing w:after="0" w:line="259" w:lineRule="auto"/>
        <w:tabs>
          <w:tab w:leader="none" w:pos="12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Group Company has promptly, thoroughly and impartially investigated all sexual harassment allegations of which any of them is aware and has taken prompt corrective action, where applicable. No Group Company reasonably expects any material Liabilities with respect to any such allegations or is aware of any allegations relating to officers or directors of any Group Company, that, if known to the public, would bring such Group Company into material disrepute.</w:t>
      </w:r>
    </w:p>
    <w:p>
      <w:pPr>
        <w:spacing w:after="0" w:line="18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sets forth a list of all material policies of fire, liability,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ACT. As of the date of this Agreement, no claim by any Group Company is pending under any such policies as to which coverage has been denied or disputed, or rights reserved to do so, by the underwriters thereof, except </w:t>
      </w:r>
      <w:r>
        <w:rPr>
          <w:rFonts w:ascii="Arial" w:cs="Arial" w:eastAsia="Arial" w:hAnsi="Arial"/>
          <w:sz w:val="18"/>
          <w:szCs w:val="18"/>
          <w:u w:val="single" w:color="auto"/>
          <w:color w:val="auto"/>
        </w:rPr>
        <w:t>as would not have a Company Material Adverse Effect</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86"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8" w:name="page59"/>
    <w:bookmarkEnd w:id="58"/>
    <w:p>
      <w:pPr>
        <w:ind w:left="-20" w:right="2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83" w:lineRule="exact"/>
        <w:rPr>
          <w:rFonts w:ascii="Arial" w:cs="Arial" w:eastAsia="Arial" w:hAnsi="Arial"/>
          <w:sz w:val="18"/>
          <w:szCs w:val="18"/>
          <w:color w:val="auto"/>
        </w:rPr>
      </w:pPr>
    </w:p>
    <w:p>
      <w:pPr>
        <w:ind w:left="-20" w:right="280" w:firstLine="987"/>
        <w:spacing w:after="0" w:line="342" w:lineRule="auto"/>
        <w:tabs>
          <w:tab w:leader="none" w:pos="1216"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20" w:right="34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83" w:lineRule="exact"/>
        <w:rPr>
          <w:rFonts w:ascii="Arial" w:cs="Arial" w:eastAsia="Arial" w:hAnsi="Arial"/>
          <w:sz w:val="18"/>
          <w:szCs w:val="18"/>
          <w:color w:val="auto"/>
        </w:rPr>
      </w:pPr>
    </w:p>
    <w:p>
      <w:pPr>
        <w:ind w:left="-20" w:right="20" w:firstLine="987"/>
        <w:spacing w:after="0" w:line="263" w:lineRule="auto"/>
        <w:tabs>
          <w:tab w:leader="none" w:pos="12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83" w:lineRule="exact"/>
        <w:rPr>
          <w:rFonts w:ascii="Arial" w:cs="Arial" w:eastAsia="Arial" w:hAnsi="Arial"/>
          <w:sz w:val="18"/>
          <w:szCs w:val="18"/>
          <w:color w:val="auto"/>
        </w:rPr>
      </w:pPr>
    </w:p>
    <w:p>
      <w:pPr>
        <w:ind w:left="-20" w:right="860" w:firstLine="987"/>
        <w:spacing w:after="0" w:line="308" w:lineRule="auto"/>
        <w:tabs>
          <w:tab w:leader="none" w:pos="11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46" w:lineRule="exact"/>
        <w:rPr>
          <w:rFonts w:ascii="Arial" w:cs="Arial" w:eastAsia="Arial" w:hAnsi="Arial"/>
          <w:sz w:val="17"/>
          <w:szCs w:val="17"/>
          <w:color w:val="auto"/>
        </w:rPr>
      </w:pPr>
    </w:p>
    <w:p>
      <w:pPr>
        <w:ind w:left="1220" w:hanging="253"/>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225"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 (or so much of Section 356 of the Code as relates to Section 355 of the Code).</w:t>
      </w:r>
    </w:p>
    <w:p>
      <w:pPr>
        <w:spacing w:after="0" w:line="183" w:lineRule="exact"/>
        <w:rPr>
          <w:rFonts w:ascii="Arial" w:cs="Arial" w:eastAsia="Arial" w:hAnsi="Arial"/>
          <w:sz w:val="18"/>
          <w:szCs w:val="18"/>
          <w:color w:val="auto"/>
        </w:rPr>
      </w:pPr>
    </w:p>
    <w:p>
      <w:pPr>
        <w:ind w:left="-20" w:right="140" w:firstLine="987"/>
        <w:spacing w:after="0" w:line="257" w:lineRule="auto"/>
        <w:tabs>
          <w:tab w:leader="none" w:pos="11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87" w:lineRule="exact"/>
        <w:rPr>
          <w:rFonts w:ascii="Arial" w:cs="Arial" w:eastAsia="Arial" w:hAnsi="Arial"/>
          <w:sz w:val="18"/>
          <w:szCs w:val="18"/>
          <w:color w:val="auto"/>
        </w:rPr>
      </w:pPr>
    </w:p>
    <w:p>
      <w:pPr>
        <w:ind w:left="-20" w:right="140" w:firstLine="987"/>
        <w:spacing w:after="0" w:line="308" w:lineRule="auto"/>
        <w:tabs>
          <w:tab w:leader="none" w:pos="118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46" w:lineRule="exact"/>
        <w:rPr>
          <w:rFonts w:ascii="Arial" w:cs="Arial" w:eastAsia="Arial" w:hAnsi="Arial"/>
          <w:sz w:val="17"/>
          <w:szCs w:val="17"/>
          <w:color w:val="auto"/>
        </w:rPr>
      </w:pPr>
    </w:p>
    <w:p>
      <w:pPr>
        <w:ind w:left="-20" w:right="340" w:firstLine="987"/>
        <w:spacing w:after="0" w:line="286" w:lineRule="auto"/>
        <w:tabs>
          <w:tab w:leader="none" w:pos="122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60" w:top="274" w:right="479" w:bottom="1440" w:gutter="0" w:footer="0" w:header="0"/>
        </w:sectPr>
      </w:pPr>
    </w:p>
    <w:bookmarkStart w:id="59" w:name="page60"/>
    <w:bookmarkEnd w:id="59"/>
    <w:p>
      <w:pPr>
        <w:ind w:left="1204" w:hanging="213"/>
        <w:spacing w:after="0"/>
        <w:tabs>
          <w:tab w:leader="none" w:pos="1204"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is tax resident only in its jurisdiction of formation.</w:t>
      </w:r>
    </w:p>
    <w:p>
      <w:pPr>
        <w:spacing w:after="0" w:line="225" w:lineRule="exact"/>
        <w:rPr>
          <w:rFonts w:ascii="Arial" w:cs="Arial" w:eastAsia="Arial" w:hAnsi="Arial"/>
          <w:sz w:val="18"/>
          <w:szCs w:val="18"/>
          <w:color w:val="auto"/>
        </w:rPr>
      </w:pPr>
    </w:p>
    <w:p>
      <w:pPr>
        <w:ind w:left="4" w:right="380" w:firstLine="987"/>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 Group Company has a permanent establishment (within the meaning of an applicable Tax treaty) or otherwise has an office or fixed place of business that would cause it to be subject to tax in a country other than the country in which it is organized.</w:t>
      </w:r>
    </w:p>
    <w:p>
      <w:pPr>
        <w:spacing w:after="0" w:line="146" w:lineRule="exact"/>
        <w:rPr>
          <w:rFonts w:ascii="Arial" w:cs="Arial" w:eastAsia="Arial" w:hAnsi="Arial"/>
          <w:sz w:val="17"/>
          <w:szCs w:val="17"/>
          <w:color w:val="auto"/>
        </w:rPr>
      </w:pPr>
    </w:p>
    <w:p>
      <w:pPr>
        <w:ind w:left="4" w:right="120" w:firstLine="987"/>
        <w:spacing w:after="0" w:line="291" w:lineRule="auto"/>
        <w:tabs>
          <w:tab w:leader="none" w:pos="12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 Group Company (nor any direct or indirect equity owner thereof) will be required to include any material item of income in, or exclude any material item of deduction from, taxable income for any taxable period (or portion thereof) ending after the Closing Date as a result of any</w:t>
      </w:r>
    </w:p>
    <w:p>
      <w:pPr>
        <w:ind w:left="4" w:hanging="4"/>
        <w:spacing w:after="0" w:line="281" w:lineRule="auto"/>
        <w:tabs>
          <w:tab w:leader="none" w:pos="2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 in or use of an improper method of accounting for a taxable period (or portion thereof) ending on or prior to the Closing Date, (i) closing (or similar) agreement executed on or prior to the Closing Date, (iii) installment sale or open transaction disposition made on or prior to the Closing Date, or</w:t>
      </w:r>
    </w:p>
    <w:p>
      <w:pPr>
        <w:spacing w:after="0" w:line="1" w:lineRule="exact"/>
        <w:rPr>
          <w:rFonts w:ascii="Arial" w:cs="Arial" w:eastAsia="Arial" w:hAnsi="Arial"/>
          <w:sz w:val="16"/>
          <w:szCs w:val="16"/>
          <w:color w:val="auto"/>
        </w:rPr>
      </w:pPr>
    </w:p>
    <w:p>
      <w:pPr>
        <w:ind w:left="4" w:right="120" w:hanging="4"/>
        <w:spacing w:after="0" w:line="260"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prepaid amount received or deferred revenue accrued on or prior to the Closing Date. Neither the Company nor any of its Subsidiaries has made an election under Section 965(h) of the Code to defer the payment of any liability for Taxes.</w:t>
      </w:r>
    </w:p>
    <w:p>
      <w:pPr>
        <w:spacing w:after="0" w:line="185" w:lineRule="exact"/>
        <w:rPr>
          <w:rFonts w:ascii="Arial" w:cs="Arial" w:eastAsia="Arial" w:hAnsi="Arial"/>
          <w:sz w:val="18"/>
          <w:szCs w:val="18"/>
          <w:color w:val="auto"/>
        </w:rPr>
      </w:pPr>
    </w:p>
    <w:p>
      <w:pPr>
        <w:ind w:left="4" w:right="260" w:firstLine="987"/>
        <w:spacing w:after="0" w:line="277" w:lineRule="auto"/>
        <w:tabs>
          <w:tab w:leader="none" w:pos="12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Group Company owns any interest (directly or indirectly) in any controlled foreign corporation (as defined in Section 957 of the Code) or passive foreign investment company (as defined in Section 1297 of the Code).</w:t>
      </w:r>
    </w:p>
    <w:p>
      <w:pPr>
        <w:spacing w:after="0" w:line="170" w:lineRule="exact"/>
        <w:rPr>
          <w:rFonts w:ascii="Arial" w:cs="Arial" w:eastAsia="Arial" w:hAnsi="Arial"/>
          <w:sz w:val="18"/>
          <w:szCs w:val="18"/>
          <w:color w:val="auto"/>
        </w:rPr>
      </w:pPr>
    </w:p>
    <w:p>
      <w:pPr>
        <w:ind w:left="4" w:right="320" w:firstLine="987"/>
        <w:spacing w:after="0" w:line="277" w:lineRule="auto"/>
        <w:tabs>
          <w:tab w:leader="none" w:pos="12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Group Company has made any election or otherwise taken any action to cause the Partnership Tax Audit Rules to apply to such Group Company at any earlier date than is required by applicable Law.</w:t>
      </w:r>
    </w:p>
    <w:p>
      <w:pPr>
        <w:spacing w:after="0" w:line="170" w:lineRule="exact"/>
        <w:rPr>
          <w:rFonts w:ascii="Arial" w:cs="Arial" w:eastAsia="Arial" w:hAnsi="Arial"/>
          <w:sz w:val="18"/>
          <w:szCs w:val="18"/>
          <w:color w:val="auto"/>
        </w:rPr>
      </w:pPr>
    </w:p>
    <w:p>
      <w:pPr>
        <w:ind w:left="4" w:right="40" w:firstLine="987"/>
        <w:spacing w:after="0" w:line="342" w:lineRule="auto"/>
        <w:tabs>
          <w:tab w:leader="none" w:pos="125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Group Company is, and since its formation has been, properly classified as a partnership (and not as a publicly traded partnership within the meaning of Section 7704(b) of the Code) or disregarded entity for U.S. federal and applicable state and local income tax purposes.</w:t>
      </w:r>
    </w:p>
    <w:p>
      <w:pPr>
        <w:spacing w:after="0" w:line="123" w:lineRule="exact"/>
        <w:rPr>
          <w:rFonts w:ascii="Arial" w:cs="Arial" w:eastAsia="Arial" w:hAnsi="Arial"/>
          <w:sz w:val="16"/>
          <w:szCs w:val="16"/>
          <w:color w:val="auto"/>
        </w:rPr>
      </w:pPr>
    </w:p>
    <w:p>
      <w:pPr>
        <w:ind w:left="4" w:firstLine="987"/>
        <w:spacing w:after="0" w:line="25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No Group Company has deferred any “applicable employment taxes” (as defined in Section 2302(d)(1) of the CARES Act) that may be deferred pursuant to Section 2302 of the CARES Act, (ii) no Group Company has deferred any payroll Tax obligations (including those imposed by Sections 3101(a) and 3201 of the Code) pursuant to or in connection with the Payroll Tax Executive Order and (iii) no Group Company nor any Affiliate that would be aggregated with such Group Company and treated as one employer for purposes of Section 2301 of the CARES Act, has sought or obtained, or intends to seek or obtain a covered loan under paragraph (36) of Section 7(a) of the Small Business Act (15 U.S.C. 636(a)), as added by Section 1102 of the CARES Act. To the extent applicable, each Group Company has properly complied in all material respects with all Laws and duly accounted for any available Tax credits under Sections 7001 through 7005 of the FFCRA and Section 2301 of the CARES Act or any similar provision of state or local Law.</w:t>
      </w:r>
    </w:p>
    <w:p>
      <w:pPr>
        <w:spacing w:after="0" w:line="188" w:lineRule="exact"/>
        <w:rPr>
          <w:sz w:val="20"/>
          <w:szCs w:val="20"/>
          <w:color w:val="auto"/>
        </w:rPr>
      </w:pPr>
    </w:p>
    <w:p>
      <w:pPr>
        <w:jc w:val="both"/>
        <w:ind w:left="4" w:firstLine="440"/>
        <w:spacing w:after="0" w:line="303"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Except for fees (including a good faith estimate of the amounts due and payable assuming the Closing occurs)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3.18 </w:t>
      </w:r>
      <w:r>
        <w:rPr>
          <w:rFonts w:ascii="Arial" w:cs="Arial" w:eastAsia="Arial" w:hAnsi="Arial"/>
          <w:sz w:val="18"/>
          <w:szCs w:val="18"/>
          <w:b w:val="1"/>
          <w:bCs w:val="1"/>
          <w:u w:val="single" w:color="auto"/>
          <w:color w:val="auto"/>
        </w:rPr>
        <w:t>Real and Personal Property</w:t>
      </w:r>
      <w:r>
        <w:rPr>
          <w:rFonts w:ascii="Arial" w:cs="Arial" w:eastAsia="Arial" w:hAnsi="Arial"/>
          <w:sz w:val="18"/>
          <w:szCs w:val="18"/>
          <w:color w:val="auto"/>
        </w:rPr>
        <w:t>.</w:t>
      </w:r>
    </w:p>
    <w:p>
      <w:pPr>
        <w:spacing w:after="0" w:line="121" w:lineRule="exact"/>
        <w:rPr>
          <w:sz w:val="20"/>
          <w:szCs w:val="20"/>
          <w:color w:val="auto"/>
        </w:rPr>
      </w:pPr>
    </w:p>
    <w:p>
      <w:pPr>
        <w:ind w:right="80" w:firstLine="987"/>
        <w:spacing w:after="0" w:line="254"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Section 3.18(a) of the Company Disclosure Schedules sets forth the address of each Owned Real Property. With respect to each Owned Real Property: (i) the relevant Group Company has good and marketable indefeasible fee simple title to such Owned Real Property, free and clear of all Liens, except Permitted Liens, (ii) except as set forth on Section 3.18(a) of the Company Disclosure Schedules, no Group Company has leased or otherwise granted to any Person the right to use or occupy such Owned Real Property or any portion thereof; and (iii) other than the right of ACT pursuant to this Agreement, there are no outstanding options, rights of first offer or rights of first refusal to purchase such Owned Real Property or any portion thereof or interest therein. No Group Company is a party to any agreement or option to purchase any real property or interest therein.</w:t>
      </w:r>
    </w:p>
    <w:p>
      <w:pPr>
        <w:spacing w:after="0" w:line="194" w:lineRule="exact"/>
        <w:rPr>
          <w:rFonts w:ascii="Arial" w:cs="Arial" w:eastAsia="Arial" w:hAnsi="Arial"/>
          <w:sz w:val="18"/>
          <w:szCs w:val="18"/>
          <w:color w:val="auto"/>
        </w:rPr>
      </w:pPr>
    </w:p>
    <w:p>
      <w:pPr>
        <w:ind w:firstLine="987"/>
        <w:spacing w:after="0" w:line="285" w:lineRule="auto"/>
        <w:tabs>
          <w:tab w:leader="none" w:pos="124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sets forth a true and complete list (including street addresses) of all real property leased, subleased, licensed or similarly used or occupied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and all Real Property Leases pursuant to which any Group Company is a tenant or landlord as of the date of this Agreement. True and complete copies of all such Real Property Leases (including all amendments, extensions, renewals, guaranties and other agreements with respect thereto) have been made available to ACT.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 Except as set forth on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none of the Group Companies have (i) subleased, licensed or otherwise granted any Person the right to use or occupy any Leased Real Property or any portion thereof or (ii) collaterally assigned or granted any other security interest in any Real Property Lease or any interest therein. The Leased Real Property comprises all of the real property used by the Group Companies in in the Group Companies’ businesses.</w:t>
      </w:r>
    </w:p>
    <w:p>
      <w:pPr>
        <w:spacing w:after="0" w:line="176" w:lineRule="exact"/>
        <w:rPr>
          <w:rFonts w:ascii="Arial" w:cs="Arial" w:eastAsia="Arial" w:hAnsi="Arial"/>
          <w:sz w:val="16"/>
          <w:szCs w:val="16"/>
          <w:color w:val="auto"/>
        </w:rPr>
      </w:pPr>
    </w:p>
    <w:p>
      <w:pPr>
        <w:ind w:right="600" w:firstLine="987"/>
        <w:spacing w:after="0" w:line="277"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Real Property Used in the Business</w:t>
      </w:r>
      <w:r>
        <w:rPr>
          <w:rFonts w:ascii="Arial" w:cs="Arial" w:eastAsia="Arial" w:hAnsi="Arial"/>
          <w:sz w:val="18"/>
          <w:szCs w:val="18"/>
          <w:color w:val="auto"/>
        </w:rPr>
        <w:t>. The Owned Real Property and the Leased Real Property (collectively, the “</w:t>
      </w:r>
      <w:r>
        <w:rPr>
          <w:rFonts w:ascii="Arial" w:cs="Arial" w:eastAsia="Arial" w:hAnsi="Arial"/>
          <w:sz w:val="18"/>
          <w:szCs w:val="18"/>
          <w:u w:val="single" w:color="auto"/>
          <w:color w:val="auto"/>
        </w:rPr>
        <w:t>Real Property</w:t>
      </w:r>
      <w:r>
        <w:rPr>
          <w:rFonts w:ascii="Arial" w:cs="Arial" w:eastAsia="Arial" w:hAnsi="Arial"/>
          <w:sz w:val="18"/>
          <w:szCs w:val="18"/>
          <w:color w:val="auto"/>
        </w:rPr>
        <w:t>”) comprises all of the real property used by the Group Companies in in the Group Companies’ businesses.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0" w:right="439" w:bottom="1440" w:gutter="0" w:footer="0" w:header="0"/>
        </w:sectPr>
      </w:pPr>
    </w:p>
    <w:bookmarkStart w:id="61" w:name="page62"/>
    <w:bookmarkEnd w:id="61"/>
    <w:p>
      <w:pPr>
        <w:ind w:left="4" w:right="620" w:firstLine="987"/>
        <w:spacing w:after="0" w:line="277" w:lineRule="auto"/>
        <w:tabs>
          <w:tab w:leader="none" w:pos="12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Improvements</w:t>
      </w:r>
      <w:r>
        <w:rPr>
          <w:rFonts w:ascii="Arial" w:cs="Arial" w:eastAsia="Arial" w:hAnsi="Arial"/>
          <w:sz w:val="18"/>
          <w:szCs w:val="18"/>
          <w:color w:val="auto"/>
        </w:rPr>
        <w:t>. All buildings, structures, improvements, fixtures, building systems and equipment, and all components thereof, included in the Real Property are sufficient for the operation of the Group Companies’ business.</w:t>
      </w:r>
    </w:p>
    <w:p>
      <w:pPr>
        <w:spacing w:after="0" w:line="170" w:lineRule="exact"/>
        <w:rPr>
          <w:rFonts w:ascii="Arial" w:cs="Arial" w:eastAsia="Arial" w:hAnsi="Arial"/>
          <w:sz w:val="18"/>
          <w:szCs w:val="18"/>
          <w:color w:val="auto"/>
        </w:rPr>
      </w:pPr>
    </w:p>
    <w:p>
      <w:pPr>
        <w:ind w:left="4" w:right="80" w:firstLine="987"/>
        <w:spacing w:after="0" w:line="263"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183" w:lineRule="exact"/>
        <w:rPr>
          <w:rFonts w:ascii="Arial" w:cs="Arial" w:eastAsia="Arial" w:hAnsi="Arial"/>
          <w:sz w:val="18"/>
          <w:szCs w:val="18"/>
          <w:color w:val="auto"/>
        </w:rPr>
      </w:pPr>
    </w:p>
    <w:p>
      <w:pPr>
        <w:ind w:left="4" w:right="200" w:firstLine="987"/>
        <w:spacing w:after="0" w:line="259"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Each Group Company has good and marketable title to, or, in the case of leased or subleased assets, an enforceable leasehold interest in, or, in the case of licensed assets, a valid license in, all of its material tangible assets, free and clear of all Liens other than Permitted Liens (collectively, the “</w:t>
      </w:r>
      <w:r>
        <w:rPr>
          <w:rFonts w:ascii="Arial" w:cs="Arial" w:eastAsia="Arial" w:hAnsi="Arial"/>
          <w:sz w:val="18"/>
          <w:szCs w:val="18"/>
          <w:u w:val="single" w:color="auto"/>
          <w:color w:val="auto"/>
        </w:rPr>
        <w:t>Assets</w:t>
      </w:r>
      <w:r>
        <w:rPr>
          <w:rFonts w:ascii="Arial" w:cs="Arial" w:eastAsia="Arial" w:hAnsi="Arial"/>
          <w:sz w:val="18"/>
          <w:szCs w:val="18"/>
          <w:color w:val="auto"/>
        </w:rPr>
        <w:t>”), except as is not and would not reasonably be expected to be, individually or in the aggregate, material to the Group Companies, taken as a whole.</w:t>
      </w:r>
    </w:p>
    <w:p>
      <w:pPr>
        <w:spacing w:after="0" w:line="183"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all Contracts between (a) any Group</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on the one hand, and (b) any employee, officer, director, equityholder or Affiliate of any Group Company or any spouse, child or member of the same household of any officer, director or employee of any Group Company or any Affiliate of any Group Company, on the other hand (each Person identified in this clause (b), a “</w:t>
      </w:r>
      <w:r>
        <w:rPr>
          <w:rFonts w:ascii="Arial" w:cs="Arial" w:eastAsia="Arial" w:hAnsi="Arial"/>
          <w:sz w:val="16"/>
          <w:szCs w:val="16"/>
          <w:u w:val="single" w:color="auto"/>
          <w:color w:val="auto"/>
        </w:rPr>
        <w:t>Company Affiliated Party</w:t>
      </w:r>
      <w:r>
        <w:rPr>
          <w:rFonts w:ascii="Arial" w:cs="Arial" w:eastAsia="Arial" w:hAnsi="Arial"/>
          <w:sz w:val="16"/>
          <w:szCs w:val="16"/>
          <w:color w:val="auto"/>
        </w:rPr>
        <w:t>”), other than (i) Contracts with respect to a Company Affiliated Party’s status as an</w:t>
      </w:r>
    </w:p>
    <w:p>
      <w:pPr>
        <w:spacing w:after="0" w:line="2" w:lineRule="exact"/>
        <w:rPr>
          <w:sz w:val="20"/>
          <w:szCs w:val="20"/>
          <w:color w:val="auto"/>
        </w:rPr>
      </w:pPr>
    </w:p>
    <w:p>
      <w:pPr>
        <w:ind w:left="304" w:hanging="304"/>
        <w:spacing w:after="0"/>
        <w:tabs>
          <w:tab w:leader="none" w:pos="3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 (including Company Employee Benefit Plans and other ordinary course compensation) entered into in the ordinary course of business, or</w:t>
      </w:r>
    </w:p>
    <w:p>
      <w:pPr>
        <w:spacing w:after="0" w:line="32" w:lineRule="exact"/>
        <w:rPr>
          <w:rFonts w:ascii="Arial" w:cs="Arial" w:eastAsia="Arial" w:hAnsi="Arial"/>
          <w:sz w:val="16"/>
          <w:szCs w:val="16"/>
          <w:color w:val="auto"/>
        </w:rPr>
      </w:pPr>
    </w:p>
    <w:p>
      <w:pPr>
        <w:ind w:left="4" w:hanging="4"/>
        <w:spacing w:after="0" w:line="251" w:lineRule="auto"/>
        <w:tabs>
          <w:tab w:leader="none" w:pos="2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consultant or other non-employee service provider of the Company that have been made available to ACT and (ii) Contracts entered into after the date of this Agreement that are either permitted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(including as set forth in </w:t>
      </w:r>
      <w:r>
        <w:rPr>
          <w:rFonts w:ascii="Arial" w:cs="Arial" w:eastAsia="Arial" w:hAnsi="Arial"/>
          <w:sz w:val="18"/>
          <w:szCs w:val="18"/>
          <w:u w:val="single" w:color="auto"/>
          <w:color w:val="auto"/>
        </w:rPr>
        <w:t>Section 5.1(b)(i)</w:t>
      </w:r>
      <w:r>
        <w:rPr>
          <w:rFonts w:ascii="Arial" w:cs="Arial" w:eastAsia="Arial" w:hAnsi="Arial"/>
          <w:sz w:val="18"/>
          <w:szCs w:val="18"/>
          <w:color w:val="auto"/>
        </w:rPr>
        <w:t>-</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Company Disclosure Schedules) or entered into in accordance with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(iii) Contracts with respect to a Pre-Closing Company Member and (iv) customary director and officer indemnification agreements that have been made available to ACT.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(including, for the avoidance of doubt, pursuant to the second sentence of this </w:t>
      </w:r>
      <w:r>
        <w:rPr>
          <w:rFonts w:ascii="Arial" w:cs="Arial" w:eastAsia="Arial" w:hAnsi="Arial"/>
          <w:sz w:val="18"/>
          <w:szCs w:val="18"/>
          <w:u w:val="single" w:color="auto"/>
          <w:color w:val="auto"/>
        </w:rPr>
        <w:t>Section 3.19</w:t>
      </w:r>
      <w:r>
        <w:rPr>
          <w:rFonts w:ascii="Arial" w:cs="Arial" w:eastAsia="Arial" w:hAnsi="Arial"/>
          <w:sz w:val="18"/>
          <w:szCs w:val="18"/>
          <w:color w:val="auto"/>
        </w:rPr>
        <w:t>) are referred to herein as “</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b w:val="1"/>
          <w:bCs w:val="1"/>
          <w:u w:val="single" w:color="auto"/>
          <w:color w:val="auto"/>
        </w:rPr>
        <w:t>Data Privacy and Security</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55"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There is (and since January 1, 2019 there has been) no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Data Security Requirements. Except as otherwise set on </w:t>
      </w:r>
      <w:r>
        <w:rPr>
          <w:rFonts w:ascii="Arial" w:cs="Arial" w:eastAsia="Arial" w:hAnsi="Arial"/>
          <w:sz w:val="18"/>
          <w:szCs w:val="18"/>
          <w:u w:val="single" w:color="auto"/>
          <w:color w:val="auto"/>
        </w:rPr>
        <w:t>Section 3.20(a)</w:t>
      </w:r>
      <w:r>
        <w:rPr>
          <w:rFonts w:ascii="Arial" w:cs="Arial" w:eastAsia="Arial" w:hAnsi="Arial"/>
          <w:sz w:val="18"/>
          <w:szCs w:val="18"/>
          <w:color w:val="auto"/>
        </w:rPr>
        <w:t xml:space="preserve"> of the Company Disclosure Schedules, the Group Companies and the conduct of their business are in material compliance with all Data Security Requirements.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62" w:name="page63"/>
    <w:bookmarkEnd w:id="62"/>
    <w:p>
      <w:pPr>
        <w:ind w:left="4" w:right="80" w:firstLine="987"/>
        <w:spacing w:after="0" w:line="272" w:lineRule="auto"/>
        <w:tabs>
          <w:tab w:leader="none" w:pos="1250"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2019, (i) to the Company’s knowledge, there has been no unauthorized access to, or unauthorized use, disclosure, or Processing of Personal Data in the possession or control of any Group Company and the Group Companies have not been notified by any of its contractors with regard to any unauthorized access to, or unauthorized use, disclosure, or Processing of Personal Data obtained from or on behalf of a Group Company, (ii) to the Company’s knowledge, there have been no Security Incidents or other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that would require notification to a Person or Governmental Entity pursuant to Data Security Requirements.</w:t>
      </w:r>
    </w:p>
    <w:p>
      <w:pPr>
        <w:spacing w:after="0" w:line="177" w:lineRule="exact"/>
        <w:rPr>
          <w:rFonts w:ascii="Arial" w:cs="Arial" w:eastAsia="Arial" w:hAnsi="Arial"/>
          <w:sz w:val="17"/>
          <w:szCs w:val="17"/>
          <w:color w:val="auto"/>
        </w:rPr>
      </w:pPr>
    </w:p>
    <w:p>
      <w:pPr>
        <w:ind w:left="4" w:right="20" w:firstLine="987"/>
        <w:spacing w:after="0" w:line="272"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IT Systems are sufficient in all material respects for the operation of the business as currently conducted by the Group Company. Each Group Company owns or has a license or other right to use the Company IT Systems as necessary to operate the business of each Group Company as currently conducted. To the Company’s knowledge, all Company IT Systems are (i) free from Malicious Code, and (ii) in sufficiently good working condition to effectively perform all information technology operations necessary for the operation of the Business as currently conducted (except for ordinary wear and tear). Since January 1, 2019, there have not been any material failures, breakdowns or continued substandard performance of any Company IT Systems that have caused a material failure or material disruption of the Company IT Systems other than routine failures or disruptions that have been remediated in the ordinary course of business.</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4" w:right="100" w:firstLine="987"/>
        <w:spacing w:after="0" w:line="285" w:lineRule="auto"/>
        <w:tabs>
          <w:tab w:leader="none" w:pos="12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None of the Group Companies, any of their respective officers, directors or employees or, to the Company’s knowledge, any of their other Representatives, or any other Persons acting for or on behalf of any of the foregoing, is or has been, since January 1, 2019,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w:t>
      </w:r>
    </w:p>
    <w:p>
      <w:pPr>
        <w:spacing w:after="0" w:line="1" w:lineRule="exact"/>
        <w:rPr>
          <w:rFonts w:ascii="Arial" w:cs="Arial" w:eastAsia="Arial" w:hAnsi="Arial"/>
          <w:sz w:val="16"/>
          <w:szCs w:val="16"/>
          <w:color w:val="auto"/>
        </w:rPr>
      </w:pPr>
    </w:p>
    <w:p>
      <w:pPr>
        <w:ind w:left="4" w:hanging="4"/>
        <w:spacing w:after="0" w:line="260" w:lineRule="auto"/>
        <w:tabs>
          <w:tab w:leader="none" w:pos="2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(iii) or any country or territory which is or has, since January 1, 2019, been the subject of or target of any Sanctions and Export Control Laws (at the time of this Agreement, the Crimea region of Ukraine, Cuba, Iran, North Korea, Venezuela, Sudan and Syria).</w:t>
      </w:r>
    </w:p>
    <w:p>
      <w:pPr>
        <w:spacing w:after="0" w:line="185" w:lineRule="exact"/>
        <w:rPr>
          <w:rFonts w:ascii="Arial" w:cs="Arial" w:eastAsia="Arial" w:hAnsi="Arial"/>
          <w:sz w:val="18"/>
          <w:szCs w:val="18"/>
          <w:color w:val="auto"/>
        </w:rPr>
      </w:pPr>
    </w:p>
    <w:p>
      <w:pPr>
        <w:ind w:left="4" w:firstLine="987"/>
        <w:spacing w:after="0" w:line="257" w:lineRule="auto"/>
        <w:tabs>
          <w:tab w:leader="none" w:pos="12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63" w:name="page64"/>
    <w:bookmarkEnd w:id="63"/>
    <w:p>
      <w:pPr>
        <w:ind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3.22 </w:t>
      </w:r>
      <w:r>
        <w:rPr>
          <w:rFonts w:ascii="Arial" w:cs="Arial" w:eastAsia="Arial" w:hAnsi="Arial"/>
          <w:sz w:val="16"/>
          <w:szCs w:val="16"/>
          <w:b w:val="1"/>
          <w:bCs w:val="1"/>
          <w:u w:val="single" w:color="auto"/>
          <w:color w:val="auto"/>
        </w:rPr>
        <w:t>Information Supplied</w:t>
      </w:r>
      <w:r>
        <w:rPr>
          <w:rFonts w:ascii="Arial" w:cs="Arial" w:eastAsia="Arial" w:hAnsi="Arial"/>
          <w:sz w:val="16"/>
          <w:szCs w:val="16"/>
          <w:color w:val="auto"/>
        </w:rPr>
        <w:t>. None of the information supplied or to be supplied by or on behalf of the Group Companies expressly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inclusion or incorporation by reference prior to the Closing in the Registration Statement/Proxy Statement will, when the Registration Statement/Proxy Statement is declared effective or when the Registration Statement/Proxy Statement is mailed to the Pre-Closing ACT Shareholders or at the time of the ACT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3.22</w:t>
      </w:r>
      <w:r>
        <w:rPr>
          <w:rFonts w:ascii="Arial" w:cs="Arial" w:eastAsia="Arial" w:hAnsi="Arial"/>
          <w:sz w:val="16"/>
          <w:szCs w:val="16"/>
          <w:color w:val="auto"/>
        </w:rPr>
        <w:t>, no representation or warranty is made by either the Group Companies with respect to information or statements made or incorporated by reference in the Registration Statement/Proxy Statement that were not supplied by or on behalf of the Group Companies for use therein.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right="240" w:firstLine="987"/>
        <w:spacing w:after="0" w:line="296" w:lineRule="auto"/>
        <w:tabs>
          <w:tab w:leader="none" w:pos="12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ACT and (ii) it has been furnished with or given access to such documents and information about ACT and its business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firstLine="987"/>
        <w:spacing w:after="0" w:line="254"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and no other representations or warranties of ACT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none of ACT 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jc w:val="both"/>
        <w:ind w:right="480" w:firstLine="440"/>
        <w:spacing w:after="0" w:line="266" w:lineRule="auto"/>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Specified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there are no Losses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suffered by or owing by the Group Companies as of the date hereof caused by, arising out of, or resulting from the following matters, to the extent attributable to the ownership, use or operation of any of the Assets:</w:t>
      </w:r>
    </w:p>
    <w:p>
      <w:pPr>
        <w:spacing w:after="0" w:line="72" w:lineRule="exact"/>
        <w:rPr>
          <w:sz w:val="20"/>
          <w:szCs w:val="20"/>
          <w:color w:val="auto"/>
        </w:rPr>
      </w:pPr>
    </w:p>
    <w:p>
      <w:pPr>
        <w:ind w:right="300" w:firstLine="987"/>
        <w:spacing w:after="0" w:line="277"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with respect to any Casualty Losses, any third party injury or death, or damage of third party properties occurring on or with respect to the ownership or operation of any Assets prior to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64" w:name="page65"/>
    <w:bookmarkEnd w:id="64"/>
    <w:p>
      <w:pPr>
        <w:ind w:right="180" w:firstLine="987"/>
        <w:spacing w:after="0" w:line="277" w:lineRule="auto"/>
        <w:tabs>
          <w:tab w:leader="none" w:pos="124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civil fines or penalties or criminal sanctions imposed on a Group Company, to the extent resulting from any violation of applicable Law prior to the date hereof; and</w:t>
      </w:r>
    </w:p>
    <w:p>
      <w:pPr>
        <w:spacing w:after="0" w:line="62" w:lineRule="exact"/>
        <w:rPr>
          <w:rFonts w:ascii="Arial" w:cs="Arial" w:eastAsia="Arial" w:hAnsi="Arial"/>
          <w:sz w:val="18"/>
          <w:szCs w:val="18"/>
          <w:color w:val="auto"/>
        </w:rPr>
      </w:pPr>
    </w:p>
    <w:p>
      <w:pPr>
        <w:ind w:firstLine="987"/>
        <w:spacing w:after="0" w:line="263"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transportation or disposal of a Hazardous Substance (other than Hydrocarbons) from any Asset to a site that is not an Asset prior to date hereof that would be in material violation of applicable Environmental Law or that would arise out of a material liability under applicable Environmental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b w:val="1"/>
          <w:bCs w:val="1"/>
          <w:u w:val="single" w:color="auto"/>
          <w:color w:val="auto"/>
        </w:rPr>
        <w:t>Regulatory Status</w:t>
      </w:r>
      <w:r>
        <w:rPr>
          <w:rFonts w:ascii="Arial" w:cs="Arial" w:eastAsia="Arial" w:hAnsi="Arial"/>
          <w:sz w:val="18"/>
          <w:szCs w:val="18"/>
          <w:u w:val="single" w:color="auto"/>
          <w:color w:val="auto"/>
        </w:rPr>
        <w:t>.</w:t>
      </w:r>
    </w:p>
    <w:p>
      <w:pPr>
        <w:spacing w:after="0" w:line="121" w:lineRule="exact"/>
        <w:rPr>
          <w:sz w:val="20"/>
          <w:szCs w:val="20"/>
          <w:color w:val="auto"/>
        </w:rPr>
      </w:pPr>
    </w:p>
    <w:p>
      <w:pPr>
        <w:ind w:right="740" w:firstLine="987"/>
        <w:spacing w:after="0" w:line="277"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electric generation facility owned by a Group Company has self-certified as a Qualifying Facility before FERC and is a Qualifying Facility.</w:t>
      </w:r>
    </w:p>
    <w:p>
      <w:pPr>
        <w:spacing w:after="0" w:line="62"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Group Company has any tariff or rate schedule on file with FERC and no Group Company is required to have any tariff or rate schedule on file with FERC.</w:t>
      </w:r>
    </w:p>
    <w:p>
      <w:pPr>
        <w:spacing w:after="0" w:line="62" w:lineRule="exact"/>
        <w:rPr>
          <w:rFonts w:ascii="Arial" w:cs="Arial" w:eastAsia="Arial" w:hAnsi="Arial"/>
          <w:sz w:val="18"/>
          <w:szCs w:val="18"/>
          <w:color w:val="auto"/>
        </w:rPr>
      </w:pPr>
    </w:p>
    <w:p>
      <w:pPr>
        <w:ind w:firstLine="987"/>
        <w:spacing w:after="0" w:line="277"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Group Company is subject to, or not exempt from, financial, organizational, or rate regulation as an “electric utility” (as that term is used in 18 C.F.R. § 292.602(c)) by any State Commission under any state laws or regulations.</w:t>
      </w:r>
    </w:p>
    <w:p>
      <w:pPr>
        <w:spacing w:after="0" w:line="62" w:lineRule="exact"/>
        <w:rPr>
          <w:rFonts w:ascii="Arial" w:cs="Arial" w:eastAsia="Arial" w:hAnsi="Arial"/>
          <w:sz w:val="18"/>
          <w:szCs w:val="18"/>
          <w:color w:val="auto"/>
        </w:rPr>
      </w:pPr>
    </w:p>
    <w:p>
      <w:pPr>
        <w:ind w:right="180" w:firstLine="987"/>
        <w:spacing w:after="0" w:line="308" w:lineRule="auto"/>
        <w:tabs>
          <w:tab w:leader="none" w:pos="12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pre-Closing consent, approval or authorization, registration or filing is required by FERC or any State Commission in connection with the execution, delivery, and performance of this Agreement or the consummation of the transactions contemplated herein.</w:t>
      </w:r>
    </w:p>
    <w:p>
      <w:pPr>
        <w:spacing w:after="0" w:line="142"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b w:val="1"/>
          <w:bCs w:val="1"/>
          <w:color w:val="auto"/>
        </w:rPr>
        <w:t xml:space="preserve">Section 3.26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ACT OR ANY OF ITS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ACT OR ANY OF ITS REPRESENTATIVES OR IN ANY PRESENTATION OF THE BUSINESS AND AFFAIRS OF THE GROUP COMPANIES BY THE GROUP COMPANIES’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ACT OR ANY OF ITS AFFILIATES OR REPRESENTATIVES IN EXECUTING, DELIVERING OR PERFORMING THIS AGREEMENT, THE ANCILLARY DOCUMENTS OR THE TRANSACTIONS CONTEMPLATED HEREBY OR THEREBY. EXCEPT FOR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ACT OR ANY OF ITS AFFILIATES OR REPRESENTATIVES IN EXECUTING, DELIVERING OR PERFORMING THIS AGREEMENT, THE ANCILLARY DOCUMENTS OR THE TRANSACTIONS CONTEMPLATED HEREBY OR THEREBY.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ACT</w:t>
      </w:r>
    </w:p>
    <w:p>
      <w:pPr>
        <w:spacing w:after="0" w:line="211"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 xml:space="preserve">Except (a) as set forth on the ACT Disclosure Schedules, (which will only qualify the representations and warranties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manner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(b) as set forth in any ACT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ACT SEC Reports (other than from other ACT SEC Reports), or (z) any information or disclosure subject to a confidential treatment order or not otherwise publicly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set forth in or disclosed in the ACT SEC Reports will qualify, or been deemed to qualify, the representations and warranties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ACT hereby represents and warrants to the Company, as of the date of this Agreement and as of the Closing, as follows:</w:t>
      </w:r>
    </w:p>
    <w:p>
      <w:pPr>
        <w:spacing w:after="0" w:line="174"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 ACT is an exempted company with limited liability duly incorporated, validly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Cayman Islands. The Governing Documents of ACT are in full force and effect, and ACT is not in breach or violation of any provision set forth in its Governing Documents.</w:t>
      </w:r>
    </w:p>
    <w:p>
      <w:pPr>
        <w:spacing w:after="0" w:line="17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ACT has the requisite exempted company power and authority to execute and deliver this Agreement and each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it is (or, in the case of any Ancillary Document contemplated hereby to be entered into after the date of this Agreement, will be) a party and, subject to the receipt of the ACT Shareholder Approval, to perform its obligations hereunder and thereunder and to consummate the transactions contemplated hereby and thereby. The execution and delivery of this Agreement, the Ancillary Documents to which ACT is or will be a party, the performance of ACT’s obligations hereunder and thereunder and the consummation of the transactions contemplated hereby and thereby (including the ACT Share Conversion, the Domestication and the ACT Contribution) have been duly and validly authorized and unanimously approved by the ACT Board (including that, as of the date hereof, the ACT Board has unanimously made, and has not revoked, the ACT Board Recommendation) and upon receipt of the Required ACT Shareholder Approval, no other corporate or equivalent action or proceeding on the part of any holder of ACT capital stock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6" w:name="page67"/>
    <w:bookmarkEnd w:id="66"/>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is necessary to authorize this Agreement or such Ancillary Documents, the performance of ACT’s obligations hereunder or thereunder or the consummation of the transactions contemplated hereby or thereby (including the ACT Share Conversion, the Domestication and the ACT Contribution). This Agreement and each Ancillary Document to which ACT is contemplated hereby to be a party as of the date hereof has been (and each Ancillary Document to which ACT is contemplated hereby to be a party following the execution of this Agreement, will be upon execution thereof), duly and validly executed and delivered by ACT and constitutes (or, with respect to each Ancillary Document contemplated to be executed after the execution of this Agreement, will constitute upon execution thereof), a valid, legal and binding agreement of ACT (assuming this Agreement has been and the Ancillary Documents to which ACT is or is contemplated to be a party are or will be, upon execution thereof, as applicable, duly authorized, executed and delivered by the other Persons party hereto or thereto), enforceable against ACT in accordance with their respective terms (subject to applicable bankruptcy, insolvency, reorganization, moratorium or other Laws affecting generally the enforcement of creditors’ rights and subject to general principles of equity). The Required ACT Shareholder Approval is the only vote or consent of the holders of any class or series of capital stock of ACT required to approve and adopt this Agreement, the Ancillary Documents to which ACT is or is contemplated to be a party, the performance of ACT’s obligations hereunder and thereunder and the consummation of the transactions contemplated hereby (including the ACT Share Conversion, the Domestication and the ACT Contribution).</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4" w:right="20" w:firstLine="987"/>
        <w:spacing w:after="0" w:line="289" w:lineRule="auto"/>
        <w:tabs>
          <w:tab w:leader="none" w:pos="12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Entity is required on the part of ACT with respect to ACT’s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Post-Closing ACT Shares to be issued in connection with the transactions contemplated by this Agreement and the other Ancillary Documents to be listed on Nasdaq, (iv) such filings required in connection with the Domestication, or (v) any other consents, approvals, authorizations, designations, declarations, waivers or filings, the absence of which would not have an ACT Material Adverse Effect. ACT is its own ultimate parent entity (as such term is defined in the HSR Act).</w:t>
      </w:r>
    </w:p>
    <w:p>
      <w:pPr>
        <w:spacing w:after="0" w:line="58" w:lineRule="exact"/>
        <w:rPr>
          <w:rFonts w:ascii="Arial" w:cs="Arial" w:eastAsia="Arial" w:hAnsi="Arial"/>
          <w:sz w:val="16"/>
          <w:szCs w:val="16"/>
          <w:color w:val="auto"/>
        </w:rPr>
      </w:pPr>
    </w:p>
    <w:p>
      <w:pPr>
        <w:ind w:left="4" w:firstLine="987"/>
        <w:spacing w:after="0" w:line="285" w:lineRule="auto"/>
        <w:tabs>
          <w:tab w:leader="none" w:pos="12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None of the execution or delivery by ACT of this Agreement or any Ancillary Document to which it is or will be a party, the performance by ACT of its obligations hereunder or thereunder or the consummation by ACT of the transactions contemplated hereby or thereby will, directly or indirectly (with or without due notice or lapse of time or both) (i) result in a violation or breach of any provision of the Governing Documents of ACT, (ii) result in a violation or breach of, or constitute a default or give rise to any right of termination, Consent, cancellation, amendment, modification, suspension, revocation or acceleration under, any of the terms, conditions or provisions of any Contract to which ACT is a party,</w:t>
      </w:r>
    </w:p>
    <w:p>
      <w:pPr>
        <w:spacing w:after="0" w:line="1" w:lineRule="exact"/>
        <w:rPr>
          <w:rFonts w:ascii="Arial" w:cs="Arial" w:eastAsia="Arial" w:hAnsi="Arial"/>
          <w:sz w:val="16"/>
          <w:szCs w:val="16"/>
          <w:color w:val="auto"/>
        </w:rPr>
      </w:pPr>
    </w:p>
    <w:p>
      <w:pPr>
        <w:ind w:left="4" w:right="100" w:hanging="4"/>
        <w:spacing w:after="0" w:line="255" w:lineRule="auto"/>
        <w:tabs>
          <w:tab w:leader="none" w:pos="3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violate, or constitute a breach under, any Order or applicable Law to which ACT or any of its properties or assets are subject or bound or (iv) result in the creation of any Lien upon any of the assets or properties (other than any Permitted Liens) or Equity Securities of an ACT,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an ACT Material Adverse Effect.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7" w:name="page68"/>
    <w:bookmarkEnd w:id="67"/>
    <w:p>
      <w:pPr>
        <w:ind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Except for fees (including a good faith estimate of the amounts due and payable assuming the Closing occurs)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the ACT Disclosure Schedules (which fees shall be the sole responsibility of the ACT), no broker, finder, investment banker or other Person is entitled to any brokerage fee, finders’ fee or other commission in connection with the transactions contemplated by this Agreement based upon arrangements made by or on behalf of ACT or any of its Affiliates for which ACT has any obligation.</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Information Supplied</w:t>
      </w:r>
      <w:r>
        <w:rPr>
          <w:rFonts w:ascii="Arial" w:cs="Arial" w:eastAsia="Arial" w:hAnsi="Arial"/>
          <w:sz w:val="17"/>
          <w:szCs w:val="17"/>
          <w:color w:val="auto"/>
        </w:rPr>
        <w:t>. None of the information supplied or to be supplied by or on behalf of ACT expressly for inclusion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incorporation by reference prior to the Closing in the Registration Statement/Proxy Statement will, when the Registration Statement/Proxy Statement is declared effective or when the Registration Statement/Proxy Statement is mailed to the Pre-Closing ACT Shareholders or at the time of the ACT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no representation or warranty is made by ACT with respect to information or statements made or incorporated by reference in the Registration Statement/Proxy Statement that were not supplied by or on behalf of ACT for use therein.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Capitalization of ACT</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86" w:lineRule="auto"/>
        <w:tabs>
          <w:tab w:leader="none" w:pos="123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sets forth a true and complete statement of the number and class or series (as applicable) of the issued and outstanding Pre-Closing ACT Shares and the Pre-Closing ACT Warrants prior to the consummation of the Domestication. All outstanding Pre-Closing ACT Shares (except to the extent such concepts are not applicable under the applicable Law of ACT’s jurisdiction of incorporation or other applicable Law) prior to the consummation of the Domestication have been duly authorized and validly issued and are fully paid and non-assessable. Such Equity Interests (i) were not issued in violation of the Governing Documents of ACT or in violation of any other Contracts to which ACT is a party or otherwise bound, in each case, in any material respect, (ii) are not subject to any preemptive rights, call option, right of first refusal, subscription rights, transfer restrictions or similar rights of any Person (other than transfer restrictions under applicable Securities Laws or under the Governing Documents of ACT) and were not issued in violation of any preemptive rights, call option, right of first refusal, subscription rights, transfer restrictions or similar rights of any Person and (iii) have been offered, sold and issued in compliance with applicable Law, including Securities Laws, in each case under clause (ii) and (iii), in all material respects. Except for the Pre-Closing ACT Shares and the Pre-Closing ACT Warrants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(taking into account, for the avoidance of doubt, any changes or adjustments to the Pre-Closing ACT Shares and the Pre-Closing ACT Warrants as a result of, or to give effect to, the Domestication), immediately prior to Closing and before giving effect to the PIPE Financing and the ACT Shareholder Redemption, there shall be no other Equity Securities of ACT issued and outstanding.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8" w:name="page69"/>
    <w:bookmarkEnd w:id="68"/>
    <w:p>
      <w:pPr>
        <w:ind w:right="40" w:firstLine="987"/>
        <w:spacing w:after="0" w:line="293" w:lineRule="auto"/>
        <w:tabs>
          <w:tab w:leader="none" w:pos="1246"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approval of the Transaction Proposals and upon issuance in accordance with the terms of this Agreement, immediately after the Closing, (i) the authorized number of shares of capital stock of ACT will be sufficient to permit the issuance of all Post-Closing ACT Shares to be issued or reserved in connection with the transactions contemplated by this Agreement and the other Ancillary Documents, and (ii) all of the issued and outstanding Post-Closing ACT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ACT is a party or bound, in each case under clause (C), in any material respect.</w:t>
      </w:r>
    </w:p>
    <w:p>
      <w:pPr>
        <w:spacing w:after="0" w:line="56" w:lineRule="exact"/>
        <w:rPr>
          <w:rFonts w:ascii="Arial" w:cs="Arial" w:eastAsia="Arial" w:hAnsi="Arial"/>
          <w:sz w:val="16"/>
          <w:szCs w:val="16"/>
          <w:color w:val="auto"/>
        </w:rPr>
      </w:pPr>
    </w:p>
    <w:p>
      <w:pPr>
        <w:ind w:firstLine="987"/>
        <w:spacing w:after="0" w:line="286" w:lineRule="auto"/>
        <w:tabs>
          <w:tab w:leader="none" w:pos="12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(i) as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(ii) for the issuance of the Post-Closing ACT Shares as expressly contemplated by this Agreement or the PIPE Subscription Agreements or the entry into the applicable Ancillary Documents or (iii) as permitted to be issued, granted or entered into, as applicable, pursuant to </w:t>
      </w:r>
      <w:r>
        <w:rPr>
          <w:rFonts w:ascii="Arial" w:cs="Arial" w:eastAsia="Arial" w:hAnsi="Arial"/>
          <w:sz w:val="16"/>
          <w:szCs w:val="16"/>
          <w:u w:val="single" w:color="auto"/>
          <w:color w:val="auto"/>
        </w:rPr>
        <w:t>Section 5.10(h)</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5.10(h)</w:t>
      </w:r>
      <w:r>
        <w:rPr>
          <w:rFonts w:ascii="Arial" w:cs="Arial" w:eastAsia="Arial" w:hAnsi="Arial"/>
          <w:sz w:val="16"/>
          <w:szCs w:val="16"/>
          <w:color w:val="auto"/>
        </w:rPr>
        <w:t xml:space="preserve"> of the ACT Disclosure Schedules) in accordance with </w:t>
      </w:r>
      <w:r>
        <w:rPr>
          <w:rFonts w:ascii="Arial" w:cs="Arial" w:eastAsia="Arial" w:hAnsi="Arial"/>
          <w:sz w:val="16"/>
          <w:szCs w:val="16"/>
          <w:u w:val="single" w:color="auto"/>
          <w:color w:val="auto"/>
        </w:rPr>
        <w:t>Section 5.10(h)</w:t>
      </w:r>
      <w:r>
        <w:rPr>
          <w:rFonts w:ascii="Arial" w:cs="Arial" w:eastAsia="Arial" w:hAnsi="Arial"/>
          <w:sz w:val="16"/>
          <w:szCs w:val="16"/>
          <w:color w:val="auto"/>
        </w:rPr>
        <w:t>, ACT has no outstanding (A) equity appreciation, phantom equity or profit participation rights or (B) options, restricted stock, restrictive stock units, phantom stock, warrants, purchase rights, subscription rights, conversion rights, exchange rights, calls, puts, rights of first refusal or first offer or other Contracts or commitment that could require ACT to issue, sell or otherwise cause to become outstanding or to acquire, repurchase or redeem any Equity Securities or securities convertible into or exchangeable for Equity Securities of ACT. There are no outstanding bonds, debentures, notes or other indebtedness of ACT having the right to vote (or convertible into, or exchangeable for, securities having the right to vote) on any matter for which Pre-Closing ACT Shareholders may vote. There are no voting trusts, proxies or other Contracts with respect to the voting or transfer of ACT’s Equity Securities between ACT and any other Person. ACT is not a party to any shareholders agreement, or registration rights agreement relating to Pre-Closing ACT Shares or any other Equity Securities of ACT. There are no securities issued by or to which ACT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65" w:lineRule="exact"/>
        <w:rPr>
          <w:rFonts w:ascii="Arial" w:cs="Arial" w:eastAsia="Arial" w:hAnsi="Arial"/>
          <w:sz w:val="16"/>
          <w:szCs w:val="16"/>
          <w:color w:val="auto"/>
        </w:rPr>
      </w:pPr>
    </w:p>
    <w:p>
      <w:pPr>
        <w:jc w:val="both"/>
        <w:ind w:right="460" w:firstLine="987"/>
        <w:spacing w:after="0" w:line="263"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ACT does not own or hold (of record, beneficially, legally or otherwise), directly or indirectly, any Equity Securities in any other Person or the right to acquire any such Equity Security, and ACT is not a partner or member of any partnership, limited liability company or joint venture.</w:t>
      </w:r>
    </w:p>
    <w:p>
      <w:pPr>
        <w:spacing w:after="0" w:line="180"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SEC Filings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b w:val="1"/>
          <w:bCs w:val="1"/>
          <w:color w:val="auto"/>
        </w:rPr>
        <w:t xml:space="preserve"> </w:t>
      </w:r>
      <w:r>
        <w:rPr>
          <w:rFonts w:ascii="Arial" w:cs="Arial" w:eastAsia="Arial" w:hAnsi="Arial"/>
          <w:sz w:val="18"/>
          <w:szCs w:val="18"/>
          <w:color w:val="auto"/>
        </w:rPr>
        <w:t>has timely filed or furnished all statements, forms, reports and documents required to be filed or furnished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Arial" w:cs="Arial" w:eastAsia="Arial" w:hAnsi="Arial"/>
          <w:sz w:val="18"/>
          <w:szCs w:val="18"/>
          <w:u w:val="single" w:color="auto"/>
          <w:color w:val="auto"/>
        </w:rPr>
        <w:t>ACT SEC Reports</w:t>
      </w:r>
      <w:r>
        <w:rPr>
          <w:rFonts w:ascii="Arial" w:cs="Arial" w:eastAsia="Arial" w:hAnsi="Arial"/>
          <w:sz w:val="18"/>
          <w:szCs w:val="18"/>
          <w:color w:val="auto"/>
        </w:rPr>
        <w:t>”), and, as of the Closing, will have timely filed or furnished all other statements, forms, reports and other documents required to be filed or furnished by it subsequent to the date of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9" w:name="page70"/>
    <w:bookmarkEnd w:id="69"/>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Statement/Proxy Statement, the “</w:t>
      </w:r>
      <w:r>
        <w:rPr>
          <w:rFonts w:ascii="Arial" w:cs="Arial" w:eastAsia="Arial" w:hAnsi="Arial"/>
          <w:sz w:val="16"/>
          <w:szCs w:val="16"/>
          <w:u w:val="single" w:color="auto"/>
          <w:color w:val="auto"/>
        </w:rPr>
        <w:t>Additional ACT SEC Reports</w:t>
      </w:r>
      <w:r>
        <w:rPr>
          <w:rFonts w:ascii="Arial" w:cs="Arial" w:eastAsia="Arial" w:hAnsi="Arial"/>
          <w:sz w:val="16"/>
          <w:szCs w:val="16"/>
          <w:color w:val="auto"/>
        </w:rPr>
        <w:t xml:space="preserve">”). Each of the ACT SEC Reports, as of their respective dates of filing, and as of the date of any amendment or filing that superseded the initial filing, complied and each of the Additional ACT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ACT SEC Reports or the Additional ACT SEC Reports. As of their respective dates of filing, the ACT SEC Reports did not, and the Additional ACT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ACT SEC Reports, assuming that the representation and warranty set forth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ACT SEC Reports. To the knowledge of ACT, none of the ACT SEC Reports are subject to ongoing SEC review or investigation as of the date 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Absence of Changes</w:t>
      </w:r>
      <w:r>
        <w:rPr>
          <w:rFonts w:ascii="Arial" w:cs="Arial" w:eastAsia="Arial" w:hAnsi="Arial"/>
          <w:sz w:val="18"/>
          <w:szCs w:val="18"/>
          <w:color w:val="auto"/>
        </w:rPr>
        <w:t>. Since January 13, 2021, no ACT Material Adverse Effect has occurred.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Contracts; No Defaults</w:t>
      </w:r>
      <w:r>
        <w:rPr>
          <w:rFonts w:ascii="Arial" w:cs="Arial" w:eastAsia="Arial" w:hAnsi="Arial"/>
          <w:sz w:val="18"/>
          <w:szCs w:val="18"/>
          <w:color w:val="auto"/>
        </w:rPr>
        <w:t>.</w:t>
      </w:r>
    </w:p>
    <w:p>
      <w:pPr>
        <w:spacing w:after="0" w:line="121" w:lineRule="exact"/>
        <w:rPr>
          <w:sz w:val="20"/>
          <w:szCs w:val="20"/>
          <w:color w:val="auto"/>
        </w:rPr>
      </w:pPr>
    </w:p>
    <w:p>
      <w:pPr>
        <w:ind w:left="4" w:right="120" w:firstLine="987"/>
        <w:spacing w:after="0" w:line="263" w:lineRule="auto"/>
        <w:tabs>
          <w:tab w:leader="none" w:pos="12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 contains a listing of all Contracts including every “material contract” (as such term is defined in Item 601(b)(10) of Regulation S-K of the SEC) (other than confidentiality and non-disclosure agreements) to which ACT is a party or by which any of its assets are bound as of the date hereof.</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Each Contract of a type required to be listed on </w:t>
      </w:r>
      <w:r>
        <w:rPr>
          <w:rFonts w:ascii="Arial" w:cs="Arial" w:eastAsia="Arial" w:hAnsi="Arial"/>
          <w:sz w:val="16"/>
          <w:szCs w:val="16"/>
          <w:u w:val="single" w:color="auto"/>
          <w:color w:val="auto"/>
        </w:rPr>
        <w:t>Section 4.9(a)</w:t>
      </w:r>
      <w:r>
        <w:rPr>
          <w:rFonts w:ascii="Arial" w:cs="Arial" w:eastAsia="Arial" w:hAnsi="Arial"/>
          <w:sz w:val="16"/>
          <w:szCs w:val="16"/>
          <w:color w:val="auto"/>
        </w:rPr>
        <w:t xml:space="preserve"> of the ACT Disclosure Schedules (each, an “</w:t>
      </w:r>
      <w:r>
        <w:rPr>
          <w:rFonts w:ascii="Arial" w:cs="Arial" w:eastAsia="Arial" w:hAnsi="Arial"/>
          <w:sz w:val="16"/>
          <w:szCs w:val="16"/>
          <w:u w:val="single" w:color="auto"/>
          <w:color w:val="auto"/>
        </w:rPr>
        <w:t>ACT Material Contract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 w:right="80" w:hanging="4"/>
        <w:spacing w:after="0" w:line="287" w:lineRule="auto"/>
        <w:tabs>
          <w:tab w:leader="none" w:pos="2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is valid and binding on ACT and, to ACT’s knowledge, the counterparties thereto, and is in full force and effect and enforceable in accordance with its terms against ACT and, to ACT’s knowledge, the counterparties thereto (subject to applicable bankruptcy, insolvency, reorganization, moratorium or other Laws affecting generally the enforcement of creditors’ rights and subject to general principles of equity), (ii) ACT and, to ACT’s knowledge, the counterparties thereto are not in material breach of, or default under, any ACT Material Contract and (iii) no event has occurred that (with or without due notice or lapse of time or both) would result in a material breach of, or default under, any ACT Material Contract by ACT or, to ACT’s knowledge, the counterparties thereto. ACT has made available to the Company true and complete copies of all ACT Material Contracts in effect as of the date hereof (it being understood and agreed, for the avoidance of doubt, that each ACT Material Contract set forth in any ACT SEC Report that is publicly available as of the date hereof shall be deemed to have been made available to the Company pursuant to this sentence).</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4.10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u w:val="single" w:color="auto"/>
          <w:color w:val="auto"/>
        </w:rPr>
        <w:t>. ACT is not an “investment company” within the meaning of the Investment Company Act.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Trust Account; Financial Ability</w:t>
      </w:r>
      <w:r>
        <w:rPr>
          <w:rFonts w:ascii="Arial" w:cs="Arial" w:eastAsia="Arial" w:hAnsi="Arial"/>
          <w:sz w:val="16"/>
          <w:szCs w:val="16"/>
          <w:color w:val="auto"/>
        </w:rPr>
        <w:t>. As of the date of this Agreement,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b w:val="1"/>
          <w:bCs w:val="1"/>
          <w:color w:val="auto"/>
        </w:rPr>
        <w:t xml:space="preserve"> </w:t>
      </w:r>
      <w:r>
        <w:rPr>
          <w:rFonts w:ascii="Arial" w:cs="Arial" w:eastAsia="Arial" w:hAnsi="Arial"/>
          <w:sz w:val="16"/>
          <w:szCs w:val="16"/>
          <w:color w:val="auto"/>
        </w:rPr>
        <w:t>has an amount in cash in the Trust Account equal to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$310,000,000 (including an aggregate of approximately $10,900,000 of deferred underwriting commissions and other fees being held in the Trust Account).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March 25, 2021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between ACT and Continental Stock Transfer &amp; Trust Company,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There are no separate agreements, side letters or other agreements or understandings (whether written or unwritten, express or implied) that would cause the description of the Trust Agreement in the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SEC Reports to be inaccurate or, that would entitle any Person to any portion of the funds in the Trust Account (other than (i) in respect of deferred underwriting commissions or Taxes, (ii) the Pre-Closing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Shareholders who shall have elected to redeem their Pre-Closing </w:t>
      </w:r>
      <w:r>
        <w:rPr>
          <w:rFonts w:ascii="Arial" w:cs="Arial" w:eastAsia="Arial" w:hAnsi="Arial"/>
          <w:sz w:val="16"/>
          <w:szCs w:val="16"/>
          <w:u w:val="single" w:color="auto"/>
          <w:color w:val="auto"/>
        </w:rPr>
        <w:t>ACT Class A</w:t>
      </w:r>
      <w:r>
        <w:rPr>
          <w:rFonts w:ascii="Arial" w:cs="Arial" w:eastAsia="Arial" w:hAnsi="Arial"/>
          <w:sz w:val="16"/>
          <w:szCs w:val="16"/>
          <w:color w:val="auto"/>
        </w:rPr>
        <w:t xml:space="preserve"> Shares pursuant to the </w:t>
      </w:r>
      <w:r>
        <w:rPr>
          <w:rFonts w:ascii="Arial" w:cs="Arial" w:eastAsia="Arial" w:hAnsi="Arial"/>
          <w:sz w:val="16"/>
          <w:szCs w:val="16"/>
          <w:u w:val="single" w:color="auto"/>
          <w:color w:val="auto"/>
        </w:rPr>
        <w:t>Governing Documents of ACT</w:t>
      </w:r>
      <w:r>
        <w:rPr>
          <w:rFonts w:ascii="Arial" w:cs="Arial" w:eastAsia="Arial" w:hAnsi="Arial"/>
          <w:sz w:val="16"/>
          <w:szCs w:val="16"/>
          <w:color w:val="auto"/>
        </w:rPr>
        <w:t xml:space="preserve"> or (iii) if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fails to complete a business combination within the allotted time period set forth in the Governing Documents of ACT and liquidates the Trust Account, subject to the terms of the Trust Agreement, </w:t>
      </w:r>
      <w:r>
        <w:rPr>
          <w:rFonts w:ascii="Arial" w:cs="Arial" w:eastAsia="Arial" w:hAnsi="Arial"/>
          <w:sz w:val="16"/>
          <w:szCs w:val="16"/>
          <w:u w:val="single" w:color="auto"/>
          <w:color w:val="auto"/>
        </w:rPr>
        <w:t>ACT (</w:t>
      </w:r>
      <w:r>
        <w:rPr>
          <w:rFonts w:ascii="Arial" w:cs="Arial" w:eastAsia="Arial" w:hAnsi="Arial"/>
          <w:sz w:val="16"/>
          <w:szCs w:val="16"/>
          <w:color w:val="auto"/>
        </w:rPr>
        <w:t xml:space="preserve">in limited amounts to permit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to pay the expenses of the Trust Account’s liquidation, dissolution and winding up of ACT) and then </w:t>
      </w:r>
      <w:r>
        <w:rPr>
          <w:rFonts w:ascii="Arial" w:cs="Arial" w:eastAsia="Arial" w:hAnsi="Arial"/>
          <w:sz w:val="16"/>
          <w:szCs w:val="16"/>
          <w:u w:val="single" w:color="auto"/>
          <w:color w:val="auto"/>
        </w:rPr>
        <w:t>the Pre-Closing ACT Shareholders</w:t>
      </w:r>
      <w:r>
        <w:rPr>
          <w:rFonts w:ascii="Arial" w:cs="Arial" w:eastAsia="Arial" w:hAnsi="Arial"/>
          <w:sz w:val="16"/>
          <w:szCs w:val="16"/>
          <w:color w:val="auto"/>
        </w:rPr>
        <w:t xml:space="preserve">). Prior to the Closing, none of the funds held in the Trust Account are permitted to be released, except in the circumstances described in the </w:t>
      </w:r>
      <w:r>
        <w:rPr>
          <w:rFonts w:ascii="Arial" w:cs="Arial" w:eastAsia="Arial" w:hAnsi="Arial"/>
          <w:sz w:val="16"/>
          <w:szCs w:val="16"/>
          <w:u w:val="single" w:color="auto"/>
          <w:color w:val="auto"/>
        </w:rPr>
        <w:t>Governing Documents of ACT</w:t>
      </w:r>
      <w:r>
        <w:rPr>
          <w:rFonts w:ascii="Arial" w:cs="Arial" w:eastAsia="Arial" w:hAnsi="Arial"/>
          <w:sz w:val="16"/>
          <w:szCs w:val="16"/>
          <w:color w:val="auto"/>
        </w:rPr>
        <w:t xml:space="preserve"> and the Trust Agreement. ACT has performed all material obligations required to be performed by it, and is not in material breach or default, or delinquent in performance in any material respect or any other respect (claimed or actual) in any material respect, under the Trust Agreement, and, to ACT’s knowledge, no event has occurred which (with due notice or lapse of time or both) would constitute a material default under the Trust Agreement. There are no Proceedings pending, or to ACT’s knowledge, threatened with respect to the Trust Account. Since March 25, 2021, ACT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ACT Shareholders who have elected to redeem their Pre-Closing ACT Class A Shares pursuant to the Governing Documents of ACT, each in accordance with the terms of and as set forth in the Trust Agreement), ACT shall have no further obligation under either the Trust Agreement or the Governing Documents of ACT to liquidate or distribute any assets held in the Trust Account, and the Trust Agreement shall terminate in accordance with its terms. As of the date hereof, assuming the accuracy of the representations and warranties of the Company contained herein and the compliance by the Company with its obligations hereunder, ACT has no reason to believe that any of the conditions to the use of funds in the Trust Account will not be satisfied or funds then available in the Trust Account will not be available to ACT on the Closing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71" w:name="page72"/>
    <w:bookmarkEnd w:id="71"/>
    <w:p>
      <w:pPr>
        <w:ind w:left="4" w:right="40"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ACT Disclosure Schedules sets forth all Contracts between (a)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on the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hand, and (b) any employee, officer, director, equityholder or Affiliate (including, solely for purposes of this </w:t>
      </w:r>
      <w:r>
        <w:rPr>
          <w:rFonts w:ascii="Arial" w:cs="Arial" w:eastAsia="Arial" w:hAnsi="Arial"/>
          <w:sz w:val="17"/>
          <w:szCs w:val="17"/>
          <w:u w:val="single" w:color="auto"/>
          <w:color w:val="auto"/>
        </w:rPr>
        <w:t>Section 4.12</w:t>
      </w:r>
      <w:r>
        <w:rPr>
          <w:rFonts w:ascii="Arial" w:cs="Arial" w:eastAsia="Arial" w:hAnsi="Arial"/>
          <w:sz w:val="17"/>
          <w:szCs w:val="17"/>
          <w:color w:val="auto"/>
        </w:rPr>
        <w:t>, ArcLight Capital Partners, LLC and its Affiliates, including the ACT Sponsor) of ACT or any spouse, child or member of the same household of any officer, director or employee of ACT, the ACT Sponsor, or any of their respective Affiliates, on the other hand (each Person identified in this clause (b), an “</w:t>
      </w:r>
      <w:r>
        <w:rPr>
          <w:rFonts w:ascii="Arial" w:cs="Arial" w:eastAsia="Arial" w:hAnsi="Arial"/>
          <w:sz w:val="17"/>
          <w:szCs w:val="17"/>
          <w:u w:val="single" w:color="auto"/>
          <w:color w:val="auto"/>
        </w:rPr>
        <w:t>ACT Affiliated Party</w:t>
      </w:r>
      <w:r>
        <w:rPr>
          <w:rFonts w:ascii="Arial" w:cs="Arial" w:eastAsia="Arial" w:hAnsi="Arial"/>
          <w:sz w:val="17"/>
          <w:szCs w:val="17"/>
          <w:color w:val="auto"/>
        </w:rPr>
        <w:t xml:space="preserve">”), other than (i) Contracts with respect to an ACT Affiliated Party’s employment with, or the provision of services to, ACT entered into in the ordinary course of business (including benefit plans, indemnification arrangements and other ordinary course compensation), (ii) Contracts entered into after the date of this Agreement that are either permitted pursuant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5.10(a)-(r)</w:t>
      </w:r>
      <w:r>
        <w:rPr>
          <w:rFonts w:ascii="Arial" w:cs="Arial" w:eastAsia="Arial" w:hAnsi="Arial"/>
          <w:sz w:val="17"/>
          <w:szCs w:val="17"/>
          <w:color w:val="auto"/>
        </w:rPr>
        <w:t xml:space="preserve"> of the ACT Disclosure Schedules) or entered into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(iii) Contracts with respect to a Person’s status as a Pre-Closing ACT Shareholder and (iv) customary director and officer indemnification agreements that have been made available to the Company or are in the form that is publicly filed with the SEC. No ACT Affiliated Party (A) owns any material interest in any material asset or property used in the business of ACT, or (B) possesses, directly or indirectly, any material financial interest in, or is a director or executive officer of, any Person which is a material supplier, vendor, partner, customer, lessor or other material business relation of ACT. All Contracts, arrangements, understandings, interests and other matters that are required to be disclosed pursuant to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 4.12</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ACT Affiliated Party Transactions</w:t>
      </w:r>
      <w:r>
        <w:rPr>
          <w:rFonts w:ascii="Arial" w:cs="Arial" w:eastAsia="Arial" w:hAnsi="Arial"/>
          <w:sz w:val="17"/>
          <w:szCs w:val="17"/>
          <w:color w:val="auto"/>
        </w:rPr>
        <w:t>”.</w:t>
      </w:r>
    </w:p>
    <w:p>
      <w:pPr>
        <w:spacing w:after="0" w:line="18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(and since ACT’s incorporation, there has been) no Proceeding by any counterparty not a Party hereto,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to ACT’s knowledge, threatened against or involving ACT, or, to ACT’s knowledge, pending or threatened against or involving ACT’s managers, officers, directors or employees (in their capacity as such), that, if adversely decided or resolved, has been or would reasonably be expected to be, individually or in the aggregate, material to ACT. Neither ACT nor any of its properties or assets is subject to any material Order. Since ACT’s incorporation through the date hereof, there have been no material Proceedings by ACT pending against any other Person.</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Compliance with Applicable Law</w:t>
      </w:r>
      <w:r>
        <w:rPr>
          <w:rFonts w:ascii="Arial" w:cs="Arial" w:eastAsia="Arial" w:hAnsi="Arial"/>
          <w:sz w:val="16"/>
          <w:szCs w:val="16"/>
          <w:color w:val="auto"/>
        </w:rPr>
        <w:t>. ACT (a) is (and since its incorporation, has been) in compliance with all applicable Laws, and</w:t>
      </w:r>
    </w:p>
    <w:p>
      <w:pPr>
        <w:spacing w:after="0" w:line="50" w:lineRule="exact"/>
        <w:rPr>
          <w:sz w:val="20"/>
          <w:szCs w:val="20"/>
          <w:color w:val="auto"/>
        </w:rPr>
      </w:pPr>
    </w:p>
    <w:p>
      <w:pPr>
        <w:ind w:left="4" w:right="180" w:hanging="4"/>
        <w:spacing w:after="0" w:line="255"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of the date of this Agreement, has not received any written communications or, to ACT’s knowledge, any other communications from a Governmental Entity that alleges that ACT is not in compliance with any Law or Order, except in each case of except in the case of clauses (a) and (b) as is not and would not reasonably be expected, individually or in the aggregate, material to ACT.</w:t>
      </w:r>
    </w:p>
    <w:p>
      <w:pPr>
        <w:spacing w:after="0" w:line="186"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ACT Activities</w:t>
      </w:r>
      <w:r>
        <w:rPr>
          <w:rFonts w:ascii="Arial" w:cs="Arial" w:eastAsia="Arial" w:hAnsi="Arial"/>
          <w:sz w:val="17"/>
          <w:szCs w:val="17"/>
          <w:color w:val="auto"/>
        </w:rPr>
        <w:t>. Since its incorporation, ACT has not conducted any business activities other than activities (a) in connection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incident or related to its incorporation or continuing corporate (or similar) existence, (b)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(c) those that are administrative, ministerial or otherwise immaterial in nature. Except for this Agreement or the Ancillary Documents, there is no Contract binding upon ACT or to which ACT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0" w:right="459" w:bottom="1440" w:gutter="0" w:footer="0" w:header="0"/>
        </w:sectPr>
      </w:pPr>
    </w:p>
    <w:bookmarkStart w:id="72" w:name="page73"/>
    <w:bookmarkEnd w:id="7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4.16 </w:t>
      </w:r>
      <w:r>
        <w:rPr>
          <w:rFonts w:ascii="Arial" w:cs="Arial" w:eastAsia="Arial" w:hAnsi="Arial"/>
          <w:sz w:val="18"/>
          <w:szCs w:val="18"/>
          <w:b w:val="1"/>
          <w:bCs w:val="1"/>
          <w:u w:val="single" w:color="auto"/>
          <w:color w:val="auto"/>
        </w:rPr>
        <w:t>Internal Controls; Listing; Financial Statements</w:t>
      </w:r>
      <w:r>
        <w:rPr>
          <w:rFonts w:ascii="Arial" w:cs="Arial" w:eastAsia="Arial" w:hAnsi="Arial"/>
          <w:sz w:val="18"/>
          <w:szCs w:val="18"/>
          <w:color w:val="auto"/>
        </w:rPr>
        <w:t>.</w:t>
      </w:r>
    </w:p>
    <w:p>
      <w:pPr>
        <w:spacing w:after="0" w:line="121" w:lineRule="exact"/>
        <w:rPr>
          <w:sz w:val="20"/>
          <w:szCs w:val="20"/>
          <w:color w:val="auto"/>
        </w:rPr>
      </w:pPr>
    </w:p>
    <w:p>
      <w:pPr>
        <w:ind w:left="4" w:right="140" w:firstLine="987"/>
        <w:spacing w:after="0" w:line="291" w:lineRule="auto"/>
        <w:tabs>
          <w:tab w:leader="none" w:pos="12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is not required in reliance on exemptions from various reporting requirements by virtue of ACT’s status as an “emerging growth company” within the meaning of the Securities Act, as modified by the JOBS Act, or “smaller reporting company” within the meaning of the Exchange Act, since its initial public offering, (i) ACT has established and maintained a system of internal controls over financial reporting (as defined in Rule 13a-15 and Rule 15d-15 under the Exchange Act) sufficient to provide reasonable assurance regarding the reliability of ACT’s financial reporting and the preparation of ACT’s financial statements for external purposes in accordance with GAAP and (ii) ACT has established and maintained disclosure controls and procedures (as defined in Rule 13a-15 and Rule 15d-15 under the Exchange Act) designed to ensure that material information relating to ACT is made known to ACT’s principal executive officer and principal financial officer by others within ACT.</w:t>
      </w:r>
    </w:p>
    <w:p>
      <w:pPr>
        <w:spacing w:after="0" w:line="58" w:lineRule="exact"/>
        <w:rPr>
          <w:rFonts w:ascii="Arial" w:cs="Arial" w:eastAsia="Arial" w:hAnsi="Arial"/>
          <w:sz w:val="16"/>
          <w:szCs w:val="16"/>
          <w:color w:val="auto"/>
        </w:rPr>
      </w:pPr>
    </w:p>
    <w:p>
      <w:pPr>
        <w:ind w:left="4" w:right="20" w:firstLine="987"/>
        <w:spacing w:after="0" w:line="277" w:lineRule="auto"/>
        <w:tabs>
          <w:tab w:leader="none" w:pos="12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ACT has not taken any action prohibited by Section 402 of the Sarbanes-Oxley Act. There are no outstanding loans or other extensions of credit made by ACT to any executive officer (as defined in Rule 3b-7 under the Exchange Act) or director of ACT.</w:t>
      </w:r>
    </w:p>
    <w:p>
      <w:pPr>
        <w:spacing w:after="0" w:line="62" w:lineRule="exact"/>
        <w:rPr>
          <w:rFonts w:ascii="Arial" w:cs="Arial" w:eastAsia="Arial" w:hAnsi="Arial"/>
          <w:sz w:val="18"/>
          <w:szCs w:val="18"/>
          <w:color w:val="auto"/>
        </w:rPr>
      </w:pPr>
    </w:p>
    <w:p>
      <w:pPr>
        <w:ind w:left="4" w:firstLine="987"/>
        <w:spacing w:after="0" w:line="272" w:lineRule="auto"/>
        <w:tabs>
          <w:tab w:leader="none" w:pos="12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Since its initial public offering, except as set forth on </w:t>
      </w:r>
      <w:r>
        <w:rPr>
          <w:rFonts w:ascii="Arial" w:cs="Arial" w:eastAsia="Arial" w:hAnsi="Arial"/>
          <w:sz w:val="17"/>
          <w:szCs w:val="17"/>
          <w:u w:val="single" w:color="auto"/>
          <w:color w:val="auto"/>
        </w:rPr>
        <w:t>Section 4.16(c)</w:t>
      </w:r>
      <w:r>
        <w:rPr>
          <w:rFonts w:ascii="Arial" w:cs="Arial" w:eastAsia="Arial" w:hAnsi="Arial"/>
          <w:sz w:val="17"/>
          <w:szCs w:val="17"/>
          <w:color w:val="auto"/>
        </w:rPr>
        <w:t xml:space="preserve"> of the ACT Disclosure Schedules, ACT has complied in all material respects with all applicable listing and corporate governance rules and regulations of Nasdaq. The Pre-Closing ACT Class A Shares are registered pursuant to Section 12(b) of the Exchange Act and are listed for trading on Nasdaq. As of the date of this Agreement, there is no Proceeding pending or, to ACT’s knowledge, threatened against ACT by Nasdaq or the SEC with respect to any intention by such entity to deregister Pre-Closing ACT Class A Shares or the Post-Closing ACT Class A Shares or prohibit or terminate the listing of Pre-Closing ACT Class A Shares or the Post-Closing ACT Class A Shares on Nasdaq. ACT has not taken any action that is designed to terminate the registration of Pre-Closing ACT Class A Shares or the Post-Closing ACT Class A Shares under the Exchange Act.</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ACT SEC Reports contain true and complete copies of the applicable ACT Financial Statements. The ACT Financial Statements</w:t>
      </w:r>
    </w:p>
    <w:p>
      <w:pPr>
        <w:spacing w:after="0" w:line="46" w:lineRule="exact"/>
        <w:rPr>
          <w:rFonts w:ascii="Arial" w:cs="Arial" w:eastAsia="Arial" w:hAnsi="Arial"/>
          <w:sz w:val="16"/>
          <w:szCs w:val="16"/>
          <w:color w:val="auto"/>
        </w:rPr>
      </w:pPr>
    </w:p>
    <w:p>
      <w:pPr>
        <w:ind w:left="4" w:right="120" w:hanging="4"/>
        <w:spacing w:after="0" w:line="281" w:lineRule="auto"/>
        <w:tabs>
          <w:tab w:leader="none" w:pos="2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fairly present in all material respects the financial position of ACT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ACT Financial Statements, were audited in accordance with the standards of the PCAOB and</w:t>
      </w:r>
    </w:p>
    <w:p>
      <w:pPr>
        <w:spacing w:after="0" w:line="3" w:lineRule="exact"/>
        <w:rPr>
          <w:rFonts w:ascii="Arial" w:cs="Arial" w:eastAsia="Arial" w:hAnsi="Arial"/>
          <w:sz w:val="16"/>
          <w:szCs w:val="16"/>
          <w:color w:val="auto"/>
        </w:rPr>
      </w:pPr>
    </w:p>
    <w:p>
      <w:pPr>
        <w:ind w:left="4" w:hanging="4"/>
        <w:spacing w:after="0" w:line="290" w:lineRule="auto"/>
        <w:tabs>
          <w:tab w:leader="none" w:pos="309"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0" w:right="459" w:bottom="1440" w:gutter="0" w:footer="0" w:header="0"/>
        </w:sectPr>
      </w:pPr>
    </w:p>
    <w:bookmarkStart w:id="73" w:name="page74"/>
    <w:bookmarkEnd w:id="73"/>
    <w:p>
      <w:pPr>
        <w:ind w:right="120" w:firstLine="987"/>
        <w:spacing w:after="0" w:line="296"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ACT’s and its Subsidiaries’ assets. ACT maintains and, for all periods covered by the ACT Financial Statements, has maintained books and records of ACT in the ordinary course of business that are accurate and complete and reflect the revenues, expenses, assets and liabilities of ACT in all material respects.</w:t>
      </w:r>
    </w:p>
    <w:p>
      <w:pPr>
        <w:spacing w:after="0" w:line="53" w:lineRule="exact"/>
        <w:rPr>
          <w:rFonts w:ascii="Arial" w:cs="Arial" w:eastAsia="Arial" w:hAnsi="Arial"/>
          <w:sz w:val="16"/>
          <w:szCs w:val="16"/>
          <w:color w:val="auto"/>
        </w:rPr>
      </w:pPr>
    </w:p>
    <w:p>
      <w:pPr>
        <w:ind w:right="200" w:firstLine="987"/>
        <w:spacing w:after="0" w:line="279" w:lineRule="auto"/>
        <w:tabs>
          <w:tab w:leader="none" w:pos="121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Section 4.16(f)</w:t>
      </w:r>
      <w:r>
        <w:rPr>
          <w:rFonts w:ascii="Arial" w:cs="Arial" w:eastAsia="Arial" w:hAnsi="Arial"/>
          <w:sz w:val="17"/>
          <w:szCs w:val="17"/>
          <w:color w:val="auto"/>
        </w:rPr>
        <w:t xml:space="preserve"> of the ACT Disclosure Schedules, since its incorporation, ACT has not received any written complaint, allegation, assertion or claim that there is (i) a “significant deficiency” in the internal controls over financial reporting of ACT, (ii) a “material weakness” in the internal controls over financial reporting of ACT or (iii) fraud, whether or not material, that involves management or other employees of ACT who have a significant role in the internal controls over financial reporting of ACT.</w:t>
      </w:r>
    </w:p>
    <w:p>
      <w:pPr>
        <w:spacing w:after="0" w:line="16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4.17 </w:t>
      </w:r>
      <w:r>
        <w:rPr>
          <w:rFonts w:ascii="Arial" w:cs="Arial" w:eastAsia="Arial" w:hAnsi="Arial"/>
          <w:sz w:val="17"/>
          <w:szCs w:val="17"/>
          <w:b w:val="1"/>
          <w:bCs w:val="1"/>
          <w:u w:val="single" w:color="auto"/>
          <w:color w:val="auto"/>
        </w:rPr>
        <w:t>No Undisclosed Liabilities</w:t>
      </w:r>
      <w:r>
        <w:rPr>
          <w:rFonts w:ascii="Arial" w:cs="Arial" w:eastAsia="Arial" w:hAnsi="Arial"/>
          <w:sz w:val="17"/>
          <w:szCs w:val="17"/>
          <w:color w:val="auto"/>
        </w:rPr>
        <w:t>. Except for the Liabilities (a)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4.17</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ACT Disclosure Schedules, (b)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of the ACT Disclosure Schedules), (c) incurred in connection with or incident or related to ACT’s incorporation or continuing corporate (or similar) existence of ACT, in each case, which are immaterial in nature, (d) that are immaterial and incurred in connection with activities that are administrative or ministerial in nature, (e) set forth on (or in the notes to) the balance sheet of ACT contained in the Quarterly Report on Form 10-Q, filed with the SEC on November 5, 2021 (the “</w:t>
      </w:r>
      <w:r>
        <w:rPr>
          <w:rFonts w:ascii="Arial" w:cs="Arial" w:eastAsia="Arial" w:hAnsi="Arial"/>
          <w:sz w:val="17"/>
          <w:szCs w:val="17"/>
          <w:u w:val="single" w:color="auto"/>
          <w:color w:val="auto"/>
        </w:rPr>
        <w:t>Latest ACT Balance Sheet</w:t>
      </w:r>
      <w:r>
        <w:rPr>
          <w:rFonts w:ascii="Arial" w:cs="Arial" w:eastAsia="Arial" w:hAnsi="Arial"/>
          <w:sz w:val="17"/>
          <w:szCs w:val="17"/>
          <w:color w:val="auto"/>
        </w:rPr>
        <w:t xml:space="preserve">”), (f) that have arisen since the date of the Latest ACT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5.10(a)-(r)</w:t>
      </w:r>
      <w:r>
        <w:rPr>
          <w:rFonts w:ascii="Arial" w:cs="Arial" w:eastAsia="Arial" w:hAnsi="Arial"/>
          <w:sz w:val="17"/>
          <w:szCs w:val="17"/>
          <w:color w:val="auto"/>
        </w:rPr>
        <w:t xml:space="preserve"> of the ACT Disclosure Schedules), or incurred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(h) that are not, and would not reasonably be expected to be, individually or in the aggregate, material to ACT, ACT does not have any Liabilities.</w:t>
      </w:r>
    </w:p>
    <w:p>
      <w:pPr>
        <w:spacing w:after="0" w:line="176"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Employees</w:t>
      </w:r>
      <w:r>
        <w:rPr>
          <w:rFonts w:ascii="Arial" w:cs="Arial" w:eastAsia="Arial" w:hAnsi="Arial"/>
          <w:sz w:val="18"/>
          <w:szCs w:val="18"/>
          <w:color w:val="auto"/>
        </w:rPr>
        <w:t>. Other than any officers as described in the ACT SEC Reports, ACT has never employed any employees or retained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ACT has never maintained, sponsored, contributed to or had any direct liability under, and does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4.19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121" w:lineRule="exact"/>
        <w:rPr>
          <w:sz w:val="20"/>
          <w:szCs w:val="20"/>
          <w:color w:val="auto"/>
        </w:rPr>
      </w:pPr>
    </w:p>
    <w:p>
      <w:pPr>
        <w:ind w:right="120" w:firstLine="987"/>
        <w:spacing w:after="0" w:line="290" w:lineRule="auto"/>
        <w:tabs>
          <w:tab w:leader="none" w:pos="12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ACT does not have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ACT does not have any material Liabilities to provide any retiree or post-termination or post-ownership health or life insurance or other welfare-type benefits to any Person other than group health plan continuation coverage pursuant to COBRA or similar Law and for which the recipient pays the full premium cost of coverage and other than any benefits provided under the ACT Employee Benefit Plans that are long-term or short-term disability benefit plans in accordance with the terms of such plans. ACT does not have any material Liabilities by reason of at any relevant time being considered a single employer under Section 414 of the Code with any other Person.</w:t>
      </w:r>
    </w:p>
    <w:p>
      <w:pPr>
        <w:spacing w:after="0" w:line="57" w:lineRule="exact"/>
        <w:rPr>
          <w:rFonts w:ascii="Arial" w:cs="Arial" w:eastAsia="Arial" w:hAnsi="Arial"/>
          <w:sz w:val="16"/>
          <w:szCs w:val="16"/>
          <w:color w:val="auto"/>
        </w:rPr>
      </w:pPr>
    </w:p>
    <w:p>
      <w:pPr>
        <w:ind w:right="340" w:firstLine="987"/>
        <w:spacing w:after="0" w:line="301" w:lineRule="auto"/>
        <w:tabs>
          <w:tab w:leader="none" w:pos="12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amount that could be received (whether in cash or property or the vesting of property) by any “disqualified individual” of ACT under any ACT Employee Benefit Plan or otherwise as a result of the consummation of the transactions contemplated by this Agreement could, separately or in the aggregate, result in any payments or benefits under any agreement with ACT that could constitute the payment of any “excess parachute payment” within the meaning of Section 280G of the Code or result in the imposition of an excise Tax under Section 4999 of the Code.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jc w:val="both"/>
        <w:ind w:right="80" w:firstLine="987"/>
        <w:spacing w:after="0" w:line="263"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prepared and filed all material Tax Returns required to have been filed by it, all such Tax Returns are true and complete in all material respects and prepared in compliance in all material respects with all applicable Laws and Orders, and ACT has paid all material Taxes required to have been paid or deposited by it regardless of whether shown on a Tax Return.</w:t>
      </w:r>
    </w:p>
    <w:p>
      <w:pPr>
        <w:spacing w:after="0" w:line="75" w:lineRule="exact"/>
        <w:rPr>
          <w:rFonts w:ascii="Arial" w:cs="Arial" w:eastAsia="Arial" w:hAnsi="Arial"/>
          <w:sz w:val="18"/>
          <w:szCs w:val="18"/>
          <w:color w:val="auto"/>
        </w:rPr>
      </w:pPr>
    </w:p>
    <w:p>
      <w:pPr>
        <w:ind w:right="280" w:firstLine="987"/>
        <w:spacing w:after="0" w:line="263"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75" w:lineRule="exact"/>
        <w:rPr>
          <w:rFonts w:ascii="Arial" w:cs="Arial" w:eastAsia="Arial" w:hAnsi="Arial"/>
          <w:sz w:val="18"/>
          <w:szCs w:val="18"/>
          <w:color w:val="auto"/>
        </w:rPr>
      </w:pPr>
    </w:p>
    <w:p>
      <w:pPr>
        <w:ind w:right="580" w:firstLine="987"/>
        <w:spacing w:after="0" w:line="342"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ACT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15" w:lineRule="exact"/>
        <w:rPr>
          <w:rFonts w:ascii="Arial" w:cs="Arial" w:eastAsia="Arial" w:hAnsi="Arial"/>
          <w:sz w:val="16"/>
          <w:szCs w:val="16"/>
          <w:color w:val="auto"/>
        </w:rPr>
      </w:pPr>
    </w:p>
    <w:p>
      <w:pPr>
        <w:ind w:firstLine="987"/>
        <w:spacing w:after="0" w:line="263"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75" w:name="page76"/>
    <w:bookmarkEnd w:id="75"/>
    <w:p>
      <w:pPr>
        <w:ind w:left="4" w:right="20" w:firstLine="987"/>
        <w:spacing w:after="0" w:line="263"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ACT which agreement or ruling would be effective after the Closing Date.</w:t>
      </w:r>
    </w:p>
    <w:p>
      <w:pPr>
        <w:spacing w:after="0" w:line="75" w:lineRule="exact"/>
        <w:rPr>
          <w:rFonts w:ascii="Arial" w:cs="Arial" w:eastAsia="Arial" w:hAnsi="Arial"/>
          <w:sz w:val="18"/>
          <w:szCs w:val="18"/>
          <w:color w:val="auto"/>
        </w:rPr>
      </w:pPr>
    </w:p>
    <w:p>
      <w:pPr>
        <w:ind w:left="4" w:right="400" w:firstLine="987"/>
        <w:spacing w:after="0" w:line="277" w:lineRule="auto"/>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not and has not been a party to any “listed transaction” as defined in Section 6707A of the Code and Treasury Regulations Section 1.6011-4 (or any corresponding or similar provision of state, local or non-U.S. income Tax Law).</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ACT other than Permitted Liens.</w:t>
      </w:r>
    </w:p>
    <w:p>
      <w:pPr>
        <w:spacing w:after="0" w:line="117" w:lineRule="exact"/>
        <w:rPr>
          <w:rFonts w:ascii="Arial" w:cs="Arial" w:eastAsia="Arial" w:hAnsi="Arial"/>
          <w:sz w:val="18"/>
          <w:szCs w:val="18"/>
          <w:color w:val="auto"/>
        </w:rPr>
      </w:pPr>
    </w:p>
    <w:p>
      <w:pPr>
        <w:ind w:left="4" w:right="500" w:firstLine="987"/>
        <w:spacing w:after="0" w:line="263" w:lineRule="auto"/>
        <w:tabs>
          <w:tab w:leader="none" w:pos="12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the two (2) year period ending on the date of this Agreement, ACT was not a distributing corporation or a controlled corporation in a transaction purported or intended to be governed by Section 355 of the Code (or so much of Section 356 of the Code as relates to Section 355 of the Code).</w:t>
      </w:r>
    </w:p>
    <w:p>
      <w:pPr>
        <w:spacing w:after="0" w:line="75" w:lineRule="exact"/>
        <w:rPr>
          <w:rFonts w:ascii="Arial" w:cs="Arial" w:eastAsia="Arial" w:hAnsi="Arial"/>
          <w:sz w:val="18"/>
          <w:szCs w:val="18"/>
          <w:color w:val="auto"/>
        </w:rPr>
      </w:pPr>
    </w:p>
    <w:p>
      <w:pPr>
        <w:ind w:left="4" w:right="160" w:firstLine="987"/>
        <w:spacing w:after="0" w:line="259" w:lineRule="auto"/>
        <w:tabs>
          <w:tab w:leader="none" w:pos="12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 has not been a member of an affiliated group filing a consolidated federal income Tax return (other than a group the common parent of which was ACT) and (ii) has no material Liability for the Taxes of any Person under Section 1.1502-6 of the Treasury Regulations (or any similar provision of state, local or non-United States Law), as a transferee or successor or by Contract (other than any Contract entered into in the ordinary course of business the principal purpose of which does not relate to Taxes).</w:t>
      </w:r>
    </w:p>
    <w:p>
      <w:pPr>
        <w:spacing w:after="0" w:line="78" w:lineRule="exact"/>
        <w:rPr>
          <w:rFonts w:ascii="Arial" w:cs="Arial" w:eastAsia="Arial" w:hAnsi="Arial"/>
          <w:sz w:val="18"/>
          <w:szCs w:val="18"/>
          <w:color w:val="auto"/>
        </w:rPr>
      </w:pPr>
    </w:p>
    <w:p>
      <w:pPr>
        <w:ind w:left="4" w:firstLine="987"/>
        <w:spacing w:after="0" w:line="277" w:lineRule="auto"/>
        <w:tabs>
          <w:tab w:leader="none" w:pos="12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written claims have ever been made by any Tax Authority in a jurisdiction where ACT does not file Tax Returns that ACT is or may be subject to taxation by that jurisdiction, which claims have not been resolved or withdrawn.</w:t>
      </w:r>
    </w:p>
    <w:p>
      <w:pPr>
        <w:spacing w:after="0" w:line="62"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not a party to any Tax allocation, Tax sharing or Tax indemnity or similar agreements (other than one that is included in a Contract entered into in the ordinary course of business that is not primarily related to Taxes) and ACT is not a party to any joint venture, partnership or other arrangement that is treated as a partnership for U.S. federal income Tax purposes.</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tax resident only in its jurisdiction of organization, incorporation or formation, as applicable.</w:t>
      </w:r>
    </w:p>
    <w:p>
      <w:pPr>
        <w:spacing w:after="0" w:line="117" w:lineRule="exact"/>
        <w:rPr>
          <w:rFonts w:ascii="Arial" w:cs="Arial" w:eastAsia="Arial" w:hAnsi="Arial"/>
          <w:sz w:val="18"/>
          <w:szCs w:val="18"/>
          <w:color w:val="auto"/>
        </w:rPr>
      </w:pPr>
    </w:p>
    <w:p>
      <w:pPr>
        <w:ind w:left="4" w:right="100" w:firstLine="987"/>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has no permanent establishment (within the meaning of an applicable Tax treaty) and does not otherwise have an office or fixed place of business that would cause it to be subject to tax in a country other than the country in which it is organized.</w:t>
      </w:r>
    </w:p>
    <w:p>
      <w:pPr>
        <w:spacing w:after="0" w:line="62" w:lineRule="exact"/>
        <w:rPr>
          <w:rFonts w:ascii="Arial" w:cs="Arial" w:eastAsia="Arial" w:hAnsi="Arial"/>
          <w:sz w:val="18"/>
          <w:szCs w:val="18"/>
          <w:color w:val="auto"/>
        </w:rPr>
      </w:pPr>
    </w:p>
    <w:p>
      <w:pPr>
        <w:ind w:left="4" w:right="20" w:firstLine="987"/>
        <w:spacing w:after="0" w:line="286" w:lineRule="auto"/>
        <w:tabs>
          <w:tab w:leader="none" w:pos="12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ACT (nor any direct or indirect equity owner thereof) will not be required to include any material item of income in, or exclude any material item of deduction from, taxable income for any taxable period (or portion thereof) ending after the Closing Date as a result of any (a) change in or use of an improper method of accounting for a taxable period (or portion thereof) ending on or prior to the Closing Date, (b) closing (or similar) agreement executed on or prior to the Closing Date, (c) installment sale or open transaction disposition made on or prior to the Closing Date,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prepaid amount received or deferred revenue accrued on or prior to the Closing Date.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4"/>
          </w:cols>
          <w:pgMar w:left="436" w:top="274" w:right="479" w:bottom="1440" w:gutter="0" w:footer="0" w:header="0"/>
        </w:sectPr>
      </w:pPr>
    </w:p>
    <w:bookmarkStart w:id="76" w:name="page77"/>
    <w:bookmarkEnd w:id="76"/>
    <w:p>
      <w:pPr>
        <w:ind w:left="4" w:firstLine="987"/>
        <w:spacing w:after="0" w:line="293" w:lineRule="auto"/>
        <w:tabs>
          <w:tab w:leader="none" w:pos="1250"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has not deferred any “applicable employment taxes” (as defined in Section 2302(d)(1) of the CARES Act) that may be deferred pursuant to Section 2302 of the CARES Act; no Group Company has deferred any payroll Tax obligations (including those imposed by Sections 3101(a) and 3201 of the Code) pursuant to or in connection with the Payroll Tax Executive Order; and ACT has not sought or obtained, and does not intend to seek or obtain a covered loan under paragraph (36) of Section 7(a) of the Small Business Act (15 U.S.C. 636(a)), as added by Section 1102 of the CARES Act. To the extent applicable, ACT has properly complied in all material respects with all Laws and duly accounted for any available Tax credits under Sections 7001 through 7005 of the FFCRA and Section 2301 of the CARES Act or any similar provision of state or local Law.</w:t>
      </w:r>
    </w:p>
    <w:p>
      <w:pPr>
        <w:spacing w:after="0" w:line="56" w:lineRule="exact"/>
        <w:rPr>
          <w:rFonts w:ascii="Arial" w:cs="Arial" w:eastAsia="Arial" w:hAnsi="Arial"/>
          <w:sz w:val="16"/>
          <w:szCs w:val="16"/>
          <w:color w:val="auto"/>
        </w:rPr>
      </w:pPr>
    </w:p>
    <w:p>
      <w:pPr>
        <w:ind w:left="4" w:right="180" w:firstLine="987"/>
        <w:spacing w:after="0" w:line="257" w:lineRule="auto"/>
        <w:tabs>
          <w:tab w:leader="none" w:pos="12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the date of this Agreement, ACT has not taken or agreed to take any action not contemplated by this Agreement and/or any Ancillary Documents that could reasonably be expected to prevent the ACT Share Conversion, the Domestication or the ACT Cash Contribution from qualifying for the Intended Tax Treatment. To the knowledge of ACT, no facts or circumstances exist as of the date of this Agreement that could reasonably be expected to prevent the ACT Share Conversion, the Domestication or the ACT Cash Contribution from qualifying for the Intended Tax Treatment.</w:t>
      </w:r>
    </w:p>
    <w:p>
      <w:pPr>
        <w:spacing w:after="0" w:line="184"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b w:val="1"/>
          <w:bCs w:val="1"/>
          <w:color w:val="auto"/>
        </w:rPr>
        <w:t xml:space="preserve">Section 4.21 </w:t>
      </w:r>
      <w:r>
        <w:rPr>
          <w:rFonts w:ascii="Arial" w:cs="Arial" w:eastAsia="Arial" w:hAnsi="Arial"/>
          <w:sz w:val="16"/>
          <w:szCs w:val="16"/>
          <w:b w:val="1"/>
          <w:bCs w:val="1"/>
          <w:u w:val="single" w:color="auto"/>
          <w:color w:val="auto"/>
        </w:rPr>
        <w:t>CFIUS Foreign Person Status</w:t>
      </w:r>
      <w:r>
        <w:rPr>
          <w:rFonts w:ascii="Arial" w:cs="Arial" w:eastAsia="Arial" w:hAnsi="Arial"/>
          <w:sz w:val="16"/>
          <w:szCs w:val="16"/>
          <w:color w:val="auto"/>
        </w:rPr>
        <w:t>. ACT is not a “foreign person” or a “foreign entity,” as defined in Section 721 of the Defense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Act of 1950, including all implementing regulations thereof (the “</w:t>
      </w:r>
      <w:r>
        <w:rPr>
          <w:rFonts w:ascii="Arial" w:cs="Arial" w:eastAsia="Arial" w:hAnsi="Arial"/>
          <w:sz w:val="16"/>
          <w:szCs w:val="16"/>
          <w:u w:val="single" w:color="auto"/>
          <w:color w:val="auto"/>
        </w:rPr>
        <w:t>DPA</w:t>
      </w:r>
      <w:r>
        <w:rPr>
          <w:rFonts w:ascii="Arial" w:cs="Arial" w:eastAsia="Arial" w:hAnsi="Arial"/>
          <w:sz w:val="16"/>
          <w:szCs w:val="16"/>
          <w:color w:val="auto"/>
        </w:rPr>
        <w:t>”). ACT is not controlled by a “foreign person,” as defined in the DPA. ACT does not permit any foreign person affiliated with ACT, whether affiliated as a limited partner or otherwise, to obtain through ACT any of the following with respect to ACT: (a) access to any “material nonpublic technical information” (as defined in the DPA) in the possession of ACT;</w:t>
      </w:r>
    </w:p>
    <w:p>
      <w:pPr>
        <w:spacing w:after="0" w:line="2" w:lineRule="exact"/>
        <w:rPr>
          <w:sz w:val="20"/>
          <w:szCs w:val="20"/>
          <w:color w:val="auto"/>
        </w:rPr>
      </w:pPr>
    </w:p>
    <w:p>
      <w:pPr>
        <w:ind w:left="4" w:hanging="4"/>
        <w:spacing w:after="0" w:line="252"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membership or observer rights on the Board of Directors or equivalent governing body of ACT or the right to nominate an individual to a position on the Board of Directors or equivalent governing body of ACT; (c) any involvement, other than through the voting of shares, in the substantive decision-making of ACT regarding (i) the use, development, acquisition, or release of any “critical technology” (as defined in the DPA), (ii) the use, development, acquisition, safekeeping, or release of “sensitive personal data” (as defined in the DPA) of U.S. citizens maintained or collected by ACT, or (iii) the management, operation, manufacture, or supply of “covered investment critical infrastructure” (as defined in the DPA); or (d) “control” of the Company (as defined in the DPA).</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4" w:right="80" w:firstLine="987"/>
        <w:spacing w:after="0" w:line="272" w:lineRule="auto"/>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Since ACT’s incorporation, neither ACT nor, ACT’s respective officers, directors or employees or, to ACT’s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(i)-(iii) or any country or territory which is or has, since ACT’s incorporation, been the subject of or target of any Sanctions and Export Control Laws (at the time of this Agreement, the Crimea region of Ukraine, Cuba, Iran, North Korea, Venezuela, Sudan and Syria).</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77" w:name="page78"/>
    <w:bookmarkEnd w:id="77"/>
    <w:p>
      <w:pPr>
        <w:ind w:right="200" w:firstLine="987"/>
        <w:spacing w:after="0" w:line="301" w:lineRule="auto"/>
        <w:tabs>
          <w:tab w:leader="none" w:pos="1246"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ACT’s incorporation, none of ACT, any of its officers or directors or, to ACT’s knowledge, any of its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53"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b w:val="1"/>
          <w:bCs w:val="1"/>
          <w:u w:val="single" w:color="auto"/>
          <w:color w:val="auto"/>
        </w:rPr>
        <w:t>Change of Control Payments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ACT Disclosure Schedules set forth a list of all ACT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of the date of this Agreement.</w:t>
      </w:r>
    </w:p>
    <w:p>
      <w:pPr>
        <w:spacing w:after="0" w:line="16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4.24 </w:t>
      </w:r>
      <w:r>
        <w:rPr>
          <w:rFonts w:ascii="Arial" w:cs="Arial" w:eastAsia="Arial" w:hAnsi="Arial"/>
          <w:sz w:val="16"/>
          <w:szCs w:val="16"/>
          <w:b w:val="1"/>
          <w:bCs w:val="1"/>
          <w:u w:val="single" w:color="auto"/>
          <w:color w:val="auto"/>
        </w:rPr>
        <w:t>PIPE Financing</w:t>
      </w:r>
      <w:r>
        <w:rPr>
          <w:rFonts w:ascii="Arial" w:cs="Arial" w:eastAsia="Arial" w:hAnsi="Arial"/>
          <w:sz w:val="16"/>
          <w:szCs w:val="16"/>
          <w:color w:val="auto"/>
        </w:rPr>
        <w:t>. ACT has delivered to the Company true, correct and complete copies of the fully executed PIPE Subscription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as in effect as of the date hereof, each of which is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pursuant to which the PIPE Investors have collectively committed, on the terms and subject to the conditions therein, to purchase an aggregate of 12,500,000 Post-Closing ACT Class A Shares for $10.00 per share. Each of the PIPE Subscription Agreements, as of the date hereof, is in full force and effect (assuming, with respect to each PIPE Investor, that each such PIPE Subscription Agreement has been duly authorized, executed and delivered by each applicable PIPE Investor), and as of the date hereof, none of the PIPE Subscription Agreements have been withdrawn, rescinded, terminated, amended or modified in any respect, and, to ACT’s knowledge, no withdrawal, rescission, termination, amendment or modification is contemplated as of the date hereof. Each PIPE Subscription Agreement is a legal, valid and binding obligation of ACT and, to ACT’s knowledge, each PIPE Investor, subject to applicable bankruptcy, insolvency, reorganization, moratorium or other Laws affecting generally the enforcement of creditors’ rights and subject to general principles of equity. None of the execution, delivery or performance of obligations under such PIPE Subscription Agreement by ACT or, to ACT’s knowledge, each PIPE Investor, violates any Laws. ACT is not in breach of any of its representations or warranties, or the terms or conditions, set forth in any of the PIPE Subscription Agreements. As of the date hereof, no event has occurred which, with or without notice, lapse of time or both, would reasonably be expected to constitute a breach or default of, or failure to satisfy, any condition precedent or any material term or condition set forth in any PIPE Subscriptions Agreement. As of the date hereof, ACT has no reason to believe that it will be unable to satisfy in all material respects on a timely basis any term or condition of closing to be satisfied by it contained in any PIPE Subscription Agreement. As of the date hereof, assuming the accuracy of the representations and warranties contained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all material respects and, with respect to each PIPE Investor, the representations and 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the performance by each PIPE Investor of its covenants, agreements and obligations under the applicable PIPE Subscription Agreement in all material respects, ACT (a) has no knowledge that any event has occurred that (with or without notice or lapse of time, or both) would constitute a breach or default under any of the PIPE Subscription Agreements, (b) has no knowledge of any fact, event or other occurrence that makes any of the representations or warranties of ACT in any of the PIPE Subscription Agreements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8" w:name="page79"/>
    <w:bookmarkEnd w:id="78"/>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inaccurate in any material respect and (c)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ACT of its intention to terminate all or any portion of the Subscription Amount (as defined in the PIPE Subscription Agreements) or not to provide the financing contemplated thereunder. Other than as set forth in the PIPE Subscription Agreements, (i) there are no conditions precedent or contingencies to the obligations of the PIPE Investors to contribute to ACT the applicable portion of the PIPE Financing Amount set forth in the PIPE Subscription Agreements on the terms therein, and (ii) there are no side letters or other agreements, understandings, contracts or arrangements (written, oral or otherwise) between ACT and any PIPE Investor related to the PIPE Subscription Agreements or the PIPE Financing (other than those entered into with the placement agents) and, as of the date hereof, ACT does not know of any facts or circumstances that may reasonably be expected to result in any of the conditions set forth in any PIPE Subscription Agreement not being satisfied, or the PIPE Financing Amount not being available to ACT, on the Closing Date. No fees, consideration or other discounts are payable or have been agreed by ACT to any PIPE Investor in respect of its portion of the PIPE Financing Amount, except as set forth in the PIPE Subscription Agreements.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5"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84"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ACT has relied solely on its own investigation and analysis and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and no other representations or warranties of the Company or any other Person, either express or implied, and ACT,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4.26 </w:t>
      </w:r>
      <w:r>
        <w:rPr>
          <w:rFonts w:ascii="Arial" w:cs="Arial" w:eastAsia="Arial" w:hAnsi="Arial"/>
          <w:sz w:val="18"/>
          <w:szCs w:val="18"/>
          <w:b w:val="1"/>
          <w:bCs w:val="1"/>
          <w:u w:val="single" w:color="auto"/>
          <w:color w:val="auto"/>
        </w:rPr>
        <w:t>EXCLUSIVITY OF REPRESENTATIONS AND WARRANTIES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TO THE COMPANY OR ANY OF ITS REPRESENTATIVES OF ANY DOCUMENTATION OR OTHER INFORMATION (INCLUDING ANY FINANCIAL PROJECTIONS OR OTHER SUPPLEMENTAL DATA), EXCEPT AS OTHERWISE EXPRESSLY SET FORTH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ANCILLARY DOCUMENTS, NONE OF ACT OR ANY OTHER PERSON MAKES,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9" w:name="page80"/>
    <w:bookmarkEnd w:id="7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ACT THAT HAVE BEEN MADE AVAILABLE TO THE COMPANY OR ANY OF ITS REPRESENTATIVES OR IN ANY PRESENTATION OF THE BUSINESS AND AFFAIRS OF ACT BY OR ON BEHALF OF THE MANAGEMENT OF ACT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ACT, ARE NOT AND SHALL NOT BE DEEMED TO BE OR TO INCLUDE REPRESENTATIONS OR WARRANTIES OF ACT,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Conduct of Business of the Company</w:t>
      </w:r>
      <w:r>
        <w:rPr>
          <w:rFonts w:ascii="Arial" w:cs="Arial" w:eastAsia="Arial" w:hAnsi="Arial"/>
          <w:sz w:val="18"/>
          <w:szCs w:val="18"/>
          <w:color w:val="auto"/>
        </w:rPr>
        <w:t>.</w:t>
      </w:r>
    </w:p>
    <w:p>
      <w:pPr>
        <w:spacing w:after="0" w:line="121" w:lineRule="exact"/>
        <w:rPr>
          <w:sz w:val="20"/>
          <w:szCs w:val="20"/>
          <w:color w:val="auto"/>
        </w:rPr>
      </w:pPr>
    </w:p>
    <w:p>
      <w:pPr>
        <w:ind w:left="4" w:right="240" w:firstLine="987"/>
        <w:spacing w:after="0" w:line="284" w:lineRule="auto"/>
        <w:tabs>
          <w:tab w:leader="none" w:pos="12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of the Company Disclosure Schedules, or as consented to in writing by ACT (such consent not to be unreasonably withheld, conditioned or delayed), (i) operate the business of the Group Companies in the ordinary course in all material respects and (ii) use commercially reasonable efforts to (A) maintain and preserve intact in all material respects the business organization, assets and properties and material business relations of the Group Companies, (B) retain the current key officers of the Group Companies and</w:t>
      </w:r>
    </w:p>
    <w:p>
      <w:pPr>
        <w:spacing w:after="0" w:line="4" w:lineRule="exact"/>
        <w:rPr>
          <w:rFonts w:ascii="Arial" w:cs="Arial" w:eastAsia="Arial" w:hAnsi="Arial"/>
          <w:sz w:val="16"/>
          <w:szCs w:val="16"/>
          <w:color w:val="auto"/>
        </w:rPr>
      </w:pPr>
    </w:p>
    <w:p>
      <w:pPr>
        <w:ind w:left="284" w:hanging="284"/>
        <w:spacing w:after="0"/>
        <w:tabs>
          <w:tab w:leader="none" w:pos="2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preserve the relationships with the key customers and the key suppliers of the Group Companies.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80" w:name="page81"/>
    <w:bookmarkEnd w:id="80"/>
    <w:p>
      <w:pPr>
        <w:ind w:left="-20" w:right="40" w:firstLine="987"/>
        <w:spacing w:after="0" w:line="255" w:lineRule="auto"/>
        <w:tabs>
          <w:tab w:leader="none" w:pos="1226"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ACT (such consent, other than in the case of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5.1(b)(xxi)</w:t>
      </w:r>
      <w:r>
        <w:rPr>
          <w:rFonts w:ascii="Arial" w:cs="Arial" w:eastAsia="Arial" w:hAnsi="Arial"/>
          <w:sz w:val="18"/>
          <w:szCs w:val="18"/>
          <w:color w:val="auto"/>
        </w:rPr>
        <w:t xml:space="preserve"> (to the extent related to any of the foregoing), not to be unreasonably withheld, conditioned or delayed), not do any of the following:</w:t>
      </w:r>
    </w:p>
    <w:p>
      <w:pPr>
        <w:spacing w:after="0" w:line="84" w:lineRule="exact"/>
        <w:rPr>
          <w:rFonts w:ascii="Arial" w:cs="Arial" w:eastAsia="Arial" w:hAnsi="Arial"/>
          <w:sz w:val="18"/>
          <w:szCs w:val="18"/>
          <w:color w:val="auto"/>
        </w:rPr>
      </w:pPr>
    </w:p>
    <w:p>
      <w:pPr>
        <w:ind w:left="960" w:right="260" w:firstLine="408"/>
        <w:spacing w:after="0" w:line="259" w:lineRule="auto"/>
        <w:tabs>
          <w:tab w:leader="none" w:pos="15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78" w:lineRule="exact"/>
        <w:rPr>
          <w:rFonts w:ascii="Arial" w:cs="Arial" w:eastAsia="Arial" w:hAnsi="Arial"/>
          <w:sz w:val="18"/>
          <w:szCs w:val="18"/>
          <w:color w:val="auto"/>
        </w:rPr>
      </w:pPr>
    </w:p>
    <w:p>
      <w:pPr>
        <w:jc w:val="both"/>
        <w:ind w:left="960" w:right="380" w:firstLine="408"/>
        <w:spacing w:after="0" w:line="301" w:lineRule="auto"/>
        <w:tabs>
          <w:tab w:leader="none" w:pos="1626"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 other than any such transaction where the cash purchase price paid by any Group Company does not exceed $100,000,000 in the aggregate;</w:t>
      </w:r>
    </w:p>
    <w:p>
      <w:pPr>
        <w:spacing w:after="0" w:line="49" w:lineRule="exact"/>
        <w:rPr>
          <w:rFonts w:ascii="Arial" w:cs="Arial" w:eastAsia="Arial" w:hAnsi="Arial"/>
          <w:sz w:val="16"/>
          <w:szCs w:val="16"/>
          <w:color w:val="auto"/>
        </w:rPr>
      </w:pPr>
    </w:p>
    <w:p>
      <w:pPr>
        <w:ind w:left="1680" w:hanging="312"/>
        <w:spacing w:after="0"/>
        <w:tabs>
          <w:tab w:leader="none" w:pos="16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adopt any amendments, supplements, restatements or modifications to any Group Company’s Governing Documents;</w:t>
      </w:r>
    </w:p>
    <w:p>
      <w:pPr>
        <w:spacing w:after="0" w:line="128" w:lineRule="exact"/>
        <w:rPr>
          <w:rFonts w:ascii="Arial" w:cs="Arial" w:eastAsia="Arial" w:hAnsi="Arial"/>
          <w:sz w:val="17"/>
          <w:szCs w:val="17"/>
          <w:color w:val="auto"/>
        </w:rPr>
      </w:pPr>
    </w:p>
    <w:p>
      <w:pPr>
        <w:ind w:left="960" w:firstLine="408"/>
        <w:spacing w:after="0" w:line="285" w:lineRule="auto"/>
        <w:tabs>
          <w:tab w:leader="none" w:pos="16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sell, transfer, assign, abandon, lease, sublease, license, sublicense, let lapse, let expire (except the expiration of Intellectual Property Rights in accordance with its maximum statutory term), or otherwise dispose of any material assets or properties of the Group Companies, other than in the ordinary course of business, (B) disclose any trade secrets (other than pursuant to a written confidentiality and non-disclosure agreement entered into in the ordinary course of business), or (C) subject any material assets or properties of the Group Companies to any Lien (other than any Permitted Liens or in connection with the incurrence of indebtedness permitted by this</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1620" w:hanging="252"/>
        <w:spacing w:after="0"/>
        <w:tabs>
          <w:tab w:leader="none" w:pos="1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transfer, issue, sell, grant or otherwise dispose of, or subject to a Lien, (A) any Equity Securities of any Group Company or</w:t>
      </w:r>
    </w:p>
    <w:p>
      <w:pPr>
        <w:spacing w:after="0" w:line="35" w:lineRule="exact"/>
        <w:rPr>
          <w:sz w:val="20"/>
          <w:szCs w:val="20"/>
          <w:color w:val="auto"/>
        </w:rPr>
      </w:pPr>
    </w:p>
    <w:p>
      <w:pPr>
        <w:ind w:left="960" w:firstLine="7"/>
        <w:spacing w:after="0" w:line="290" w:lineRule="auto"/>
        <w:tabs>
          <w:tab w:leader="none" w:pos="1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options, stock appreciation rights, restricted stock, restricted stock units, performance shares, performance stock units, warrants, rights of conversion or other rights, agreements, arrangements or commitments obligating any Group Company to issue, deliver or sell any Equity Securities of any Group Company other than, in each case, Equity Securities, options, stock appreciation rights, restricted stock, restricted stock units, performance shares, performance stock units, warrants, rights of conversion or other rights, agreements, arrangements or commitments granted to any director, manager, officer, employee, individual independent contractor or other service provider or any Group Company in the form of compensation or pursuant to any compensation agreement or arrangement;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460" w:top="274" w:right="479" w:bottom="1440" w:gutter="0" w:footer="0" w:header="0"/>
        </w:sectPr>
      </w:pPr>
    </w:p>
    <w:bookmarkStart w:id="81" w:name="page82"/>
    <w:bookmarkEnd w:id="81"/>
    <w:p>
      <w:pPr>
        <w:ind w:left="-20" w:right="180" w:firstLine="408"/>
        <w:spacing w:after="0" w:line="277" w:lineRule="auto"/>
        <w:tabs>
          <w:tab w:leader="none" w:pos="68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 create or assume any Indebtedness, other than (A) ordinary course trade payables, (B) indebtedness for borrowed money which shall not exceed $100,000,000 in the aggregate or (C) guarantee any Liability of any Person;</w:t>
      </w:r>
    </w:p>
    <w:p>
      <w:pPr>
        <w:spacing w:after="0" w:line="62" w:lineRule="exact"/>
        <w:rPr>
          <w:rFonts w:ascii="Arial" w:cs="Arial" w:eastAsia="Arial" w:hAnsi="Arial"/>
          <w:sz w:val="18"/>
          <w:szCs w:val="18"/>
          <w:color w:val="auto"/>
        </w:rPr>
      </w:pPr>
    </w:p>
    <w:p>
      <w:pPr>
        <w:ind w:left="-20" w:right="40" w:firstLine="408"/>
        <w:spacing w:after="0" w:line="269" w:lineRule="auto"/>
        <w:tabs>
          <w:tab w:leader="none" w:pos="7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5.1(b)(vii)</w:t>
      </w:r>
      <w:r>
        <w:rPr>
          <w:rFonts w:ascii="Arial" w:cs="Arial" w:eastAsia="Arial" w:hAnsi="Arial"/>
          <w:sz w:val="17"/>
          <w:szCs w:val="17"/>
          <w:color w:val="auto"/>
        </w:rPr>
        <w:t xml:space="preserve"> of the Company Disclosure Schedules and other than with respect to any Real Property Lease that is a gas rights agreement, (A) amend or modify, in either case, in a manner materially adverse to the Company, or terminate any Material Contract of the type described in </w:t>
      </w:r>
      <w:r>
        <w:rPr>
          <w:rFonts w:ascii="Arial" w:cs="Arial" w:eastAsia="Arial" w:hAnsi="Arial"/>
          <w:sz w:val="17"/>
          <w:szCs w:val="17"/>
          <w:u w:val="single" w:color="auto"/>
          <w:color w:val="auto"/>
        </w:rPr>
        <w:t>Section 3.7(a)(iv)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3.7(a)(x)</w:t>
      </w:r>
      <w:r>
        <w:rPr>
          <w:rFonts w:ascii="Arial" w:cs="Arial" w:eastAsia="Arial" w:hAnsi="Arial"/>
          <w:sz w:val="17"/>
          <w:szCs w:val="17"/>
          <w:color w:val="auto"/>
        </w:rPr>
        <w:t xml:space="preserve"> (such types of Material Contracts, collectively, the “</w:t>
      </w:r>
      <w:r>
        <w:rPr>
          <w:rFonts w:ascii="Arial" w:cs="Arial" w:eastAsia="Arial" w:hAnsi="Arial"/>
          <w:sz w:val="17"/>
          <w:szCs w:val="17"/>
          <w:u w:val="single" w:color="auto"/>
          <w:color w:val="auto"/>
        </w:rPr>
        <w:t>Designated Material Contracts</w:t>
      </w:r>
      <w:r>
        <w:rPr>
          <w:rFonts w:ascii="Arial" w:cs="Arial" w:eastAsia="Arial" w:hAnsi="Arial"/>
          <w:sz w:val="17"/>
          <w:szCs w:val="17"/>
          <w:color w:val="auto"/>
        </w:rPr>
        <w:t>”) or Real Property Lease (excluding, for the avoidance of doubt, any expiration or automatic extension or renewal of any Designated Material Contract or Real Property Lease pursuant to its terms or entering into additional work or purchase orders pursuant to, and in accordance with the terms of, any Designated Material Contract or Real Property Lease), (B) waive any material benefit or right under any Designated Material Contract or Real Property Lease or (C) enter into any Contract that would, if in effect as of the date hereof, have constituted a Designated Material Contract or Real Property Lease or take any of the actions described in clause (A) or (B) with respect to any Contract entered into after the date hereof that would, if in effect as of the date hereof, have constituted a Designated Material Contract or Real Property Lease;</w:t>
      </w:r>
    </w:p>
    <w:p>
      <w:pPr>
        <w:spacing w:after="0" w:line="77" w:lineRule="exact"/>
        <w:rPr>
          <w:rFonts w:ascii="Arial" w:cs="Arial" w:eastAsia="Arial" w:hAnsi="Arial"/>
          <w:sz w:val="17"/>
          <w:szCs w:val="17"/>
          <w:color w:val="auto"/>
        </w:rPr>
      </w:pPr>
    </w:p>
    <w:p>
      <w:pPr>
        <w:ind w:left="-20" w:right="140" w:firstLine="408"/>
        <w:spacing w:after="0" w:line="286" w:lineRule="auto"/>
        <w:tabs>
          <w:tab w:leader="none" w:pos="786"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spacing w:after="0" w:line="57" w:lineRule="exact"/>
        <w:rPr>
          <w:rFonts w:ascii="Arial" w:cs="Arial" w:eastAsia="Arial" w:hAnsi="Arial"/>
          <w:sz w:val="17"/>
          <w:szCs w:val="17"/>
          <w:color w:val="auto"/>
        </w:rPr>
      </w:pPr>
    </w:p>
    <w:p>
      <w:pPr>
        <w:ind w:left="-20" w:firstLine="408"/>
        <w:spacing w:after="0" w:line="286" w:lineRule="auto"/>
        <w:tabs>
          <w:tab w:leader="none" w:pos="686"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except as required by law or required under the terms of any Company Employee Benefit Plan, (A) amend or modify or adopt or enter into any Company Employee Benefit Plan of any Group Company or any benefit or compensation plan, policy, program or Contract that would be a Company Employee Benefit Plan if in effect as of the date of this Agreement other than ordinary course of business annual health and welfare plan renewals, (B) increase the compensation or benefits payable to any current or former director, manager, officer, employee, individual independent contractor or other service provider of any Group Company other than (1) ordinary course of business increases in compensation or benefits in connection with annual merit increases of the Group Companies and (2) increases in compensation or benefits in connection with the promotion of any such employee, (C) take any action to accelerate any payment or benefit (whether individually or in the aggregate), right to payment or benefit, or the funding of any payment or benefit (whether individually or in the aggregate), payable or to become payable to any current or former director, manager, officer, employee, individual independent contractor or other service provider of any Group Company, (D) waive or release any noncompetition, nonsolicitation, no-hire, nondisclosure, nondisparagement or other restrictive covenant obligation of any current or former director, manager, officer, employee, individual independent contractor or other service provider of any Group Company or (E) hire or otherwise enter into any employment or service agreement or arrangement with any director, manager, officer, employee, individual independent contractor or other service provider of any Group Company whose total annual compensation opportunity exceeds $400,000;</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00"/>
          </w:cols>
          <w:pgMar w:left="1440" w:top="274" w:right="459" w:bottom="1440" w:gutter="0" w:footer="0" w:header="0"/>
        </w:sectPr>
      </w:pPr>
    </w:p>
    <w:bookmarkStart w:id="82" w:name="page83"/>
    <w:bookmarkEnd w:id="82"/>
    <w:p>
      <w:pPr>
        <w:ind w:left="640" w:hanging="252"/>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 or announce any employee layoffs, plant closings, reductions-in-force or other actions that could implicate WARN;</w:t>
      </w:r>
    </w:p>
    <w:p>
      <w:pPr>
        <w:spacing w:after="0" w:line="140" w:lineRule="exact"/>
        <w:rPr>
          <w:rFonts w:ascii="Arial" w:cs="Arial" w:eastAsia="Arial" w:hAnsi="Arial"/>
          <w:sz w:val="16"/>
          <w:szCs w:val="16"/>
          <w:color w:val="auto"/>
        </w:rPr>
      </w:pPr>
    </w:p>
    <w:p>
      <w:pPr>
        <w:ind w:left="-20" w:right="300" w:firstLine="408"/>
        <w:spacing w:after="0" w:line="277" w:lineRule="auto"/>
        <w:tabs>
          <w:tab w:leader="none" w:pos="6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or negotiate any CBA, or recognize or certify any labor union, works council, other labor organization or group of employees as the representative for any employees of any Group Company;</w:t>
      </w:r>
    </w:p>
    <w:p>
      <w:pPr>
        <w:spacing w:after="0" w:line="62" w:lineRule="exact"/>
        <w:rPr>
          <w:rFonts w:ascii="Arial" w:cs="Arial" w:eastAsia="Arial" w:hAnsi="Arial"/>
          <w:sz w:val="18"/>
          <w:szCs w:val="18"/>
          <w:color w:val="auto"/>
        </w:rPr>
      </w:pPr>
    </w:p>
    <w:p>
      <w:pPr>
        <w:ind w:left="-20" w:right="80" w:firstLine="408"/>
        <w:spacing w:after="0" w:line="293" w:lineRule="auto"/>
        <w:tabs>
          <w:tab w:leader="none" w:pos="7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make, change or revoke any material election concerning Taxes other than in the ordinary course of business, enter into any material Tax closing agreement, enter into any Tax allocation, Tax sharing or Tax indemnity or similar agreements (other than one that is included in a Contract entered into in the ordinary course of business that is not primarily related to Taxes), settle or compromise any material Tax claim or assessment, file any material amended Tax Return, adopt or change any method of Tax accounting, change any Tax accounting period, or consent to any extension or waiver of the limitation period applicable to or relating to any material Tax claim or assessment, other than any such extension or waiver that is obtained in the ordinary course of business;</w:t>
      </w:r>
    </w:p>
    <w:p>
      <w:pPr>
        <w:spacing w:after="0" w:line="56" w:lineRule="exact"/>
        <w:rPr>
          <w:rFonts w:ascii="Arial" w:cs="Arial" w:eastAsia="Arial" w:hAnsi="Arial"/>
          <w:sz w:val="16"/>
          <w:szCs w:val="16"/>
          <w:color w:val="auto"/>
        </w:rPr>
      </w:pPr>
    </w:p>
    <w:p>
      <w:pPr>
        <w:ind w:left="-20" w:firstLine="408"/>
        <w:spacing w:after="0" w:line="311" w:lineRule="auto"/>
        <w:tabs>
          <w:tab w:leader="none" w:pos="786" w:val="left"/>
        </w:tabs>
        <w:numPr>
          <w:ilvl w:val="0"/>
          <w:numId w:val="88"/>
        </w:numPr>
        <w:rPr>
          <w:rFonts w:ascii="Arial" w:cs="Arial" w:eastAsia="Arial" w:hAnsi="Arial"/>
          <w:sz w:val="16"/>
          <w:szCs w:val="16"/>
          <w:color w:val="auto"/>
        </w:rPr>
      </w:pPr>
      <w:r>
        <w:rPr>
          <w:rFonts w:ascii="Arial" w:cs="Arial" w:eastAsia="Arial" w:hAnsi="Arial"/>
          <w:sz w:val="16"/>
          <w:szCs w:val="16"/>
          <w:color w:val="auto"/>
        </w:rPr>
        <w:t>enter into any settlement, conciliation or similar Contract, the performance of which would involve the payment by the Group Companies in excess of $5,000,000 individually or $50,000,000, in the aggregate, or that imposes, or by its terms will impose at any point in the future, any material, non-monetary obligations on any Group Company (or ACT or any of its Affiliates after the Closing);</w:t>
      </w:r>
    </w:p>
    <w:p>
      <w:pPr>
        <w:spacing w:after="0" w:line="40" w:lineRule="exact"/>
        <w:rPr>
          <w:rFonts w:ascii="Arial" w:cs="Arial" w:eastAsia="Arial" w:hAnsi="Arial"/>
          <w:sz w:val="16"/>
          <w:szCs w:val="16"/>
          <w:color w:val="auto"/>
        </w:rPr>
      </w:pPr>
    </w:p>
    <w:p>
      <w:pPr>
        <w:ind w:left="-20" w:firstLine="408"/>
        <w:spacing w:after="0" w:line="263" w:lineRule="auto"/>
        <w:tabs>
          <w:tab w:leader="none" w:pos="7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75" w:lineRule="exact"/>
        <w:rPr>
          <w:rFonts w:ascii="Arial" w:cs="Arial" w:eastAsia="Arial" w:hAnsi="Arial"/>
          <w:sz w:val="18"/>
          <w:szCs w:val="18"/>
          <w:color w:val="auto"/>
        </w:rPr>
      </w:pPr>
    </w:p>
    <w:p>
      <w:pPr>
        <w:ind w:left="-20" w:right="160" w:firstLine="408"/>
        <w:spacing w:after="0" w:line="277" w:lineRule="auto"/>
        <w:tabs>
          <w:tab w:leader="none" w:pos="7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 any Group Company’s methods of accounting in any material respect, other than changes that are made in accordance with PCAOB standards;</w:t>
      </w:r>
    </w:p>
    <w:p>
      <w:pPr>
        <w:spacing w:after="0" w:line="62" w:lineRule="exact"/>
        <w:rPr>
          <w:rFonts w:ascii="Arial" w:cs="Arial" w:eastAsia="Arial" w:hAnsi="Arial"/>
          <w:sz w:val="18"/>
          <w:szCs w:val="18"/>
          <w:color w:val="auto"/>
        </w:rPr>
      </w:pPr>
    </w:p>
    <w:p>
      <w:pPr>
        <w:ind w:left="-20" w:right="20" w:firstLine="408"/>
        <w:spacing w:after="0" w:line="263" w:lineRule="auto"/>
        <w:tabs>
          <w:tab w:leader="none" w:pos="7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9940"/>
          </w:cols>
          <w:pgMar w:left="1440" w:top="274" w:right="519" w:bottom="1440" w:gutter="0" w:footer="0" w:header="0"/>
        </w:sectPr>
      </w:pPr>
    </w:p>
    <w:bookmarkStart w:id="83" w:name="page84"/>
    <w:bookmarkEnd w:id="83"/>
    <w:p>
      <w:pPr>
        <w:ind w:left="980" w:right="220" w:firstLine="408"/>
        <w:spacing w:after="0" w:line="263" w:lineRule="auto"/>
        <w:tabs>
          <w:tab w:leader="none" w:pos="1826"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Section 5.1(b)(xvii)</w:t>
      </w:r>
      <w:r>
        <w:rPr>
          <w:rFonts w:ascii="Arial" w:cs="Arial" w:eastAsia="Arial" w:hAnsi="Arial"/>
          <w:sz w:val="18"/>
          <w:szCs w:val="18"/>
          <w:color w:val="auto"/>
        </w:rPr>
        <w:t xml:space="preserve"> of the Company Disclosure Schedules and other than in connection with or otherwise relating to the Hillman Exchange Agreement, make any material Company Change of Control Payment or make any material payment with respect to a Company Affiliated Party Transaction;</w:t>
      </w:r>
    </w:p>
    <w:p>
      <w:pPr>
        <w:spacing w:after="0" w:line="75" w:lineRule="exact"/>
        <w:rPr>
          <w:rFonts w:ascii="Arial" w:cs="Arial" w:eastAsia="Arial" w:hAnsi="Arial"/>
          <w:sz w:val="18"/>
          <w:szCs w:val="18"/>
          <w:color w:val="auto"/>
        </w:rPr>
      </w:pPr>
    </w:p>
    <w:p>
      <w:pPr>
        <w:ind w:left="980" w:firstLine="408"/>
        <w:spacing w:after="0" w:line="263" w:lineRule="auto"/>
        <w:tabs>
          <w:tab w:leader="none" w:pos="1876"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 lease, exchange, encumber, license or dispose of all or any material portion of the Group Companies interest’s in or to the RNG Assets other than (A) any RNG Asset with a fair market value less than or equal to $10,000,000 and (B) the sale of renewable natural gas production produced from the RNG Assets in the ordinary course of business;</w:t>
      </w:r>
    </w:p>
    <w:p>
      <w:pPr>
        <w:spacing w:after="0" w:line="75" w:lineRule="exact"/>
        <w:rPr>
          <w:rFonts w:ascii="Arial" w:cs="Arial" w:eastAsia="Arial" w:hAnsi="Arial"/>
          <w:sz w:val="18"/>
          <w:szCs w:val="18"/>
          <w:color w:val="auto"/>
        </w:rPr>
      </w:pPr>
    </w:p>
    <w:p>
      <w:pPr>
        <w:ind w:left="980" w:right="740" w:firstLine="408"/>
        <w:spacing w:after="0" w:line="342" w:lineRule="auto"/>
        <w:tabs>
          <w:tab w:leader="none" w:pos="1776" w:val="left"/>
        </w:tabs>
        <w:numPr>
          <w:ilvl w:val="1"/>
          <w:numId w:val="89"/>
        </w:numPr>
        <w:rPr>
          <w:rFonts w:ascii="Arial" w:cs="Arial" w:eastAsia="Arial" w:hAnsi="Arial"/>
          <w:sz w:val="16"/>
          <w:szCs w:val="16"/>
          <w:color w:val="auto"/>
        </w:rPr>
      </w:pPr>
      <w:r>
        <w:rPr>
          <w:rFonts w:ascii="Arial" w:cs="Arial" w:eastAsia="Arial" w:hAnsi="Arial"/>
          <w:sz w:val="16"/>
          <w:szCs w:val="16"/>
          <w:color w:val="auto"/>
        </w:rPr>
        <w:t>other than with respect to any Real Property Lease that is a gas rights agreement, fail to maintain the Real Property in substantially the same condition as of the date of this Agreement, ordinary wear and tear, casualty and condemnation excepted;</w:t>
      </w:r>
    </w:p>
    <w:p>
      <w:pPr>
        <w:spacing w:after="0" w:line="15" w:lineRule="exact"/>
        <w:rPr>
          <w:rFonts w:ascii="Arial" w:cs="Arial" w:eastAsia="Arial" w:hAnsi="Arial"/>
          <w:sz w:val="16"/>
          <w:szCs w:val="16"/>
          <w:color w:val="auto"/>
        </w:rPr>
      </w:pPr>
    </w:p>
    <w:p>
      <w:pPr>
        <w:ind w:left="980" w:right="80" w:firstLine="408"/>
        <w:spacing w:after="0" w:line="277" w:lineRule="auto"/>
        <w:tabs>
          <w:tab w:leader="none" w:pos="1726" w:val="left"/>
        </w:tabs>
        <w:numPr>
          <w:ilvl w:val="1"/>
          <w:numId w:val="89"/>
        </w:numPr>
        <w:rPr>
          <w:rFonts w:ascii="Arial" w:cs="Arial" w:eastAsia="Arial" w:hAnsi="Arial"/>
          <w:sz w:val="18"/>
          <w:szCs w:val="18"/>
          <w:color w:val="auto"/>
        </w:rPr>
      </w:pPr>
      <w:r>
        <w:rPr>
          <w:rFonts w:ascii="Arial" w:cs="Arial" w:eastAsia="Arial" w:hAnsi="Arial"/>
          <w:sz w:val="18"/>
          <w:szCs w:val="18"/>
          <w:color w:val="auto"/>
        </w:rPr>
        <w:t>amend, alter or modify in any material respect, or waive any material rights under, the Ares Note (other than with respect to the conversion of the Ares Note in accordance with its terms) or the NextEra Subscription Agreement;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83"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this Agreement to the contrary, (i) nothing set forth in this Agreement shall give ACT, directly or indirectly, the right to control or direct the operations of the Group Companies prior to the Closing, (ii)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(iii)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(iv) any action taken, or omitted to be taken, by any Group Company to the extent that the Company Board reasonably determines that such act or omission is necessary to avoid and mitigate emergency conditions, so long as such actions or omissions are consistent with Prudent Industry Practice;</w:t>
      </w:r>
    </w:p>
    <w:p>
      <w:pPr>
        <w:spacing w:after="0" w:line="4"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 in the case of each of clause (ii), (iii) and (iv), the Company shall give ACT prior written notice of any such act or omission to the extent reasonably practicable, which notice shall describe in reasonable detail the act or omission and the reason(s) that such act or omission is being taken, or omitted to be taken, pursuant to clause (ii), (iii) or (iv) and, in the event that it is not reasonably practicable for the Company to give the prior written notice described in this clause (A), the Company shall instead give such written notice to ACT promptly after such act or omission and (B) in no event shall clause (ii), (iii) or (iv) be applicable to any act or omission of the type described in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5.1(b)(xiii), Section 5.1(b)(xv)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5.1(b)(xviii)</w:t>
      </w:r>
      <w:r>
        <w:rPr>
          <w:rFonts w:ascii="Arial" w:cs="Arial" w:eastAsia="Arial" w:hAnsi="Arial"/>
          <w:sz w:val="16"/>
          <w:szCs w:val="16"/>
          <w:color w:val="auto"/>
        </w:rPr>
        <w:t xml:space="preserve"> or</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5.1(b)(xxi)</w:t>
      </w:r>
      <w:r>
        <w:rPr>
          <w:rFonts w:ascii="Arial" w:cs="Arial" w:eastAsia="Arial" w:hAnsi="Arial"/>
          <w:sz w:val="18"/>
          <w:szCs w:val="18"/>
          <w:color w:val="auto"/>
        </w:rPr>
        <w:t xml:space="preserve"> (to the extent related to any of the foregoing).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b w:val="1"/>
          <w:bCs w:val="1"/>
          <w:u w:val="single" w:color="auto"/>
          <w:color w:val="auto"/>
        </w:rPr>
        <w:t>Efforts to Consummate; Transaction Litigation</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4" w:lineRule="auto"/>
        <w:tabs>
          <w:tab w:leader="none" w:pos="12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provided, each of the Parties shall use its respective reasonable best efforts to take, or cause to be taken, all actions and to do, or cause to be done, all things reasonably necessary, proper or advisable to consummate and make effective as promptly as reasonably practicable the transactions contemplated by this Agreement (including by using its respective reasonable best efforts with respect to the satisfaction, but not waiver, of the closing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in the case of any Ancillary Document to which such Party is contemplated hereby to be a party after the date of this Agreement, to execute and delivery such Ancillary Document when required pursuant to this Agreement. Without limiting the generality of the foregoing, each of the Parties shall use its respective reasonable best efforts to, and each of the Parties shall cause its respective Affiliates to, obtain, file with or deliver to, as applicable, any and all Consents of any Governmental Entities or other Persons necessary, proper or advisable to consummate the transactions contemplated by this Agreement and the Ancillary Documents. Each of ACT and the Company shall pay fifty percent (50%) of the HSR Act filing fees and fifty percent (50%) of any filing fees or other costs payable to a Governmental Entity in connection the preparation, filing or mailing of the Registration Statement/Proxy Statement (including any related registration statement related to the Domestication). ACT shall pay all other fees, costs and expenses, including legal fees, accounting fees, and any printing, mailing or similar fees or costs, incurred by ACT in connection with the preparation, filing or mailing of the Registration Statement/Proxy Statement (including any related registration statement related to the Domestication). 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and except with respect to the foregoing two sentences, each Party shall bear its out-of-pocket costs and expenses in connection with the preparation of any such Consents, including the out-of-pocket legal and related expenses in connection with the preparation and submission of the Notification and Report Form under the HSR Act. Each Party shall (A) make any appropriate filings pursuant to the HSR Act with respect to the transactions contemplated by this Agreement promptly (and in any event within five (5) Business Days) following the date of this Agreement, and (B) respond as promptly as reasonably practicable to any requests by any Governmental Entity for additional information and documentary material that may be requested pursuant to the HSR Act. ACT shall promptly inform the Company of any communication between ACT, on the one hand, and any Governmental Entity, on the other hand, and the Company shall promptly inform ACT of any communication between the Company, on the one hand, and any Governmental Entity, on the other hand, in either case, regarding any of the transactions contemplated by this Agreement or any Ancillary Document.</w:t>
      </w:r>
    </w:p>
    <w:p>
      <w:pPr>
        <w:spacing w:after="0" w:line="397" w:lineRule="exact"/>
        <w:rPr>
          <w:rFonts w:ascii="Arial" w:cs="Arial" w:eastAsia="Arial" w:hAnsi="Arial"/>
          <w:sz w:val="16"/>
          <w:szCs w:val="16"/>
          <w:color w:val="auto"/>
        </w:rPr>
      </w:pPr>
    </w:p>
    <w:p>
      <w:pPr>
        <w:ind w:right="180" w:firstLine="987"/>
        <w:spacing w:after="0" w:line="293"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Without limiting the foregoing, (i) each Party shall cooperate with the other Parties in connection with any filing or submission under the HSR Act, and in connection with any investigation or other inquiry and (ii)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ACT and the Company. Nothing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obligates any Party or any of its Affiliates to agree to (A) institute or defend litigation, (B) sell, license or otherwise dispose of, or hold separate and agree to sell, license or otherwise dispose of, any entities, assets or facilities of any Group Company or any entity,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0" w:right="439" w:bottom="1440" w:gutter="0" w:footer="0" w:header="0"/>
        </w:sectPr>
      </w:pPr>
    </w:p>
    <w:bookmarkStart w:id="85" w:name="page86"/>
    <w:bookmarkEnd w:id="8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facility or asset of such Party or any of its Affiliates, (C) terminate, amend or assign existing relationships and contractual rights or obligations,</w:t>
      </w:r>
    </w:p>
    <w:p>
      <w:pPr>
        <w:spacing w:after="0" w:line="35" w:lineRule="exact"/>
        <w:rPr>
          <w:sz w:val="20"/>
          <w:szCs w:val="20"/>
          <w:color w:val="auto"/>
        </w:rPr>
      </w:pPr>
    </w:p>
    <w:p>
      <w:pPr>
        <w:ind w:left="4" w:right="80" w:hanging="4"/>
        <w:spacing w:after="0" w:line="255" w:lineRule="auto"/>
        <w:tabs>
          <w:tab w:leader="none" w:pos="2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 assign or terminate existing licenses or other agreements, or (E) enter into new licenses or other agreements. No Party shall agree to any of the measures set forth in the immediately preceding sentence with respect to such Party or with respect to any other Party or any of its Affiliates, except with ACT’s and the Company’s prior written consent.</w:t>
      </w:r>
    </w:p>
    <w:p>
      <w:pPr>
        <w:spacing w:after="0" w:line="189" w:lineRule="exact"/>
        <w:rPr>
          <w:rFonts w:ascii="Arial" w:cs="Arial" w:eastAsia="Arial" w:hAnsi="Arial"/>
          <w:sz w:val="18"/>
          <w:szCs w:val="18"/>
          <w:color w:val="auto"/>
        </w:rPr>
      </w:pPr>
    </w:p>
    <w:p>
      <w:pPr>
        <w:ind w:left="4" w:firstLine="987"/>
        <w:spacing w:after="0" w:line="271" w:lineRule="auto"/>
        <w:tabs>
          <w:tab w:leader="none" w:pos="12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ACT, on the one hand, and the Company, on the other hand, shall give counsel for the Company (in the case of ACT) or counsel for ACT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ACT, the Company, or, in the case of the Company, ACT in advance and, to the extent not prohibited by such Governmental Entity, gives, in the case of ACT, the Company, or, in the case of the Company, ACT, the opportunity to attend and participate in such meeting or discussion.</w:t>
      </w:r>
    </w:p>
    <w:p>
      <w:pPr>
        <w:spacing w:after="0" w:line="178" w:lineRule="exact"/>
        <w:rPr>
          <w:rFonts w:ascii="Arial" w:cs="Arial" w:eastAsia="Arial" w:hAnsi="Arial"/>
          <w:sz w:val="17"/>
          <w:szCs w:val="17"/>
          <w:color w:val="auto"/>
        </w:rPr>
      </w:pPr>
    </w:p>
    <w:p>
      <w:pPr>
        <w:ind w:left="4" w:right="20" w:firstLine="987"/>
        <w:spacing w:after="0" w:line="279" w:lineRule="auto"/>
        <w:tabs>
          <w:tab w:leader="none" w:pos="125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The foregoing obligations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be subject to the Confidentiality Agreement. To the extent any of the documents or information provided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are commercially or competitively sensitive, ACT and the Company may satisfy its obligations by providing such documents or information to the other Party’s outside counsel, who may agree to redaction of such materials as necessary to comply with contractual arrangements, and as necessary to address attorney-client or other privilege or confidentiality concerns.</w:t>
      </w:r>
    </w:p>
    <w:p>
      <w:pPr>
        <w:spacing w:after="0" w:line="171" w:lineRule="exact"/>
        <w:rPr>
          <w:rFonts w:ascii="Arial" w:cs="Arial" w:eastAsia="Arial" w:hAnsi="Arial"/>
          <w:sz w:val="17"/>
          <w:szCs w:val="17"/>
          <w:color w:val="auto"/>
        </w:rPr>
      </w:pPr>
    </w:p>
    <w:p>
      <w:pPr>
        <w:ind w:left="4" w:right="280" w:firstLine="987"/>
        <w:spacing w:after="0" w:line="263" w:lineRule="auto"/>
        <w:tabs>
          <w:tab w:leader="none" w:pos="12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83" w:lineRule="exact"/>
        <w:rPr>
          <w:rFonts w:ascii="Arial" w:cs="Arial" w:eastAsia="Arial" w:hAnsi="Arial"/>
          <w:sz w:val="18"/>
          <w:szCs w:val="18"/>
          <w:color w:val="auto"/>
        </w:rPr>
      </w:pPr>
    </w:p>
    <w:p>
      <w:pPr>
        <w:ind w:left="4" w:right="40" w:firstLine="987"/>
        <w:spacing w:after="0" w:line="284" w:lineRule="auto"/>
        <w:tabs>
          <w:tab w:leader="none" w:pos="12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or termination of this Agreement in accordance with its terms, ACT, on the one hand, and the Company, on the other hand, shall each notify the other in writing promptly after learning of any shareholder demands or other shareholder Proceedings (including derivative claims) relating to this Agreement, any Ancillary Document or any matters or transactions relating hereto or thereto (collectively,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commenced against, in the case of ACT or any of its Representatives (in their capacity as a Representative of ACT) or, in the case of the Company, any other Group Company or any of their respective Representatives (in their capacity as a Representative of a Group Company). ACT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w:t>
      </w:r>
    </w:p>
    <w:p>
      <w:pPr>
        <w:ind w:left="4"/>
        <w:spacing w:after="0"/>
        <w:rPr>
          <w:rFonts w:ascii="Arial" w:cs="Arial" w:eastAsia="Arial" w:hAnsi="Arial"/>
          <w:sz w:val="16"/>
          <w:szCs w:val="16"/>
          <w:color w:val="auto"/>
        </w:rPr>
      </w:pPr>
      <w:r>
        <w:rPr>
          <w:rFonts w:ascii="Arial" w:cs="Arial" w:eastAsia="Arial" w:hAnsi="Arial"/>
          <w:sz w:val="18"/>
          <w:szCs w:val="18"/>
          <w:color w:val="auto"/>
        </w:rPr>
        <w:t>(iii) consider in good faith the other’s advice with respect to any such Transaction Litigation and (iv) reasonably cooperate with</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86" w:name="page87"/>
    <w:bookmarkEnd w:id="8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 ACT or any of its Representatives settle or compromise any Transaction Litigation without the prior written consent of the Company (not to be unreasonably withheld, conditioned or delayed), or (B) any Group Company or any of their respective Representatives settle or compromise any Transaction Litigation without the prior written consent of ACT (not to be unreasonably withheld, conditioned or delayed).</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Confidentiality and Access to Information</w:t>
      </w:r>
      <w:r>
        <w:rPr>
          <w:rFonts w:ascii="Arial" w:cs="Arial" w:eastAsia="Arial" w:hAnsi="Arial"/>
          <w:sz w:val="18"/>
          <w:szCs w:val="18"/>
          <w:color w:val="auto"/>
        </w:rPr>
        <w:t>.</w:t>
      </w:r>
    </w:p>
    <w:p>
      <w:pPr>
        <w:spacing w:after="0" w:line="121" w:lineRule="exact"/>
        <w:rPr>
          <w:sz w:val="20"/>
          <w:szCs w:val="20"/>
          <w:color w:val="auto"/>
        </w:rPr>
      </w:pPr>
    </w:p>
    <w:p>
      <w:pPr>
        <w:ind w:left="4" w:right="240" w:firstLine="987"/>
        <w:spacing w:after="0" w:line="273" w:lineRule="auto"/>
        <w:tabs>
          <w:tab w:leader="none" w:pos="12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77" w:lineRule="exact"/>
        <w:rPr>
          <w:rFonts w:ascii="Arial" w:cs="Arial" w:eastAsia="Arial" w:hAnsi="Arial"/>
          <w:sz w:val="17"/>
          <w:szCs w:val="17"/>
          <w:color w:val="auto"/>
        </w:rPr>
      </w:pPr>
    </w:p>
    <w:p>
      <w:pPr>
        <w:ind w:left="4" w:firstLine="987"/>
        <w:spacing w:after="0" w:line="285" w:lineRule="auto"/>
        <w:tabs>
          <w:tab w:leader="none" w:pos="1250"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ACT and its Representatives during normal business hours reasonable access to the properties, directors, officers, books and records of the Group Companies (in a manner so as to not interfere with the normal business operations of the Group Companies). Notwithstanding the foregoing, none of the Group Companies shall be required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to provide, or caused to be provided, to ACT or any of its Representatives any information (i) if and to the extent doing so would</w:t>
      </w:r>
    </w:p>
    <w:p>
      <w:pPr>
        <w:spacing w:after="0" w:line="1" w:lineRule="exact"/>
        <w:rPr>
          <w:rFonts w:ascii="Arial" w:cs="Arial" w:eastAsia="Arial" w:hAnsi="Arial"/>
          <w:sz w:val="16"/>
          <w:szCs w:val="16"/>
          <w:color w:val="auto"/>
        </w:rPr>
      </w:pPr>
    </w:p>
    <w:p>
      <w:pPr>
        <w:ind w:left="4" w:right="200" w:hanging="4"/>
        <w:spacing w:after="0" w:line="281" w:lineRule="auto"/>
        <w:tabs>
          <w:tab w:leader="none" w:pos="299" w:val="left"/>
        </w:tabs>
        <w:numPr>
          <w:ilvl w:val="0"/>
          <w:numId w:val="94"/>
        </w:numPr>
        <w:rPr>
          <w:rFonts w:ascii="Arial" w:cs="Arial" w:eastAsia="Arial" w:hAnsi="Arial"/>
          <w:sz w:val="16"/>
          <w:szCs w:val="16"/>
          <w:color w:val="auto"/>
        </w:rPr>
      </w:pPr>
      <w:r>
        <w:rPr>
          <w:rFonts w:ascii="Arial" w:cs="Arial" w:eastAsia="Arial" w:hAnsi="Arial"/>
          <w:sz w:val="16"/>
          <w:szCs w:val="16"/>
          <w:color w:val="auto"/>
        </w:rPr>
        <w:t>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w:t>
      </w:r>
    </w:p>
    <w:p>
      <w:pPr>
        <w:spacing w:after="0" w:line="1" w:lineRule="exact"/>
        <w:rPr>
          <w:rFonts w:ascii="Arial" w:cs="Arial" w:eastAsia="Arial" w:hAnsi="Arial"/>
          <w:sz w:val="16"/>
          <w:szCs w:val="16"/>
          <w:color w:val="auto"/>
        </w:rPr>
      </w:pPr>
    </w:p>
    <w:p>
      <w:pPr>
        <w:jc w:val="both"/>
        <w:ind w:left="4" w:right="160" w:hanging="4"/>
        <w:spacing w:after="0" w:line="281" w:lineRule="auto"/>
        <w:tabs>
          <w:tab w:leader="none" w:pos="299" w:val="left"/>
        </w:tabs>
        <w:numPr>
          <w:ilvl w:val="0"/>
          <w:numId w:val="95"/>
        </w:numPr>
        <w:rPr>
          <w:rFonts w:ascii="Arial" w:cs="Arial" w:eastAsia="Arial" w:hAnsi="Arial"/>
          <w:sz w:val="16"/>
          <w:szCs w:val="16"/>
          <w:color w:val="auto"/>
        </w:rPr>
      </w:pPr>
      <w:r>
        <w:rPr>
          <w:rFonts w:ascii="Arial" w:cs="Arial" w:eastAsia="Arial" w:hAnsi="Arial"/>
          <w:sz w:val="16"/>
          <w:szCs w:val="16"/>
          <w:color w:val="auto"/>
        </w:rPr>
        <w:t>jeopardize protections afforded to any Group Company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(A) through (D), the Company shall use, and shall cause the other Group Companies to use, commercially reasonable efforts to</w:t>
      </w:r>
    </w:p>
    <w:p>
      <w:pPr>
        <w:spacing w:after="0" w:line="1"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provide such access as can be provided (or otherwise convey such information regarding the applicable matter as can be conveyed) without violating such privilege, doctrine, Contract, obligation or Law and (2) provide such information in a manner without violating such privilege, doctrine, Contract, obligation or Law), or (ii) if any Group Company or any of its Affiliates or Representatives, on the one hand, and ACT or any of its Affiliates or Representatives, on the other hand, are adverse parties in a litigation and such information is reasonably pertinent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provide prompt written notice of the withholding of access or information on any such basis unless such written notice is prohibited by applicable Law</w:t>
      </w:r>
      <w:r>
        <w:rPr>
          <w:rFonts w:ascii="Arial" w:cs="Arial" w:eastAsia="Arial" w:hAnsi="Arial"/>
          <w:sz w:val="18"/>
          <w:szCs w:val="18"/>
          <w:u w:val="single" w:color="auto"/>
          <w:color w:val="auto"/>
        </w:rPr>
        <w:t>.</w:t>
      </w:r>
    </w:p>
    <w:p>
      <w:pPr>
        <w:spacing w:after="0" w:line="193" w:lineRule="exact"/>
        <w:rPr>
          <w:rFonts w:ascii="Arial" w:cs="Arial" w:eastAsia="Arial" w:hAnsi="Arial"/>
          <w:sz w:val="16"/>
          <w:szCs w:val="16"/>
          <w:color w:val="auto"/>
        </w:rPr>
      </w:pPr>
    </w:p>
    <w:p>
      <w:pPr>
        <w:ind w:left="4" w:right="60" w:firstLine="987"/>
        <w:spacing w:after="0" w:line="259" w:lineRule="auto"/>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Date or the termination of this Agreement in accordance with its terms, upon reasonable advance written notice, ACT shall provide, or cause to be provided, to the Company and its Representatives during normal business hours reasonable access to the directors, officers and books and records of ACT (in a manner so as to not interfere with the normal business operations of ACT).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87" w:name="page88"/>
    <w:bookmarkEnd w:id="87"/>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ACT shall not be required pursuant to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to provide, or cause to be provided to, the Company or any of its Representatives any information (i) if and to the extent doing so would (A) violate any Law to which ACT is subject, (B) result in the disclosure of any trade secrets of third parties in breach of any Contract with such third party, (C) violate any legally-binding obligation of ACT with respect to confidentiality, non-disclosure or privacy or (D) jeopardize protections afforded to ACT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w:t>
      </w:r>
      <w:r>
        <w:rPr>
          <w:rFonts w:ascii="Arial" w:cs="Arial" w:eastAsia="Arial" w:hAnsi="Arial"/>
          <w:sz w:val="16"/>
          <w:szCs w:val="16"/>
          <w:u w:val="single" w:color="auto"/>
          <w:color w:val="auto"/>
        </w:rPr>
        <w:t>A</w:t>
      </w:r>
      <w:r>
        <w:rPr>
          <w:rFonts w:ascii="Arial" w:cs="Arial" w:eastAsia="Arial" w:hAnsi="Arial"/>
          <w:sz w:val="16"/>
          <w:szCs w:val="16"/>
          <w:color w:val="auto"/>
        </w:rPr>
        <w:t>) through (</w:t>
      </w:r>
      <w:r>
        <w:rPr>
          <w:rFonts w:ascii="Arial" w:cs="Arial" w:eastAsia="Arial" w:hAnsi="Arial"/>
          <w:sz w:val="16"/>
          <w:szCs w:val="16"/>
          <w:u w:val="single" w:color="auto"/>
          <w:color w:val="auto"/>
        </w:rPr>
        <w:t>D</w:t>
      </w:r>
      <w:r>
        <w:rPr>
          <w:rFonts w:ascii="Arial" w:cs="Arial" w:eastAsia="Arial" w:hAnsi="Arial"/>
          <w:sz w:val="16"/>
          <w:szCs w:val="16"/>
          <w:color w:val="auto"/>
        </w:rPr>
        <w:t>), ACT shall use commercially reasonable efforts to (1) provide such access as can be provided (or otherwise convey such information regarding the applicable matter as can be conveyed) without violating such privilege, doctrine, Contract, obligation or Law and (2) provide such information in a manner without violating such privilege, doctrine, Contract, obligation or Law), or</w:t>
      </w:r>
    </w:p>
    <w:p>
      <w:pPr>
        <w:spacing w:after="0" w:line="2" w:lineRule="exact"/>
        <w:rPr>
          <w:sz w:val="20"/>
          <w:szCs w:val="20"/>
          <w:color w:val="auto"/>
        </w:rPr>
      </w:pPr>
    </w:p>
    <w:p>
      <w:pPr>
        <w:ind w:left="4" w:right="200" w:hanging="4"/>
        <w:spacing w:after="0" w:line="253" w:lineRule="auto"/>
        <w:tabs>
          <w:tab w:leader="none" w:pos="2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ACT, the ACT Sponsor or any of their respective Representatives, on the one hand, and any Group Company or any of their respective Representatives, on the other hand, are adverse parties in a litigation and such information is reasonably pertinent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ACT shall,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provide prompt written notice of the withholding of access or information on any such basis unless such written notice is prohibited by applicable Law.</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w:t>
      </w:r>
    </w:p>
    <w:p>
      <w:pPr>
        <w:spacing w:after="0" w:line="121" w:lineRule="exact"/>
        <w:rPr>
          <w:sz w:val="20"/>
          <w:szCs w:val="20"/>
          <w:color w:val="auto"/>
        </w:rPr>
      </w:pPr>
    </w:p>
    <w:p>
      <w:pPr>
        <w:ind w:left="4" w:right="300" w:firstLine="987"/>
        <w:spacing w:after="0" w:line="286" w:lineRule="auto"/>
        <w:tabs>
          <w:tab w:leader="none" w:pos="12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the ACT Sponsor and their respective Representatives may make any such announcement or other communication (i) if such press release, announcement or other communication is required by applicable Law, in which case</w:t>
      </w:r>
    </w:p>
    <w:p>
      <w:pPr>
        <w:spacing w:after="0" w:line="1" w:lineRule="exact"/>
        <w:rPr>
          <w:rFonts w:ascii="Arial" w:cs="Arial" w:eastAsia="Arial" w:hAnsi="Arial"/>
          <w:sz w:val="16"/>
          <w:szCs w:val="16"/>
          <w:color w:val="auto"/>
        </w:rPr>
      </w:pPr>
    </w:p>
    <w:p>
      <w:pPr>
        <w:ind w:left="4" w:hanging="4"/>
        <w:spacing w:after="0" w:line="286" w:lineRule="auto"/>
        <w:tabs>
          <w:tab w:leader="none" w:pos="2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prior to the Closing, the disclosing Person shall, to the extent permitted by such applicable Law, use reasonable best efforts to consult with the Company, if the disclosing Person is ACT, the ACT Sponsor or any of their respective Representatives, or ACT, if the disclosing Person is the Company or any of its Representatives, and give the Company or ACT,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ACT and give ACT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to Governmental Entities in connection with any Consents required to be made under this Agreement, the Ancillary Documents or the transactions contemplated hereby or thereby.</w:t>
      </w:r>
    </w:p>
    <w:p>
      <w:pPr>
        <w:spacing w:after="0" w:line="172" w:lineRule="exact"/>
        <w:rPr>
          <w:rFonts w:ascii="Arial" w:cs="Arial" w:eastAsia="Arial" w:hAnsi="Arial"/>
          <w:sz w:val="16"/>
          <w:szCs w:val="16"/>
          <w:color w:val="auto"/>
        </w:rPr>
      </w:pPr>
    </w:p>
    <w:p>
      <w:pPr>
        <w:jc w:val="both"/>
        <w:ind w:left="4" w:right="120" w:firstLine="987"/>
        <w:spacing w:after="0" w:line="279" w:lineRule="auto"/>
        <w:tabs>
          <w:tab w:leader="none" w:pos="125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initial press release concerning this Agreement and the transactions contemplated hereby shall be a joint press release in the form agreed by the Company and ACT prior to the execution of this Agreement and such initial press release (the “</w:t>
      </w:r>
      <w:r>
        <w:rPr>
          <w:rFonts w:ascii="Arial" w:cs="Arial" w:eastAsia="Arial" w:hAnsi="Arial"/>
          <w:sz w:val="17"/>
          <w:szCs w:val="17"/>
          <w:u w:val="single" w:color="auto"/>
          <w:color w:val="auto"/>
        </w:rPr>
        <w:t>Signing Press Release</w:t>
      </w:r>
      <w:r>
        <w:rPr>
          <w:rFonts w:ascii="Arial" w:cs="Arial" w:eastAsia="Arial" w:hAnsi="Arial"/>
          <w:sz w:val="17"/>
          <w:szCs w:val="17"/>
          <w:color w:val="auto"/>
        </w:rPr>
        <w:t>”) shall be released as promptly as reasonably practicable after the execution of this Agreement on the day thereof. Promptly after the execution of this Agreement (but in any event within four (4) Business Days after the date of this Agreement), ACT shall file a current report on Form 8-K</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4" w:right="479" w:bottom="1440" w:gutter="0" w:footer="0" w:header="0"/>
        </w:sectPr>
      </w:pPr>
    </w:p>
    <w:bookmarkStart w:id="88" w:name="page89"/>
    <w:bookmarkEnd w:id="8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6"/>
          <w:szCs w:val="16"/>
          <w:u w:val="single" w:color="auto"/>
          <w:color w:val="auto"/>
        </w:rPr>
        <w:t>Signing Filing</w:t>
      </w:r>
      <w:r>
        <w:rPr>
          <w:rFonts w:ascii="Arial" w:cs="Arial" w:eastAsia="Arial" w:hAnsi="Arial"/>
          <w:sz w:val="16"/>
          <w:szCs w:val="16"/>
          <w:color w:val="auto"/>
        </w:rPr>
        <w:t>”) with the Signing Press Release and a description of this Agreement as required by, and in compliance with, the Securities Laws, which the Company shall have the opportunity to review and comment upon prior to filing and ACT shall consider such comments in good faith. The Company, on the one hand, and ACT, on the other hand, shall mutually agree upon (such agreement not to be unreasonably withheld, conditioned or delayed by either the Company or ACT, as applicable) a press release announcing the consummation of the transactions contemplated by this Agreement (the “</w:t>
      </w:r>
      <w:r>
        <w:rPr>
          <w:rFonts w:ascii="Arial" w:cs="Arial" w:eastAsia="Arial" w:hAnsi="Arial"/>
          <w:sz w:val="16"/>
          <w:szCs w:val="16"/>
          <w:u w:val="single" w:color="auto"/>
          <w:color w:val="auto"/>
        </w:rPr>
        <w:t>Closing Press Release</w:t>
      </w:r>
      <w:r>
        <w:rPr>
          <w:rFonts w:ascii="Arial" w:cs="Arial" w:eastAsia="Arial" w:hAnsi="Arial"/>
          <w:sz w:val="16"/>
          <w:szCs w:val="16"/>
          <w:color w:val="auto"/>
        </w:rPr>
        <w:t>”) prior to the Closing, and, on the Closing Date (or such other date as may be mutually agreed to in writing by ACT and the Company prior to the Closing), the Parties shall cause the Closing Press Release to be released. Promptly after the Closing (but in any event within four</w:t>
      </w:r>
    </w:p>
    <w:p>
      <w:pPr>
        <w:spacing w:after="0" w:line="4" w:lineRule="exact"/>
        <w:rPr>
          <w:sz w:val="20"/>
          <w:szCs w:val="20"/>
          <w:color w:val="auto"/>
        </w:rPr>
      </w:pPr>
    </w:p>
    <w:p>
      <w:pPr>
        <w:ind w:left="4" w:right="60" w:hanging="4"/>
        <w:spacing w:after="0" w:line="252" w:lineRule="auto"/>
        <w:tabs>
          <w:tab w:leader="none" w:pos="2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Business Days after the Closing), ACT shall file a current report on Form 8-K (the “</w:t>
      </w:r>
      <w:r>
        <w:rPr>
          <w:rFonts w:ascii="Arial" w:cs="Arial" w:eastAsia="Arial" w:hAnsi="Arial"/>
          <w:sz w:val="18"/>
          <w:szCs w:val="18"/>
          <w:u w:val="single" w:color="auto"/>
          <w:color w:val="auto"/>
        </w:rPr>
        <w:t>Closing Filing</w:t>
      </w:r>
      <w:r>
        <w:rPr>
          <w:rFonts w:ascii="Arial" w:cs="Arial" w:eastAsia="Arial" w:hAnsi="Arial"/>
          <w:sz w:val="18"/>
          <w:szCs w:val="18"/>
          <w:color w:val="auto"/>
        </w:rPr>
        <w:t>”) with the Closing Press Release and a description of the Closing as required by Securities Laws, which Closing Filing shall be mutually agreed upon by the Company and ACT prior to the Closing (such agreement not to be unreasonably withheld, conditioned or delayed by either the Company or ACT,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right="60" w:firstLine="408"/>
        <w:spacing w:after="0" w:line="273" w:lineRule="auto"/>
        <w:tabs>
          <w:tab w:leader="none" w:pos="1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Parties intend that (A) the ACT Share Conversion shall constitute a transaction treated as a “reorganization” within the meaning of Section 368(a)(1)(E) of the Code and (B) the Domestication shall constitute a transaction treated as a “reorganization” within the meaning of Section 368(a)(1)(F) of the Code, and ACT shall, and shall cause its Affiliates to, use reasonable best efforts to cause each of the ACT Share Conversion and the Domestication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w:t>
      </w:r>
    </w:p>
    <w:p>
      <w:pPr>
        <w:spacing w:after="0" w:line="69" w:lineRule="exact"/>
        <w:rPr>
          <w:rFonts w:ascii="Arial" w:cs="Arial" w:eastAsia="Arial" w:hAnsi="Arial"/>
          <w:sz w:val="17"/>
          <w:szCs w:val="17"/>
          <w:color w:val="auto"/>
        </w:rPr>
      </w:pPr>
    </w:p>
    <w:p>
      <w:pPr>
        <w:ind w:left="984" w:firstLine="408"/>
        <w:spacing w:after="0" w:line="279" w:lineRule="auto"/>
        <w:tabs>
          <w:tab w:leader="none" w:pos="16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ACT hereby adopts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the ACT Share Conversion or the Domestication from qualifying for the Intended Tax Treatment.</w:t>
      </w:r>
    </w:p>
    <w:p>
      <w:pPr>
        <w:spacing w:after="0" w:line="171" w:lineRule="exact"/>
        <w:rPr>
          <w:rFonts w:ascii="Arial" w:cs="Arial" w:eastAsia="Arial" w:hAnsi="Arial"/>
          <w:sz w:val="17"/>
          <w:szCs w:val="17"/>
          <w:color w:val="auto"/>
        </w:rPr>
      </w:pPr>
    </w:p>
    <w:p>
      <w:pPr>
        <w:ind w:left="4" w:right="40" w:firstLine="987"/>
        <w:spacing w:after="0" w:line="259" w:lineRule="auto"/>
        <w:tabs>
          <w:tab w:leader="none" w:pos="125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Partnership Tax Audit Rules</w:t>
      </w:r>
      <w:r>
        <w:rPr>
          <w:rFonts w:ascii="Arial" w:cs="Arial" w:eastAsia="Arial" w:hAnsi="Arial"/>
          <w:sz w:val="18"/>
          <w:szCs w:val="18"/>
          <w:color w:val="auto"/>
        </w:rPr>
        <w:t>. Notwithstanding anything to the contrary in this Agreement, with respect to any Tax audit or similar proceeding of any Group Company for any taxable period (or portion thereof) ending on or prior to the Closing Date in which the Partnership Tax Audit Rules would apply to such Group Company (each, a “</w:t>
      </w:r>
      <w:r>
        <w:rPr>
          <w:rFonts w:ascii="Arial" w:cs="Arial" w:eastAsia="Arial" w:hAnsi="Arial"/>
          <w:sz w:val="18"/>
          <w:szCs w:val="18"/>
          <w:u w:val="single" w:color="auto"/>
          <w:color w:val="auto"/>
        </w:rPr>
        <w:t>Relevant Tax Audit</w:t>
      </w:r>
      <w:r>
        <w:rPr>
          <w:rFonts w:ascii="Arial" w:cs="Arial" w:eastAsia="Arial" w:hAnsi="Arial"/>
          <w:sz w:val="18"/>
          <w:szCs w:val="18"/>
          <w:color w:val="auto"/>
        </w:rPr>
        <w:t>”), at the election of ACT (in its reasonable discretion), the “partnership representative” of such Group</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89" w:name="page90"/>
    <w:bookmarkEnd w:id="89"/>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(for purposes of the Partnership Tax Audit Rules), the Group Companies, and all of their respective Affiliates shall take such actions as are necessary to make (or cause to be made) a “push out” election under Section 6226 of the Code with respect to any “imputed underpayment” (as defined in the Partnership Tax Audit Rules) arising in connection with any such Relevant Tax Audit (and to make any similar elections under any provisions of applicable state or local Law). Neither the “partnership representative” of such Group Company, any Group Company or any of their respective Affiliates shall make any election or otherwise take any action to cause the Partnership Tax Audit Rules to apply to the Group Companies at any earlier date than is required by applicable Law.</w:t>
      </w:r>
    </w:p>
    <w:p>
      <w:pPr>
        <w:spacing w:after="0" w:line="192" w:lineRule="exact"/>
        <w:rPr>
          <w:sz w:val="20"/>
          <w:szCs w:val="20"/>
          <w:color w:val="auto"/>
        </w:rPr>
      </w:pPr>
    </w:p>
    <w:p>
      <w:pPr>
        <w:ind w:left="4" w:right="20" w:firstLine="987"/>
        <w:spacing w:after="0" w:line="287" w:lineRule="auto"/>
        <w:tabs>
          <w:tab w:leader="none" w:pos="12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Tax Matters Cooperation</w:t>
      </w:r>
      <w:r>
        <w:rPr>
          <w:rFonts w:ascii="Arial" w:cs="Arial" w:eastAsia="Arial" w:hAnsi="Arial"/>
          <w:sz w:val="16"/>
          <w:szCs w:val="16"/>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ACT Shareholders information reasonably necessary to compute any income of any such holder (or its direct or indirect owners) arising (i) if applicable, as a result of ACT’s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71" w:lineRule="exact"/>
        <w:rPr>
          <w:rFonts w:ascii="Arial" w:cs="Arial" w:eastAsia="Arial" w:hAnsi="Arial"/>
          <w:sz w:val="16"/>
          <w:szCs w:val="16"/>
          <w:color w:val="auto"/>
        </w:rPr>
      </w:pPr>
    </w:p>
    <w:p>
      <w:pPr>
        <w:ind w:left="4" w:firstLine="987"/>
        <w:spacing w:after="0" w:line="277" w:lineRule="auto"/>
        <w:tabs>
          <w:tab w:leader="none" w:pos="125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ACT Taxable Year</w:t>
      </w:r>
      <w:r>
        <w:rPr>
          <w:rFonts w:ascii="Arial" w:cs="Arial" w:eastAsia="Arial" w:hAnsi="Arial"/>
          <w:sz w:val="18"/>
          <w:szCs w:val="18"/>
          <w:color w:val="auto"/>
        </w:rPr>
        <w:t>. The Parties agree to treat the taxable year of ACT as ending on the date that the Domestication is consummated for U.S. federal income tax purposes.</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Company Exclusive Dealing</w:t>
      </w:r>
      <w:r>
        <w:rPr>
          <w:rFonts w:ascii="Arial" w:cs="Arial" w:eastAsia="Arial" w:hAnsi="Arial"/>
          <w:sz w:val="18"/>
          <w:szCs w:val="18"/>
          <w:color w:val="auto"/>
        </w:rPr>
        <w:t>.</w:t>
      </w:r>
    </w:p>
    <w:p>
      <w:pPr>
        <w:spacing w:after="0" w:line="121" w:lineRule="exact"/>
        <w:rPr>
          <w:sz w:val="20"/>
          <w:szCs w:val="20"/>
          <w:color w:val="auto"/>
        </w:rPr>
      </w:pPr>
    </w:p>
    <w:p>
      <w:pPr>
        <w:ind w:left="4" w:right="40" w:firstLine="987"/>
        <w:spacing w:after="0" w:line="283" w:lineRule="auto"/>
        <w:tabs>
          <w:tab w:leader="none" w:pos="12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w:t>
      </w:r>
    </w:p>
    <w:p>
      <w:pPr>
        <w:spacing w:after="0" w:line="5" w:lineRule="exact"/>
        <w:rPr>
          <w:rFonts w:ascii="Arial" w:cs="Arial" w:eastAsia="Arial" w:hAnsi="Arial"/>
          <w:sz w:val="16"/>
          <w:szCs w:val="16"/>
          <w:color w:val="auto"/>
        </w:rPr>
      </w:pPr>
    </w:p>
    <w:p>
      <w:pPr>
        <w:ind w:left="304" w:hanging="304"/>
        <w:spacing w:after="0"/>
        <w:tabs>
          <w:tab w:leader="none" w:pos="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(other than to inform such Person of the existence of the Company’s obligations under this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74" w:right="499" w:bottom="1440" w:gutter="0" w:footer="0" w:header="0"/>
        </w:sectPr>
      </w:pPr>
    </w:p>
    <w:bookmarkStart w:id="90" w:name="page91"/>
    <w:bookmarkEnd w:id="90"/>
    <w:p>
      <w:pPr>
        <w:ind w:right="20" w:firstLine="987"/>
        <w:spacing w:after="0" w:line="259"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to (i) notify ACT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ACT reasonably informed on a current basis of any material modifications to such offer or information.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ACT Exclusive Dealing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6" w:lineRule="auto"/>
        <w:tabs>
          <w:tab w:leader="none" w:pos="12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earlier of the Closing or the termination of this Agreement in accordance with its terms, ACT shall not, shall cause its officers and directors to not, and the ACT Sponsor and its controlled Affiliates to not, and shall use its reasonable best efforts to cause its and their Affiliates and the other Representatives of ACT, the ACT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ACT Acquisition Proposal; (ii) furnish or disclose any non-public information to any Person in connection with, or that could reasonably be expected to lead to, an ACT Acquisition Proposal; (iii) enter into any Contract or other arrangement or understanding (whether or not binding) regarding an ACT Acquisition Proposal; (iv) make any filings or submissions with the SEC in connection with a public offering of any Equity Securities, or other securities, of ACT, other than any such filings or submissions in connection with the transactions contemplated by this Agreement or the Ancillary Documents; or (v) otherwise cooperate in any way with, or assist or participate in any negotiations or discussions with, any Person in connection any ACT Acquisition Proposal or a transaction of the type in clause (iv) (other than to inform such Person of the existence of ACT’s obligations under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For the avoidance of doubt, notwithstanding anything contained herein to the contrary, nothing in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or this Agreement shall restrict or otherwise limit the right of any director, officer or employee of ArcLight Capital Partners, LLC or any of its Affiliates to pursue acquisitions, dispositions, financings or other business opportunities to the extent such activities are not related to any such affiliation with, or work on behalf of, ACT.</w:t>
      </w:r>
    </w:p>
    <w:p>
      <w:pPr>
        <w:spacing w:after="0" w:line="170" w:lineRule="exact"/>
        <w:rPr>
          <w:rFonts w:ascii="Arial" w:cs="Arial" w:eastAsia="Arial" w:hAnsi="Arial"/>
          <w:sz w:val="16"/>
          <w:szCs w:val="16"/>
          <w:color w:val="auto"/>
        </w:rPr>
      </w:pPr>
    </w:p>
    <w:p>
      <w:pPr>
        <w:jc w:val="both"/>
        <w:ind w:right="180" w:firstLine="987"/>
        <w:spacing w:after="0" w:line="311" w:lineRule="auto"/>
        <w:tabs>
          <w:tab w:leader="none" w:pos="12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ACT agrees to (i) notify the Company promptly upon receipt of any ACT Acquisition Proposal by ACT, and to describe the material terms and conditions of any such ACT Acquisition Proposal in reasonable detail (including the identity of the Persons making such ACT Acquisition Proposal) and (ii) keep the Company reasonably informed on a current basis of any material modifications to such offer or information.</w:t>
      </w:r>
    </w:p>
    <w:p>
      <w:pPr>
        <w:spacing w:after="0" w:line="14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Preparation of Registration Statement/Proxy Statement</w:t>
      </w:r>
      <w:r>
        <w:rPr>
          <w:rFonts w:ascii="Arial" w:cs="Arial" w:eastAsia="Arial" w:hAnsi="Arial"/>
          <w:sz w:val="18"/>
          <w:szCs w:val="18"/>
          <w:color w:val="auto"/>
        </w:rPr>
        <w:t>. As promptly as reasonably practicable following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ACT and the Company shall prepare and mutually agree upon (such agreement not to be unreasonably withheld, conditioned or delayed by either of ACT or the Company, as applicable), and ACT shall file with the SEC, the Registration Statement/Proxy Statement (it being understood that the Registration Statement/Proxy Statement shall include a proxy statement / prospectus of ACT which will be included therein and which will be used for the ACT Shareholders Meeting to adopt and approve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91" w:name="page92"/>
    <w:bookmarkEnd w:id="9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Transaction Proposals, provide its applicable shareholders with the opportunity to elect to effect the ACT Shareholder Redemption, and other matters reasonably related to the Transaction Proposals, all in accordance with and as required by ACT’s Governing Documents, applicable Law, and any applicable rules and regulations of the SEC and Nasdaq). Each of ACT and the Company shall use its reasonable best efforts to (a) cause the Registration Statement/Proxy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ACT or the Company, as applicable) and respond promptly to any comments of the SEC or its staff; (c) have the Registration Statement/Proxy Statement declared effective under the Securities Act as promptly as reasonably practicable after it is filed with the SEC; and (d) keep the Registration Statement/Proxy Statement effective through the Closing in order to permit the consummation of the transactions contemplated by this Agreement. ACT,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for inclusion in any other statement, filing, notice or application made by or on behalf of ACT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If any Party becomes aware of any information that should be disclosed in an amendment or supplement to the Registration Statement/Proxy Statement, then (i) such Party shall promptly inform, in the case of ACT, the Company, or, in the case of the Company, ACT, thereof; (ii) such Party shall prepare and mutually agree upon with, in the case of ACT, the Company, or, in the case of the Company, ACT (in either case, such agreement not to be unreasonably withheld, conditioned or delayed), an amendment or supplement to the Registration Statement/Proxy Statement; (iii) ACT shall file such mutually agreed upon amendment or supplement with the SEC; and (iv) the Parties shall reasonably cooperate, if appropriate, in mailing such amendment or supplement to the Pre-Closing ACT Shareholders. ACT shall as promptly as reasonably practicable advise the Company of the time of effectiveness of the Registration Statement/Proxy Statement, the issuance of any stop order relating thereto or the suspension of the qualification of Post-Closing ACT Shares for offering or sale in any jurisdiction, and ACT and the Company shall each use its reasonable best efforts to have any such stop order or suspension lifted, reversed or otherwise terminated. Each of the Parties shall use reasonable best efforts to ensure that none of the information related to it or any of its Representatives and supplied by or on its behalf for inclusion or incorporation by reference in the Registration Statement/Proxy Statement will, at the time the Registration Statement/Proxy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92" w:name="page93"/>
    <w:bookmarkEnd w:id="92"/>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Arial" w:cs="Arial" w:eastAsia="Arial" w:hAnsi="Arial"/>
          <w:sz w:val="16"/>
          <w:szCs w:val="16"/>
          <w:b w:val="1"/>
          <w:bCs w:val="1"/>
          <w:u w:val="single" w:color="auto"/>
          <w:color w:val="auto"/>
        </w:rPr>
        <w:t>ACT Shareholder Approval</w:t>
      </w:r>
      <w:r>
        <w:rPr>
          <w:rFonts w:ascii="Arial" w:cs="Arial" w:eastAsia="Arial" w:hAnsi="Arial"/>
          <w:sz w:val="16"/>
          <w:szCs w:val="16"/>
          <w:color w:val="auto"/>
        </w:rPr>
        <w:t>. As promptly as practicable following the time at which the Registration Statement/Proxy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under the Securities Act: (a) ACT shall (i) duly call and give notice of a meeting of the ACT shareholders in accordance with applicable Law (the “</w:t>
      </w:r>
      <w:r>
        <w:rPr>
          <w:rFonts w:ascii="Arial" w:cs="Arial" w:eastAsia="Arial" w:hAnsi="Arial"/>
          <w:sz w:val="16"/>
          <w:szCs w:val="16"/>
          <w:u w:val="single" w:color="auto"/>
          <w:color w:val="auto"/>
        </w:rPr>
        <w:t>ACT Shareholders Meeting</w:t>
      </w:r>
      <w:r>
        <w:rPr>
          <w:rFonts w:ascii="Arial" w:cs="Arial" w:eastAsia="Arial" w:hAnsi="Arial"/>
          <w:sz w:val="16"/>
          <w:szCs w:val="16"/>
          <w:color w:val="auto"/>
        </w:rPr>
        <w:t xml:space="preserve">”), (ii) cause the Registration Statement/Proxy Statement to be mailed to the Pre-Closing ACT Shareholders and (iii) duly convene and hold the ACT Shareholder Meeting, in each case, in accordance with the </w:t>
      </w:r>
      <w:r>
        <w:rPr>
          <w:rFonts w:ascii="Arial" w:cs="Arial" w:eastAsia="Arial" w:hAnsi="Arial"/>
          <w:sz w:val="16"/>
          <w:szCs w:val="16"/>
          <w:u w:val="single" w:color="auto"/>
          <w:color w:val="auto"/>
        </w:rPr>
        <w:t>Governing Documents of ACT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 Law</w:t>
      </w:r>
      <w:r>
        <w:rPr>
          <w:rFonts w:ascii="Arial" w:cs="Arial" w:eastAsia="Arial" w:hAnsi="Arial"/>
          <w:sz w:val="16"/>
          <w:szCs w:val="16"/>
          <w:color w:val="auto"/>
        </w:rPr>
        <w:t>, for the purposes of obtaining the ACT Shareholder Approval and (B) use reasonable best efforts to solicit proxies from the Pre-Closing ACT Shareholders to vote in favor of each of the Transaction Proposals and (C) in connection with the mailing of the Registration Statement/Proxy Statement and the ACT Shareholders Meeting, provide the applicable Pre-Closing ACT Shareholders with the opportunity to elect to effect an ACT Shareholder Redemption in accordance with the Governing Documents of ACT. ACT shall, through unanimous approval of the ACT Board, recommend to the Pre-Closing ACT Shareholders each of the following (the “</w:t>
      </w:r>
      <w:r>
        <w:rPr>
          <w:rFonts w:ascii="Arial" w:cs="Arial" w:eastAsia="Arial" w:hAnsi="Arial"/>
          <w:sz w:val="16"/>
          <w:szCs w:val="16"/>
          <w:u w:val="single" w:color="auto"/>
          <w:color w:val="auto"/>
        </w:rPr>
        <w:t>ACT Board Recommendation</w:t>
      </w:r>
      <w:r>
        <w:rPr>
          <w:rFonts w:ascii="Arial" w:cs="Arial" w:eastAsia="Arial" w:hAnsi="Arial"/>
          <w:sz w:val="16"/>
          <w:szCs w:val="16"/>
          <w:color w:val="auto"/>
        </w:rPr>
        <w:t>”): (1) the adoption and approval of this Agreement and the transactions contemplated hereby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(2) the adoption and the approval of the Domestication in accordance with applicable Law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(3) the adoption and approval of the issuance of more than twenty percent (20%) of the outstanding Pre-Closing ACT Shares as required by, and pursuant to, the Nasdaq listing requirements (the “</w:t>
      </w:r>
      <w:r>
        <w:rPr>
          <w:rFonts w:ascii="Arial" w:cs="Arial" w:eastAsia="Arial" w:hAnsi="Arial"/>
          <w:sz w:val="16"/>
          <w:szCs w:val="16"/>
          <w:u w:val="single" w:color="auto"/>
          <w:color w:val="auto"/>
        </w:rPr>
        <w:t>Nasdaq Proposal</w:t>
      </w:r>
      <w:r>
        <w:rPr>
          <w:rFonts w:ascii="Arial" w:cs="Arial" w:eastAsia="Arial" w:hAnsi="Arial"/>
          <w:sz w:val="16"/>
          <w:szCs w:val="16"/>
          <w:color w:val="auto"/>
        </w:rPr>
        <w:t xml:space="preserve">”); (4) the adoption and approval of the </w:t>
      </w:r>
      <w:r>
        <w:rPr>
          <w:rFonts w:ascii="Arial" w:cs="Arial" w:eastAsia="Arial" w:hAnsi="Arial"/>
          <w:sz w:val="16"/>
          <w:szCs w:val="16"/>
          <w:u w:val="single" w:color="auto"/>
          <w:color w:val="auto"/>
        </w:rPr>
        <w:t>Post-Closing ACT Certificate of Incorporation</w:t>
      </w:r>
      <w:r>
        <w:rPr>
          <w:rFonts w:ascii="Arial" w:cs="Arial" w:eastAsia="Arial" w:hAnsi="Arial"/>
          <w:sz w:val="16"/>
          <w:szCs w:val="16"/>
          <w:color w:val="auto"/>
        </w:rPr>
        <w:t xml:space="preserve"> in accordance with application Law (the “</w:t>
      </w:r>
      <w:r>
        <w:rPr>
          <w:rFonts w:ascii="Arial" w:cs="Arial" w:eastAsia="Arial" w:hAnsi="Arial"/>
          <w:sz w:val="16"/>
          <w:szCs w:val="16"/>
          <w:u w:val="single" w:color="auto"/>
          <w:color w:val="auto"/>
        </w:rPr>
        <w:t>Required Governing Document Proposal</w:t>
      </w:r>
      <w:r>
        <w:rPr>
          <w:rFonts w:ascii="Arial" w:cs="Arial" w:eastAsia="Arial" w:hAnsi="Arial"/>
          <w:sz w:val="16"/>
          <w:szCs w:val="16"/>
          <w:color w:val="auto"/>
        </w:rPr>
        <w:t xml:space="preserve">”); (5) the adoption and approval of certain differences between the Pre-Closing ACT Governing Documents and the proposed </w:t>
      </w:r>
      <w:r>
        <w:rPr>
          <w:rFonts w:ascii="Arial" w:cs="Arial" w:eastAsia="Arial" w:hAnsi="Arial"/>
          <w:sz w:val="16"/>
          <w:szCs w:val="16"/>
          <w:u w:val="single" w:color="auto"/>
          <w:color w:val="auto"/>
        </w:rPr>
        <w:t>Post-Closing ACT 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Incorporation</w:t>
      </w:r>
      <w:r>
        <w:rPr>
          <w:rFonts w:ascii="Arial" w:cs="Arial" w:eastAsia="Arial" w:hAnsi="Arial"/>
          <w:sz w:val="16"/>
          <w:szCs w:val="16"/>
          <w:color w:val="auto"/>
        </w:rPr>
        <w:t xml:space="preserve"> and the proposed Post-Closing ACT Bylaws (collectively, the “</w:t>
      </w:r>
      <w:r>
        <w:rPr>
          <w:rFonts w:ascii="Arial" w:cs="Arial" w:eastAsia="Arial" w:hAnsi="Arial"/>
          <w:sz w:val="16"/>
          <w:szCs w:val="16"/>
          <w:u w:val="single" w:color="auto"/>
          <w:color w:val="auto"/>
        </w:rPr>
        <w:t>Other Governing Document Proposals</w:t>
      </w:r>
      <w:r>
        <w:rPr>
          <w:rFonts w:ascii="Arial" w:cs="Arial" w:eastAsia="Arial" w:hAnsi="Arial"/>
          <w:sz w:val="16"/>
          <w:szCs w:val="16"/>
          <w:color w:val="auto"/>
        </w:rPr>
        <w:t>”); (6) the adoption and approval of the Post-Closing ACT Incentive Equity Plan (the “</w:t>
      </w:r>
      <w:r>
        <w:rPr>
          <w:rFonts w:ascii="Arial" w:cs="Arial" w:eastAsia="Arial" w:hAnsi="Arial"/>
          <w:sz w:val="16"/>
          <w:szCs w:val="16"/>
          <w:u w:val="single" w:color="auto"/>
          <w:color w:val="auto"/>
        </w:rPr>
        <w:t>ACT Incentive Equity Plan Proposal</w:t>
      </w:r>
      <w:r>
        <w:rPr>
          <w:rFonts w:ascii="Arial" w:cs="Arial" w:eastAsia="Arial" w:hAnsi="Arial"/>
          <w:sz w:val="16"/>
          <w:szCs w:val="16"/>
          <w:color w:val="auto"/>
        </w:rPr>
        <w:t>”); (7) the adoption and approval of each other proposal that either the SEC or Nasdaq (or the respective staff members thereof) indicates is necessary in its comments to the Registration Statement/Proxy Statement or in correspondence related thereto; (8) the adoption and approval of each other proposal reasonably agreed to by ACT and the Company as necessary or appropriate in connection with the consummation of the transactions contemplated by this Agreement or the Ancillary Documents</w:t>
      </w:r>
      <w:r>
        <w:rPr>
          <w:rFonts w:ascii="Arial" w:cs="Arial" w:eastAsia="Arial" w:hAnsi="Arial"/>
          <w:sz w:val="16"/>
          <w:szCs w:val="16"/>
          <w:u w:val="single" w:color="auto"/>
          <w:color w:val="auto"/>
        </w:rPr>
        <w:t>; and</w:t>
      </w:r>
      <w:r>
        <w:rPr>
          <w:rFonts w:ascii="Arial" w:cs="Arial" w:eastAsia="Arial" w:hAnsi="Arial"/>
          <w:sz w:val="16"/>
          <w:szCs w:val="16"/>
          <w:color w:val="auto"/>
        </w:rPr>
        <w:t xml:space="preserve"> (9) the adoption and approval of a proposal for the adjournment of the ACT Shareholders Meeting, if necessary, to permit further solicitation of proxies because there are not sufficient votes to approve and adopt any of the foregoing (such proposals in (1) through (9), collectively,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and ACT shall include the ACT Board Recommendation in the Registration Statement/Proxy Statement. Notwithstanding the foregoing or anything to the contrary herein, ACT may only adjourn the ACT Shareholders Meeting (and ACT shall adjourn the ACT Shareholder Meeting if an adjournment is reasonably requested by the Company in writing) (A) to solicit additional proxies because there are not sufficient votes to constitute the ACT Shareholder Approval, (B) for the absence of a quorum, (C) to allow reasonable additional time for the filing or mailing of any supplemental or amended disclosures that ACT (or the Company) has reasonably determined in good faith, based on the advice of outside legal counsel, is reasonably likely to be required under applicable Law and for such supplemental or amended disclosure to be disseminated and reviewed by the Pre-Closing ACT Shareholders prior to the ACT Shareholders Meeting or (D) if the Pre-Closing ACT Class A Shareholders have elected to redeem a number of Pre-Closing ACT Class A Shares as of such time that would reasonably be expected to result in the condition set forth in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not being satisfied (assuming for purposes of this clause (D) that the full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-1828165</wp:posOffset>
            </wp:positionV>
            <wp:extent cx="1682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93" w:name="page94"/>
    <w:bookmarkEnd w:id="9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Financing Amount will be funded pursuant to the terms of the PIPE Subscription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consent of the Company, in no event shall ACT adjourn the ACT Shareholders Meeting for more than fifteen (15) Business Days later than the most recently adjourned meeting or to a date that is beyond the date that is five (5) Business Days prior to the Termination Date. ACT covenants that none of the ACT Board, ACT or any committee of the ACT Board shall (1) change, withdraw, withhold, qualify, amend or modify, or publicly propose to change, withdraw, withhold, qualify, amend or modify, in a manner adverse to the Company, the ACT Board Recommendation or any other recommendation by the ACT Board or ACT of the proposals set forth in the Registration Statement/Proxy Statement, (2) adopt, approve, recommend or declare advisable to the Pre-Closing ACT Shareholders, or publicly propose to adopt, approve, recommend or declare advisable, any ACT Acquisition Proposal or (3) fail to include the ACT Board Recommendation in the Registration Statement/Proxy Statement.</w:t>
      </w:r>
    </w:p>
    <w:p>
      <w:pPr>
        <w:spacing w:after="0" w:line="174"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Conduct of Business of ACT</w:t>
      </w:r>
      <w:r>
        <w:rPr>
          <w:rFonts w:ascii="Arial" w:cs="Arial" w:eastAsia="Arial" w:hAnsi="Arial"/>
          <w:sz w:val="18"/>
          <w:szCs w:val="18"/>
          <w:color w:val="auto"/>
        </w:rPr>
        <w:t>. From and after the date of this Agreement until the earlier of the Closing or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in accordance with its terms, ACT shall not,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the ACT Disclosure Schedules or as consented to in writing by the Company (such consent, other than in the case of </w:t>
      </w:r>
      <w:r>
        <w:rPr>
          <w:rFonts w:ascii="Arial" w:cs="Arial" w:eastAsia="Arial" w:hAnsi="Arial"/>
          <w:sz w:val="18"/>
          <w:szCs w:val="18"/>
          <w:u w:val="single" w:color="auto"/>
          <w:color w:val="auto"/>
        </w:rPr>
        <w:t>Section 5.10(a)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5.10(j)</w:t>
      </w:r>
      <w:r>
        <w:rPr>
          <w:rFonts w:ascii="Arial" w:cs="Arial" w:eastAsia="Arial" w:hAnsi="Arial"/>
          <w:sz w:val="18"/>
          <w:szCs w:val="18"/>
          <w:color w:val="auto"/>
        </w:rPr>
        <w:t>, not to be unreasonably withheld, conditioned or delayed), do any of the following:</w:t>
      </w:r>
    </w:p>
    <w:p>
      <w:pPr>
        <w:spacing w:after="0" w:line="83" w:lineRule="exact"/>
        <w:rPr>
          <w:sz w:val="20"/>
          <w:szCs w:val="20"/>
          <w:color w:val="auto"/>
        </w:rPr>
      </w:pPr>
    </w:p>
    <w:p>
      <w:pPr>
        <w:ind w:left="1240" w:hanging="253"/>
        <w:spacing w:after="0"/>
        <w:tabs>
          <w:tab w:leader="none" w:pos="1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Trust Agreement or the Governing Documents of ACT;</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create or form any Subsidiary;</w:t>
      </w:r>
    </w:p>
    <w:p>
      <w:pPr>
        <w:spacing w:after="0" w:line="225" w:lineRule="exact"/>
        <w:rPr>
          <w:rFonts w:ascii="Arial" w:cs="Arial" w:eastAsia="Arial" w:hAnsi="Arial"/>
          <w:sz w:val="18"/>
          <w:szCs w:val="18"/>
          <w:color w:val="auto"/>
        </w:rPr>
      </w:pPr>
    </w:p>
    <w:p>
      <w:pPr>
        <w:jc w:val="both"/>
        <w:ind w:right="260" w:firstLine="987"/>
        <w:spacing w:after="0" w:line="286" w:lineRule="auto"/>
        <w:tabs>
          <w:tab w:leader="none" w:pos="12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65" w:lineRule="exact"/>
        <w:rPr>
          <w:rFonts w:ascii="Arial" w:cs="Arial" w:eastAsia="Arial" w:hAnsi="Arial"/>
          <w:sz w:val="17"/>
          <w:szCs w:val="17"/>
          <w:color w:val="auto"/>
        </w:rPr>
      </w:pPr>
    </w:p>
    <w:p>
      <w:pPr>
        <w:ind w:firstLine="987"/>
        <w:spacing w:after="0" w:line="279"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ACT;</w:t>
      </w:r>
    </w:p>
    <w:p>
      <w:pPr>
        <w:spacing w:after="0" w:line="171" w:lineRule="exact"/>
        <w:rPr>
          <w:rFonts w:ascii="Arial" w:cs="Arial" w:eastAsia="Arial" w:hAnsi="Arial"/>
          <w:sz w:val="17"/>
          <w:szCs w:val="17"/>
          <w:color w:val="auto"/>
        </w:rPr>
      </w:pPr>
    </w:p>
    <w:p>
      <w:pPr>
        <w:ind w:right="16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4" w:name="page95"/>
    <w:bookmarkEnd w:id="94"/>
    <w:p>
      <w:pPr>
        <w:ind w:left="1220" w:hanging="233"/>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 create or assume any Indebtedness, or guarantee any Liability of any Person;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ACT;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issue any Equity Securities or grant any additional options, warrants or stock appreciation rights with respect to its Equity Securities;</w:t>
      </w:r>
    </w:p>
    <w:p>
      <w:pPr>
        <w:spacing w:after="0" w:line="248" w:lineRule="exact"/>
        <w:rPr>
          <w:rFonts w:ascii="Arial" w:cs="Arial" w:eastAsia="Arial" w:hAnsi="Arial"/>
          <w:sz w:val="16"/>
          <w:szCs w:val="16"/>
          <w:color w:val="auto"/>
        </w:rPr>
      </w:pPr>
    </w:p>
    <w:p>
      <w:pPr>
        <w:ind w:right="80" w:firstLine="987"/>
        <w:spacing w:after="0" w:line="286" w:lineRule="auto"/>
        <w:tabs>
          <w:tab w:leader="none" w:pos="120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 amend, modify or renew any ACT Affiliated Party Transaction, or make any material payment to any ACT Affiliated Party (other than compensation payments to employees in the ordinary course of business consistent with past practice or the Contracts set forth on </w:t>
      </w:r>
      <w:r>
        <w:rPr>
          <w:rFonts w:ascii="Arial" w:cs="Arial" w:eastAsia="Arial" w:hAnsi="Arial"/>
          <w:sz w:val="17"/>
          <w:szCs w:val="17"/>
          <w:u w:val="single" w:color="auto"/>
          <w:color w:val="auto"/>
        </w:rPr>
        <w:t>Schedule 4.12</w:t>
      </w:r>
      <w:r>
        <w:rPr>
          <w:rFonts w:ascii="Arial" w:cs="Arial" w:eastAsia="Arial" w:hAnsi="Arial"/>
          <w:sz w:val="17"/>
          <w:szCs w:val="17"/>
          <w:color w:val="auto"/>
        </w:rPr>
        <w:t xml:space="preserve"> of the ACT Disclosure Schedules), or (ii) enter into any Contract that would constitute an ACT Affiliated Party Transaction;</w:t>
      </w:r>
    </w:p>
    <w:p>
      <w:pPr>
        <w:spacing w:after="0" w:line="165" w:lineRule="exact"/>
        <w:rPr>
          <w:rFonts w:ascii="Arial" w:cs="Arial" w:eastAsia="Arial" w:hAnsi="Arial"/>
          <w:sz w:val="17"/>
          <w:szCs w:val="17"/>
          <w:color w:val="auto"/>
        </w:rPr>
      </w:pPr>
    </w:p>
    <w:p>
      <w:pPr>
        <w:ind w:right="20" w:firstLine="987"/>
        <w:spacing w:after="0" w:line="257" w:lineRule="auto"/>
        <w:tabs>
          <w:tab w:leader="none" w:pos="12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Liabilities outside of the ordinary course of business, other than any activities, businesses or Liabilities (i) that are either expressly permitted under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(including, for the avoidance of doubt, any activities, businesses or Liabilities expressly contemplated by, incurred in connection with the performance of any covenants or agreements hereunder or thereunder or the consummation of the transactions contemplated hereby or thereby), in accordance with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(ii) those that are administrative or ministerial in nature;</w:t>
      </w:r>
    </w:p>
    <w:p>
      <w:pPr>
        <w:spacing w:after="0" w:line="187" w:lineRule="exact"/>
        <w:rPr>
          <w:rFonts w:ascii="Arial" w:cs="Arial" w:eastAsia="Arial" w:hAnsi="Arial"/>
          <w:sz w:val="18"/>
          <w:szCs w:val="18"/>
          <w:color w:val="auto"/>
        </w:rPr>
      </w:pPr>
    </w:p>
    <w:p>
      <w:pPr>
        <w:ind w:firstLine="987"/>
        <w:spacing w:after="0" w:line="259"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enter into, or amend or modify any material term of (in a manner adverse to ACT), terminate (excluding any expiration in accordance with its terms), or waive or release any material rights, claims or benefits under, any Contract of a type required to be listed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 (or any Contract, that if existing on the date hereof, would have been required to be listed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adopt or amend any ACT Employee Benefit Plan, or enter into any employment contract or CBA or (ii) hire any person as an employee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ACT;</w:t>
      </w:r>
    </w:p>
    <w:p>
      <w:pPr>
        <w:spacing w:after="0" w:line="210" w:lineRule="exact"/>
        <w:rPr>
          <w:rFonts w:ascii="Arial" w:cs="Arial" w:eastAsia="Arial" w:hAnsi="Arial"/>
          <w:sz w:val="16"/>
          <w:szCs w:val="16"/>
          <w:color w:val="auto"/>
        </w:rPr>
      </w:pPr>
    </w:p>
    <w:p>
      <w:pPr>
        <w:jc w:val="both"/>
        <w:ind w:right="20" w:firstLine="987"/>
        <w:spacing w:after="0" w:line="255" w:lineRule="auto"/>
        <w:tabs>
          <w:tab w:leader="none" w:pos="12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enter into any material Tax closing agreement, enter into any Tax allocation, Tax sharing or Tax indemnity or similar agreements (other than one that is included in a Contract entered into in the ordinary course of business that is not primarily related to Taxes), settle or compromise any material Tax claim or assessment, file any material amended Tax Return, adopt or change any method of Tax accounting, change any Tax accounting period, or consent to any extension or waiver of the limitation period applicable to or relating to any material Tax claim or assessment, other than any such extension or waiver that is obtained in the ordinary course of business;</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change ACT’s methods of accounting in any material respect, other than changes that are made in accordance with PCAOB standards;</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95" w:name="page96"/>
    <w:bookmarkEnd w:id="95"/>
    <w:p>
      <w:pPr>
        <w:ind w:right="60" w:firstLine="987"/>
        <w:spacing w:after="0" w:line="277"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make any ACT Change of Control Payment that is not set forth on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of the ACT Disclosure Schedules; or</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enter into any Contract to take, announce or cause to be taken, any of the actions set forth in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this Agreement to the contrary, but without limiting the terms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nothing set forth in this Agreement shall give the Company, directly or indirectly, the right to control or direct the operations of 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Nasdaq Listing; ACT Public Filings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93" w:lineRule="auto"/>
        <w:tabs>
          <w:tab w:leader="none" w:pos="123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Nasdaq Listing</w:t>
      </w:r>
      <w:r>
        <w:rPr>
          <w:rFonts w:ascii="Arial" w:cs="Arial" w:eastAsia="Arial" w:hAnsi="Arial"/>
          <w:sz w:val="16"/>
          <w:szCs w:val="16"/>
          <w:color w:val="auto"/>
        </w:rPr>
        <w:t xml:space="preserve">. ACT shall use its reasonable best efforts to cause (i) ACT’s initial listing application with Nasdaq in connection with the transactions contemplated by this Agreement to be approved, (ii) the Post-Closing ACT Shares issuable in accordance with this Agreement, including the Domestication, to be approved for listing on Nasdaq, subject to official notice of issuance thereof, and (c) to satisfy any of ACT’s applicable initial and continuing listing requirements of Nasdaq, in each case, as promptly as reasonably practicable after the date of this Agreement, and in any event prior to the Closing. The Company shall use reasonable best efforts to, and shall use reasonable best efforts to cause its Representatives to, cooperate with ACT and its Representatives in connection with the foregoing provisions of this </w:t>
      </w:r>
      <w:r>
        <w:rPr>
          <w:rFonts w:ascii="Arial" w:cs="Arial" w:eastAsia="Arial" w:hAnsi="Arial"/>
          <w:sz w:val="16"/>
          <w:szCs w:val="16"/>
          <w:u w:val="single" w:color="auto"/>
          <w:color w:val="auto"/>
        </w:rPr>
        <w:t>Section 5.11(a)</w:t>
      </w:r>
      <w:r>
        <w:rPr>
          <w:rFonts w:ascii="Arial" w:cs="Arial" w:eastAsia="Arial" w:hAnsi="Arial"/>
          <w:sz w:val="16"/>
          <w:szCs w:val="16"/>
          <w:color w:val="auto"/>
        </w:rPr>
        <w:t>, as reasonably requested by ACT.</w:t>
      </w:r>
    </w:p>
    <w:p>
      <w:pPr>
        <w:spacing w:after="0" w:line="164" w:lineRule="exact"/>
        <w:rPr>
          <w:rFonts w:ascii="Arial" w:cs="Arial" w:eastAsia="Arial" w:hAnsi="Arial"/>
          <w:sz w:val="16"/>
          <w:szCs w:val="16"/>
          <w:color w:val="auto"/>
        </w:rPr>
      </w:pPr>
    </w:p>
    <w:p>
      <w:pPr>
        <w:ind w:firstLine="987"/>
        <w:spacing w:after="0" w:line="257"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ACT Public Filings</w:t>
      </w:r>
      <w:r>
        <w:rPr>
          <w:rFonts w:ascii="Arial" w:cs="Arial" w:eastAsia="Arial" w:hAnsi="Arial"/>
          <w:sz w:val="18"/>
          <w:szCs w:val="18"/>
          <w:color w:val="auto"/>
        </w:rPr>
        <w:t>. From the date hereof through the Closing, ACT shall (except, in the case of any reports to be filed or furnished in connection with the transactions contemplated by this Agreement or any Ancillary Document, the Company’s breach of its applicable covenants, agreements and obligations hereunder would result in the ACT’s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84"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b w:val="1"/>
          <w:bCs w:val="1"/>
          <w:color w:val="auto"/>
        </w:rPr>
        <w:t xml:space="preserve">Section 5.12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notice thereof to the Trustee, (a) at the Closing, ACT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ACT pursuant to the ACT Shareholder Redemption, (B) pay the amounts due to the underwriters of ACT’s initial public offering for their deferred underwriting commissions as set forth in the Trust Agreement and (C) immediately thereafter, pay all remaining amounts then available in the Trust Account to ACT in accordance with the Trust Agreement, and (b) thereafter, the Trust Account shall terminate, except as otherwise provided therein.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Arial" w:cs="Arial" w:eastAsia="Arial" w:hAnsi="Arial"/>
          <w:sz w:val="18"/>
          <w:szCs w:val="18"/>
          <w:b w:val="1"/>
          <w:bCs w:val="1"/>
          <w:u w:val="single" w:color="auto"/>
          <w:color w:val="auto"/>
        </w:rPr>
        <w:t>Financing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68" w:lineRule="auto"/>
        <w:tabs>
          <w:tab w:leader="none" w:pos="123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ACT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ACT and its Representatives in connection with the matters specified in this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If reasonably requested by the Company, ACT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waiver may be subject to, and conditioned upon, the Closing occurring and the substantially concurrent funding of such PIPE Financing, (B) subject to, and conditioned upon, the Closing occurring substantially concurrent funding of the PIPE Financing, the Company also waives any such breach to the extent the Company is a third party beneficiary of the provision that was so breached and (C) any such waiver shall be subject to the rights of the placement agent, as applicable, under such PIPE Subscription Agreement with respect to such waiver.</w:t>
      </w:r>
    </w:p>
    <w:p>
      <w:pPr>
        <w:spacing w:after="0" w:line="186" w:lineRule="exact"/>
        <w:rPr>
          <w:rFonts w:ascii="Arial" w:cs="Arial" w:eastAsia="Arial" w:hAnsi="Arial"/>
          <w:sz w:val="17"/>
          <w:szCs w:val="17"/>
          <w:color w:val="auto"/>
        </w:rPr>
      </w:pPr>
    </w:p>
    <w:p>
      <w:pPr>
        <w:ind w:right="60" w:firstLine="987"/>
        <w:spacing w:after="0" w:line="272" w:lineRule="auto"/>
        <w:tabs>
          <w:tab w:leader="none" w:pos="124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ACT shall not amend, modify, terminate or waive any provisions of any PIPE Subscription Agreement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any amendment, modification, termination or waiver that is solely ministerial in nature or otherwise immaterial, and, in each case, that does not affect any economic or any other material term, shall not require the prior written consent, so long as ACT has provided to the Company no less than two (2) Business Days written notice of such amendment, modification, termination or waiver, it being understood, but without limiting the foregoing, that it shall be deemed material if any amendment, modification, termination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177" w:lineRule="exact"/>
        <w:rPr>
          <w:rFonts w:ascii="Arial" w:cs="Arial" w:eastAsia="Arial" w:hAnsi="Arial"/>
          <w:sz w:val="17"/>
          <w:szCs w:val="17"/>
          <w:color w:val="auto"/>
        </w:rPr>
      </w:pPr>
    </w:p>
    <w:p>
      <w:pPr>
        <w:ind w:firstLine="987"/>
        <w:spacing w:after="0" w:line="253"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ACT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have been satisfied or waived (other than those conditions that, by their nature, are to be satisfied at the Closing, but that would, as of such date, reasonably be expected to be satisfied if the Closing were to occur).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0" w:right="45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5.14 </w:t>
      </w:r>
      <w:r>
        <w:rPr>
          <w:rFonts w:ascii="Arial" w:cs="Arial" w:eastAsia="Arial" w:hAnsi="Arial"/>
          <w:sz w:val="18"/>
          <w:szCs w:val="18"/>
          <w:b w:val="1"/>
          <w:bCs w:val="1"/>
          <w:u w:val="single" w:color="auto"/>
          <w:color w:val="auto"/>
        </w:rPr>
        <w:t>ACT 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83"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existing as of the date of this Agreement and in effect immediately prior to the Closing (but, for the avoidance of doubt, following the Domestication) in favor of the directors and officers of ACT, as provided in ACT’s Governing Documents or director and officer indemnification agreements, in substantially the form set forth in the ACT SEC Reports, in either case, solely with respect to any matters occurring on or prior to the Closing, shall survive the transactions contemplated by this Agreement and shall continue in full force and effect from and after the Closing for a period of six (6) years and (ii) ACT will perform and discharge, or cause to be performed and discharged, all obligations to provide such indemnity and exculpation during such six (6)-year period to the extent permitted by applicable Law. To the maximum extent permitted by applicable Law, during such six (6)-year period, ACT shall advance, or caused to be advanced, expenses in connection with such indemnification as provided in ACT’s Governing Documents or other applicable agreements as in effect immediately prior to the Closing. The indemnification and liability limitation or exculpation provisions of ACT’s Governing Documents shall not, during such six</w:t>
      </w:r>
    </w:p>
    <w:p>
      <w:pPr>
        <w:spacing w:after="0" w:line="5"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(6)-year period, be amended, repealed or otherwise modified following the Closing in any manner that would materially and adversely affect the rights thereunder of individuals who, as of immediately prior to the Closing, or at any time prior to such time, were directors or officers of ACT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D&amp;O Persons</w:t>
      </w:r>
      <w:r>
        <w:rPr>
          <w:rFonts w:ascii="Arial" w:cs="Arial" w:eastAsia="Arial" w:hAnsi="Arial"/>
          <w:sz w:val="18"/>
          <w:szCs w:val="18"/>
          <w:color w:val="auto"/>
        </w:rPr>
        <w:t>”) entitled to be so indemnified, have their liability limited or be exculpated with respect to any matters occurring on or prior to the Closing and relating to the fact that such ACT D&amp;O Person was a director or officer of ACT on or prior to the Closing, unless such amendment, repeal or other modification is required by applicable Law.</w:t>
      </w:r>
    </w:p>
    <w:p>
      <w:pPr>
        <w:spacing w:after="0" w:line="190" w:lineRule="exact"/>
        <w:rPr>
          <w:rFonts w:ascii="Arial" w:cs="Arial" w:eastAsia="Arial" w:hAnsi="Arial"/>
          <w:sz w:val="16"/>
          <w:szCs w:val="16"/>
          <w:color w:val="auto"/>
        </w:rPr>
      </w:pPr>
    </w:p>
    <w:p>
      <w:pPr>
        <w:ind w:firstLine="987"/>
        <w:spacing w:after="0" w:line="263"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ACT shall not have any obligation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to any ACT D&amp;O Person when and if a court of competent jurisdiction shall ultimately determine (and such determination shall have become final and nonappealable) that the indemnification of such ACT D&amp;O Person in the manner contemplated hereby is prohibited by applicable Law.</w:t>
      </w:r>
    </w:p>
    <w:p>
      <w:pPr>
        <w:spacing w:after="0" w:line="183" w:lineRule="exact"/>
        <w:rPr>
          <w:rFonts w:ascii="Arial" w:cs="Arial" w:eastAsia="Arial" w:hAnsi="Arial"/>
          <w:sz w:val="18"/>
          <w:szCs w:val="18"/>
          <w:color w:val="auto"/>
        </w:rPr>
      </w:pPr>
    </w:p>
    <w:p>
      <w:pPr>
        <w:ind w:right="160" w:firstLine="987"/>
        <w:spacing w:after="0" w:line="291"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ACT shall obtain, at or prior to the Closing, and ACT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ACT in effect as of the date of this Agreement with respect to matters occurring on or prior to the Closing, which may be satisfied by an existing D&amp;O insurance policy of ACT, providing the aforementioned coverage set forth in this </w:t>
      </w:r>
      <w:r>
        <w:rPr>
          <w:rFonts w:ascii="Arial" w:cs="Arial" w:eastAsia="Arial" w:hAnsi="Arial"/>
          <w:sz w:val="16"/>
          <w:szCs w:val="16"/>
          <w:u w:val="single" w:color="auto"/>
          <w:color w:val="auto"/>
        </w:rPr>
        <w:t>Section 5.14(c)</w:t>
      </w:r>
      <w:r>
        <w:rPr>
          <w:rFonts w:ascii="Arial" w:cs="Arial" w:eastAsia="Arial" w:hAnsi="Arial"/>
          <w:sz w:val="16"/>
          <w:szCs w:val="16"/>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ACT’s directors’ and officers’ liability insurance policies as of the date of this Agreement.</w:t>
      </w:r>
    </w:p>
    <w:p>
      <w:pPr>
        <w:spacing w:after="0" w:line="166" w:lineRule="exact"/>
        <w:rPr>
          <w:rFonts w:ascii="Arial" w:cs="Arial" w:eastAsia="Arial" w:hAnsi="Arial"/>
          <w:sz w:val="16"/>
          <w:szCs w:val="16"/>
          <w:color w:val="auto"/>
        </w:rPr>
      </w:pPr>
    </w:p>
    <w:p>
      <w:pPr>
        <w:ind w:firstLine="987"/>
        <w:spacing w:after="0" w:line="279" w:lineRule="auto"/>
        <w:tabs>
          <w:tab w:leader="none" w:pos="124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If ACT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ACT shall use commercially reasonable efforts to cause the successors or assigns of ACT to assume all of the obligations set forth in this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0" w:right="479" w:bottom="1440" w:gutter="0" w:footer="0" w:header="0"/>
        </w:sectPr>
      </w:pPr>
    </w:p>
    <w:bookmarkStart w:id="98" w:name="page99"/>
    <w:bookmarkEnd w:id="98"/>
    <w:p>
      <w:pPr>
        <w:ind w:left="4" w:right="160" w:firstLine="987"/>
        <w:spacing w:after="0" w:line="263"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survive the consummation of the transactions contemplated by this Agreement and shall be binding on all successors and assigns of ACT.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Company 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86" w:lineRule="auto"/>
        <w:tabs>
          <w:tab w:leader="none" w:pos="12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Each Party agrees that (i) all rights to indemnification or exculpation now existing as of the date of this Agreement and in effect immediately prior to the Closing in favor of the directors and officers of the Group Companies, as provided in the Group Companies’ Governing Documents or director and officer indemnification agreements set forth on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of the Company Disclosure Schedules, in substantially the form made available, in either case, solely with respect to any matters occurring on or prior to the Closing, shall survive the transactions contemplated by this Agreement and shall continue in full force and effect from and after the Closing for a period of six (6) years and (ii) ACT will cause the applicable Group Companies to perform and discharge all obligations to provide such indemnity and exculpation during such six (6)-year period to the extent permitted by applicable Law. To the maximum extent permitted by applicable Law, during such six (6)-year period, ACT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during such six (6)-year period, be 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Arial" w:cs="Arial" w:eastAsia="Arial" w:hAnsi="Arial"/>
          <w:sz w:val="16"/>
          <w:szCs w:val="16"/>
          <w:u w:val="single" w:color="auto"/>
          <w:color w:val="auto"/>
        </w:rPr>
        <w:t>Company D&amp;O Persons</w:t>
      </w:r>
      <w:r>
        <w:rPr>
          <w:rFonts w:ascii="Arial" w:cs="Arial" w:eastAsia="Arial" w:hAnsi="Arial"/>
          <w:sz w:val="16"/>
          <w:szCs w:val="16"/>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70" w:lineRule="exact"/>
        <w:rPr>
          <w:rFonts w:ascii="Arial" w:cs="Arial" w:eastAsia="Arial" w:hAnsi="Arial"/>
          <w:sz w:val="16"/>
          <w:szCs w:val="16"/>
          <w:color w:val="auto"/>
        </w:rPr>
      </w:pPr>
    </w:p>
    <w:p>
      <w:pPr>
        <w:ind w:left="4" w:right="40" w:firstLine="987"/>
        <w:spacing w:after="0" w:line="263" w:lineRule="auto"/>
        <w:tabs>
          <w:tab w:leader="none" w:pos="12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None of ACT or the Group Companies shall have any obligation under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shall purchase, at or prior to the Closing, and ACT shall maintain, or cause to be maintained, in effect for a period of six</w:t>
      </w:r>
    </w:p>
    <w:p>
      <w:pPr>
        <w:spacing w:after="0" w:line="46" w:lineRule="exact"/>
        <w:rPr>
          <w:rFonts w:ascii="Arial" w:cs="Arial" w:eastAsia="Arial" w:hAnsi="Arial"/>
          <w:sz w:val="16"/>
          <w:szCs w:val="16"/>
          <w:color w:val="auto"/>
        </w:rPr>
      </w:pPr>
    </w:p>
    <w:p>
      <w:pPr>
        <w:ind w:left="4" w:right="100" w:hanging="4"/>
        <w:spacing w:after="0" w:line="290" w:lineRule="auto"/>
        <w:tabs>
          <w:tab w:leader="none" w:pos="25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years following the Closing, without lapses in coverage, a “tail”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Closing, which may be satisfied through the annual renewal of a D&amp;O insurance described in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providing the aforementioned coverage set forth in this </w:t>
      </w:r>
      <w:r>
        <w:rPr>
          <w:rFonts w:ascii="Arial" w:cs="Arial" w:eastAsia="Arial" w:hAnsi="Arial"/>
          <w:sz w:val="16"/>
          <w:szCs w:val="16"/>
          <w:u w:val="single" w:color="auto"/>
          <w:color w:val="auto"/>
        </w:rPr>
        <w:t>Section 5.15(c)</w:t>
      </w:r>
      <w:r>
        <w:rPr>
          <w:rFonts w:ascii="Arial" w:cs="Arial" w:eastAsia="Arial" w:hAnsi="Arial"/>
          <w:sz w:val="16"/>
          <w:szCs w:val="16"/>
          <w:color w:val="auto"/>
        </w:rPr>
        <w:t>.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4"/>
          </w:cols>
          <w:pgMar w:left="436" w:top="274" w:right="479" w:bottom="1440" w:gutter="0" w:footer="0" w:header="0"/>
        </w:sectPr>
      </w:pPr>
    </w:p>
    <w:bookmarkStart w:id="99" w:name="page100"/>
    <w:bookmarkEnd w:id="99"/>
    <w:p>
      <w:pPr>
        <w:ind w:right="20" w:firstLine="987"/>
        <w:spacing w:after="0" w:line="279" w:lineRule="auto"/>
        <w:tabs>
          <w:tab w:leader="none" w:pos="1246"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ACT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ACT shall use its commercially reasonable efforts to cause the successors or assigns of ACT to assume all of the obligations set forth in this </w:t>
      </w:r>
      <w:r>
        <w:rPr>
          <w:rFonts w:ascii="Arial" w:cs="Arial" w:eastAsia="Arial" w:hAnsi="Arial"/>
          <w:sz w:val="17"/>
          <w:szCs w:val="17"/>
          <w:u w:val="single" w:color="auto"/>
          <w:color w:val="auto"/>
        </w:rPr>
        <w:t>Section 5.15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survive the consummation of the transactions contemplated by this Agreement and shall be binding on all successors and assigns of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b w:val="1"/>
          <w:bCs w:val="1"/>
          <w:u w:val="single" w:color="auto"/>
          <w:color w:val="auto"/>
        </w:rPr>
        <w:t>Post-Closing ACT Directors and Officers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2"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ACT shall take all such action as may be necessary or appropriate such that, effective as of the Closing: (i) the ACT Board shall consist of seven (7) individuals of which (A) one (1) shall be designated by the ACT Sponsor, subject to the approval of the Company (not to be unreasonably withheld), who shall qualify as an “independent director” under the listing rules of Nasdaq and Rule 10A-3 of the Exchange Act (the “</w:t>
      </w:r>
      <w:r>
        <w:rPr>
          <w:rFonts w:ascii="Arial" w:cs="Arial" w:eastAsia="Arial" w:hAnsi="Arial"/>
          <w:sz w:val="17"/>
          <w:szCs w:val="17"/>
          <w:u w:val="single" w:color="auto"/>
          <w:color w:val="auto"/>
        </w:rPr>
        <w:t>ACT Sponsor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Designee</w:t>
      </w:r>
      <w:r>
        <w:rPr>
          <w:rFonts w:ascii="Arial" w:cs="Arial" w:eastAsia="Arial" w:hAnsi="Arial"/>
          <w:sz w:val="17"/>
          <w:szCs w:val="17"/>
          <w:color w:val="auto"/>
        </w:rPr>
        <w:t>”) and (B) six (6) shall be designated by the Company (each, a “</w:t>
      </w:r>
      <w:r>
        <w:rPr>
          <w:rFonts w:ascii="Arial" w:cs="Arial" w:eastAsia="Arial" w:hAnsi="Arial"/>
          <w:sz w:val="17"/>
          <w:szCs w:val="17"/>
          <w:u w:val="single" w:color="auto"/>
          <w:color w:val="auto"/>
        </w:rPr>
        <w:t>Company Designee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two (2) of the Company Designees shall qualify as “independent directors” under the listing rules of Nasdaq and Rule 10A-3 of the Exchange Act; (iii) the members of the ACT Board are the individuals determined in accordance with this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5.16(c)</w:t>
      </w:r>
      <w:r>
        <w:rPr>
          <w:rFonts w:ascii="Arial" w:cs="Arial" w:eastAsia="Arial" w:hAnsi="Arial"/>
          <w:sz w:val="17"/>
          <w:szCs w:val="17"/>
          <w:color w:val="auto"/>
        </w:rPr>
        <w:t xml:space="preserve"> and (iv) the officers of ACT (the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are the individuals determined in accordance with </w:t>
      </w:r>
      <w:r>
        <w:rPr>
          <w:rFonts w:ascii="Arial" w:cs="Arial" w:eastAsia="Arial" w:hAnsi="Arial"/>
          <w:sz w:val="17"/>
          <w:szCs w:val="17"/>
          <w:u w:val="single" w:color="auto"/>
          <w:color w:val="auto"/>
        </w:rPr>
        <w:t>Section 5.16(d)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120" w:firstLine="987"/>
        <w:spacing w:after="0" w:line="259"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Prior to the filing of the Registration Statement/Proxy Statement, the ACT Sponsor will provide the Company with written notice that includes the name of the ACT Sponsor Designee. Any time prior to the time at which the Registration Statement/Proxy Statement is declared effective under the Securities Act, the ACT Sponsor may, by giving the Company and ACT written notice, replace the ACT Designee with any other individual meeting the qualifications set forth in clause (i)(A) of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87"/>
        <w:spacing w:after="0" w:line="286"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Prior to the time at which the Registration Statement/Proxy Statement is declared effective under the Securities Act, the Company may, by giving ACT and the ACT Sponsor written notice, replace any Company Designee with any other individual;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two (2) of the Company Designees qualify as “independent directors” under the listing rules of Nasdaq and Rule 10A-3 of the Exchange Act.</w:t>
      </w:r>
    </w:p>
    <w:p>
      <w:pPr>
        <w:spacing w:after="0" w:line="165" w:lineRule="exact"/>
        <w:rPr>
          <w:rFonts w:ascii="Arial" w:cs="Arial" w:eastAsia="Arial" w:hAnsi="Arial"/>
          <w:sz w:val="17"/>
          <w:szCs w:val="17"/>
          <w:color w:val="auto"/>
        </w:rPr>
      </w:pPr>
    </w:p>
    <w:p>
      <w:pPr>
        <w:ind w:firstLine="987"/>
        <w:spacing w:after="0" w:line="293" w:lineRule="auto"/>
        <w:tabs>
          <w:tab w:leader="none" w:pos="124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individuals identified on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shall be the Officers immediately after the Closing, with each such individual holding the title set forth opposite his or her name. In the event that any such individual identified on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is unwilling or unable (whether due to death, disability, termination of service, or otherwise) to serve as an Officer, then, prior to the time at which the Registration Statement/Proxy Statement is declared effective under the Securities Act, the Company may replace such individual with another individual to serve as such Officer and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100" w:name="page101"/>
    <w:bookmarkEnd w:id="100"/>
    <w:p>
      <w:pPr>
        <w:ind w:right="160" w:firstLine="987"/>
        <w:spacing w:after="0" w:line="263"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obligations of ACT pursuant to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include ACT taking all necessary action, including procuring resignations, so that the applicable officers and directors of ACT prior to or at the Closing cease to be directors or officers of ACT as of the Closing, to the extent such director or officer has not otherwise ceased to be a director or officer of ACT prior to the Closing.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b w:val="1"/>
          <w:bCs w:val="1"/>
          <w:u w:val="single" w:color="auto"/>
          <w:color w:val="auto"/>
        </w:rPr>
        <w:t>PCAOB Financials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5"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shall deliver to ACT, (i) as promptly as reasonably practicable following the date of this Agreement, the audited consolidated balance sheets of the 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Statement/Proxy Statement (the financial statements described in this clause (ii), the “</w:t>
      </w:r>
      <w:r>
        <w:rPr>
          <w:rFonts w:ascii="Arial" w:cs="Arial" w:eastAsia="Arial" w:hAnsi="Arial"/>
          <w:sz w:val="16"/>
          <w:szCs w:val="16"/>
          <w:u w:val="single" w:color="auto"/>
          <w:color w:val="auto"/>
        </w:rPr>
        <w:t>Other Closing Company Financial Statements</w:t>
      </w:r>
      <w:r>
        <w:rPr>
          <w:rFonts w:ascii="Arial" w:cs="Arial" w:eastAsia="Arial" w:hAnsi="Arial"/>
          <w:sz w:val="16"/>
          <w:szCs w:val="16"/>
          <w:color w:val="auto"/>
        </w:rPr>
        <w:t>” and, collectively with the Closing Company Audited Financial Statements, the “</w:t>
      </w:r>
      <w:r>
        <w:rPr>
          <w:rFonts w:ascii="Arial" w:cs="Arial" w:eastAsia="Arial" w:hAnsi="Arial"/>
          <w:sz w:val="16"/>
          <w:szCs w:val="16"/>
          <w:u w:val="single" w:color="auto"/>
          <w:color w:val="auto"/>
        </w:rPr>
        <w:t>Closing Company Financial Statements</w:t>
      </w:r>
      <w:r>
        <w:rPr>
          <w:rFonts w:ascii="Arial" w:cs="Arial" w:eastAsia="Arial" w:hAnsi="Arial"/>
          <w:sz w:val="16"/>
          <w:szCs w:val="16"/>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76" w:lineRule="exact"/>
        <w:rPr>
          <w:rFonts w:ascii="Arial" w:cs="Arial" w:eastAsia="Arial" w:hAnsi="Arial"/>
          <w:sz w:val="16"/>
          <w:szCs w:val="16"/>
          <w:color w:val="auto"/>
        </w:rPr>
      </w:pPr>
    </w:p>
    <w:p>
      <w:pPr>
        <w:ind w:right="40" w:firstLine="987"/>
        <w:spacing w:after="0" w:line="255"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ACT in causing to be prepared in a timely manner any other financial information or statements (including customary pro forma financial statements) that are required to be included in the Registration Statement/Proxy Statement and any other filings to be made by ACT with the SEC in connection with the transactions contemplated by this Agreement or any Ancillary Document and (ii) to obtain the consents of its auditors with respect thereto as may be required by applicable Law or requested by the SEC.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1" w:name="page102"/>
    <w:bookmarkEnd w:id="101"/>
    <w:p>
      <w:pPr>
        <w:ind w:left="4" w:right="4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5.18 </w:t>
      </w:r>
      <w:r>
        <w:rPr>
          <w:rFonts w:ascii="Arial" w:cs="Arial" w:eastAsia="Arial" w:hAnsi="Arial"/>
          <w:sz w:val="18"/>
          <w:szCs w:val="18"/>
          <w:b w:val="1"/>
          <w:bCs w:val="1"/>
          <w:u w:val="single" w:color="auto"/>
          <w:color w:val="auto"/>
        </w:rPr>
        <w:t>Post-Closing ACT Incentive Equity Plan</w:t>
      </w:r>
      <w:r>
        <w:rPr>
          <w:rFonts w:ascii="Arial" w:cs="Arial" w:eastAsia="Arial" w:hAnsi="Arial"/>
          <w:sz w:val="18"/>
          <w:szCs w:val="18"/>
          <w:color w:val="auto"/>
        </w:rPr>
        <w:t>. Prior to the ACT Shareholders Meeting, the ACT Board shall approve and adopt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incentive plan, in the form reasonably determined by the Company and ACT (the “</w:t>
      </w:r>
      <w:r>
        <w:rPr>
          <w:rFonts w:ascii="Arial" w:cs="Arial" w:eastAsia="Arial" w:hAnsi="Arial"/>
          <w:sz w:val="18"/>
          <w:szCs w:val="18"/>
          <w:u w:val="single" w:color="auto"/>
          <w:color w:val="auto"/>
        </w:rPr>
        <w:t>Post-Closing ACT Incentive Equity Plan</w:t>
      </w:r>
      <w:r>
        <w:rPr>
          <w:rFonts w:ascii="Arial" w:cs="Arial" w:eastAsia="Arial" w:hAnsi="Arial"/>
          <w:sz w:val="18"/>
          <w:szCs w:val="18"/>
          <w:color w:val="auto"/>
        </w:rPr>
        <w:t>”), in the manner prescribed under applicable Laws, effective as of immediately prior to the Closing, reserving initially 19,811,726 Post-Closing ACT Class A Shares for grant thereunder plus such additional Post-Closing ACT Class A Shares as may become available for issuance in accordance with the terms set forth in the Post-Closing ACT Incentive Equity Plan.</w:t>
      </w:r>
    </w:p>
    <w:p>
      <w:pPr>
        <w:spacing w:after="0" w:line="183"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5.19 </w:t>
      </w:r>
      <w:r>
        <w:rPr>
          <w:rFonts w:ascii="Arial" w:cs="Arial" w:eastAsia="Arial" w:hAnsi="Arial"/>
          <w:sz w:val="18"/>
          <w:szCs w:val="18"/>
          <w:b w:val="1"/>
          <w:bCs w:val="1"/>
          <w:u w:val="single" w:color="auto"/>
          <w:color w:val="auto"/>
        </w:rPr>
        <w:t>Post-Closing ACT Bylaws</w:t>
      </w:r>
      <w:r>
        <w:rPr>
          <w:rFonts w:ascii="Arial" w:cs="Arial" w:eastAsia="Arial" w:hAnsi="Arial"/>
          <w:sz w:val="18"/>
          <w:szCs w:val="18"/>
          <w:color w:val="auto"/>
        </w:rPr>
        <w:t>. Prior to the occurrence of the Closing, ACT shall adopt, or cause to be adopted, the Post-Closing ACT</w:t>
      </w:r>
      <w:r>
        <w:rPr>
          <w:rFonts w:ascii="Arial" w:cs="Arial" w:eastAsia="Arial" w:hAnsi="Arial"/>
          <w:sz w:val="18"/>
          <w:szCs w:val="18"/>
          <w:b w:val="1"/>
          <w:bCs w:val="1"/>
          <w:color w:val="auto"/>
        </w:rPr>
        <w:t xml:space="preserve"> </w:t>
      </w:r>
      <w:r>
        <w:rPr>
          <w:rFonts w:ascii="Arial" w:cs="Arial" w:eastAsia="Arial" w:hAnsi="Arial"/>
          <w:sz w:val="18"/>
          <w:szCs w:val="18"/>
          <w:color w:val="auto"/>
        </w:rPr>
        <w:t>Bylaws in accordance with applicable Law.</w:t>
      </w:r>
    </w:p>
    <w:p>
      <w:pPr>
        <w:spacing w:after="0" w:line="162"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Company Preferred Equity Investment</w:t>
      </w:r>
      <w:r>
        <w:rPr>
          <w:rFonts w:ascii="Arial" w:cs="Arial" w:eastAsia="Arial" w:hAnsi="Arial"/>
          <w:sz w:val="16"/>
          <w:szCs w:val="16"/>
          <w:color w:val="auto"/>
        </w:rPr>
        <w:t>. The Company shall use its reasonable best efforts to (a) enforce the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NextEra under the NextEra Subscription Agreement and consummate the transactions contemplated by the NextEra Subscription Agreement on the terms and subject to the conditions set forth in the NextEra Subscription Agreement, (b) satisfy all conditions set forth in the NextEra Subscription Agreement that are within its control and (c) satisfy and comply with its obligations under the NextEra Subscription Agreement. The Company shall</w:t>
      </w:r>
    </w:p>
    <w:p>
      <w:pPr>
        <w:spacing w:after="0" w:line="2" w:lineRule="exact"/>
        <w:rPr>
          <w:sz w:val="20"/>
          <w:szCs w:val="20"/>
          <w:color w:val="auto"/>
        </w:rPr>
      </w:pPr>
    </w:p>
    <w:p>
      <w:pPr>
        <w:ind w:left="4" w:hanging="4"/>
        <w:spacing w:after="0" w:line="253" w:lineRule="auto"/>
        <w:tabs>
          <w:tab w:leader="none" w:pos="2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notify ACT upon having knowledge of any material breach or default under, or termination of, the NextEra Subscription Agreement (including any refusal or repudiation by NextEra with respect to its obligation and/or ability to consummate the transactions contemplated by the NextEra Subscription Agreement and (ii) prior to delivering any written notice (or any other material notice) to NextEra with respect to the NextEra Subscription Agreement, deliver such notice to ACT for its prior review and consent (which consent shall not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CONDITIONS TO CONSUMMATION OF THE TRANSACTIONS CONTEMPLATED BY THIS AGREEMENT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Conditions to the Obligations of the Parties</w:t>
      </w:r>
      <w:r>
        <w:rPr>
          <w:rFonts w:ascii="Arial" w:cs="Arial" w:eastAsia="Arial" w:hAnsi="Arial"/>
          <w:sz w:val="16"/>
          <w:szCs w:val="16"/>
          <w:color w:val="auto"/>
        </w:rPr>
        <w:t>. The obligations of the Parties to consummate the transactions contemplated by this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are subject to the satisfaction or, if permitted by applicable Law, written waiver by all of the Parties, of the following conditions:</w:t>
      </w:r>
    </w:p>
    <w:p>
      <w:pPr>
        <w:spacing w:after="0" w:line="114" w:lineRule="exact"/>
        <w:rPr>
          <w:sz w:val="20"/>
          <w:szCs w:val="20"/>
          <w:color w:val="auto"/>
        </w:rPr>
      </w:pPr>
    </w:p>
    <w:p>
      <w:pPr>
        <w:ind w:left="4" w:firstLine="987"/>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all necessary clearances, authorizations and approvals from Governmental Entities shall have been received and (ii) each applicable waiting period under the HSR Act relating to the transactions contemplated by this Agreement shall have expired, been terminated or obtained (or deemed, by applicable Law, to have been obtained), as applicable;</w:t>
      </w:r>
    </w:p>
    <w:p>
      <w:pPr>
        <w:spacing w:after="0" w:line="183" w:lineRule="exact"/>
        <w:rPr>
          <w:rFonts w:ascii="Arial" w:cs="Arial" w:eastAsia="Arial" w:hAnsi="Arial"/>
          <w:sz w:val="18"/>
          <w:szCs w:val="18"/>
          <w:color w:val="auto"/>
        </w:rPr>
      </w:pPr>
    </w:p>
    <w:p>
      <w:pPr>
        <w:ind w:left="4" w:right="40" w:firstLine="987"/>
        <w:spacing w:after="0" w:line="259" w:lineRule="auto"/>
        <w:tabs>
          <w:tab w:leader="none" w:pos="12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Order, Law or other legal restraint or prohibition issued by any court of competent jurisdiction or other Governmental Entity of competent jurisdiction restraining, enjoining or otherwise prohibiting the consummation of the transactions contemplated by this Agreement shall be in effect, and no Law or regulation shall have been adopted that makes the consummation of the transactions contemplated by this Agreement illegal or otherwise prohibited;</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24"/>
          </w:cols>
          <w:pgMar w:left="436" w:top="270" w:right="539" w:bottom="1440" w:gutter="0" w:footer="0" w:header="0"/>
        </w:sectPr>
      </w:pPr>
    </w:p>
    <w:bookmarkStart w:id="102" w:name="page103"/>
    <w:bookmarkEnd w:id="102"/>
    <w:p>
      <w:pPr>
        <w:ind w:right="180" w:firstLine="987"/>
        <w:spacing w:after="0" w:line="286" w:lineRule="auto"/>
        <w:tabs>
          <w:tab w:leader="none" w:pos="1236"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Statement/Proxy Statement shall have become effective in accordance with the provisions of the Securities Act, no stop order shall have been issued by the SEC and shall remain in effect with respect to the Registration Statement/Proxy Statement, and no proceeding seeking such a stop order shall have been threatened or initiated by the SEC and remain pending;</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Required Approval shall have been obtained;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Required ACT Shareholder Approval (other than the ACT Incentive Equity Plan Proposal) shall have been obtained;</w:t>
      </w:r>
    </w:p>
    <w:p>
      <w:pPr>
        <w:spacing w:after="0" w:line="225" w:lineRule="exact"/>
        <w:rPr>
          <w:rFonts w:ascii="Arial" w:cs="Arial" w:eastAsia="Arial" w:hAnsi="Arial"/>
          <w:sz w:val="18"/>
          <w:szCs w:val="18"/>
          <w:color w:val="auto"/>
        </w:rPr>
      </w:pPr>
    </w:p>
    <w:p>
      <w:pPr>
        <w:ind w:right="40" w:firstLine="987"/>
        <w:spacing w:after="0" w:line="257" w:lineRule="auto"/>
        <w:tabs>
          <w:tab w:leader="none" w:pos="121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ACT’s initial listing application with Nasdaq in connection with the transactions contemplated by this Agreement shall have been conditionally approved and, immediately following the Closing, ACT shall, after giving effect to the ACT Shareholder Redemption, satisfy any applicable initial and continuing listing requirements of Nasdaq, and ACT shall not have received any notice of non-compliance therewith that has not been cured prior to, or would not be cured at or immediately following, the Closing, and the Post-Closing ACT Shares (including the Post-Closing ACT Shares to be issued hereunder) shall have been approved for listing on Nasdaq;</w:t>
      </w:r>
    </w:p>
    <w:p>
      <w:pPr>
        <w:spacing w:after="0" w:line="187" w:lineRule="exact"/>
        <w:rPr>
          <w:rFonts w:ascii="Arial" w:cs="Arial" w:eastAsia="Arial" w:hAnsi="Arial"/>
          <w:sz w:val="18"/>
          <w:szCs w:val="18"/>
          <w:color w:val="auto"/>
        </w:rPr>
      </w:pPr>
    </w:p>
    <w:p>
      <w:pPr>
        <w:ind w:firstLine="987"/>
        <w:spacing w:after="0" w:line="263" w:lineRule="auto"/>
        <w:tabs>
          <w:tab w:leader="none" w:pos="1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hereby (including after giving effect to the PIPE Financing and after giving effect to the ACT Shareholder Redemption), ACT shall have at least $5,000,001 of net tangible assets (as determined in accordance with Rule 3a51-1(g)(1) of the Exchange Act) immediately after the Closing; 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of the Closing, each of the Ancillary Documents shall be in full force and effect and shall not have been rescinded by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parties thereto.</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Other Conditions to the Obligations of ACT</w:t>
      </w:r>
      <w:r>
        <w:rPr>
          <w:rFonts w:ascii="Arial" w:cs="Arial" w:eastAsia="Arial" w:hAnsi="Arial"/>
          <w:sz w:val="17"/>
          <w:szCs w:val="17"/>
          <w:color w:val="auto"/>
        </w:rPr>
        <w:t>. The obligations of ACT to consummate the transactions contemplated by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are subject to the satisfaction or, if permitted by applicable Law, written waiver by ACT of the following further conditions:</w:t>
      </w:r>
    </w:p>
    <w:p>
      <w:pPr>
        <w:spacing w:after="0" w:line="103" w:lineRule="exact"/>
        <w:rPr>
          <w:sz w:val="20"/>
          <w:szCs w:val="20"/>
          <w:color w:val="auto"/>
        </w:rPr>
      </w:pPr>
    </w:p>
    <w:p>
      <w:pPr>
        <w:ind w:right="20" w:firstLine="987"/>
        <w:spacing w:after="0" w:line="269"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 the Company Fundamental Representations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and (ii) the representations and warranties of the of the Company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3" w:name="page104"/>
    <w:bookmarkEnd w:id="103"/>
    <w:p>
      <w:pPr>
        <w:ind w:right="12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performed and complied in all material respects with the covenants and agreements required to be performed or complied with by the Company under this Agreement at or prior to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 that is continuing;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or prior to the Closing, the Company shall have delivered, or caused to be delivered, to ACT the following documents:</w:t>
      </w:r>
    </w:p>
    <w:p>
      <w:pPr>
        <w:spacing w:after="0" w:line="117" w:lineRule="exact"/>
        <w:rPr>
          <w:rFonts w:ascii="Arial" w:cs="Arial" w:eastAsia="Arial" w:hAnsi="Arial"/>
          <w:sz w:val="18"/>
          <w:szCs w:val="18"/>
          <w:color w:val="auto"/>
        </w:rPr>
      </w:pPr>
    </w:p>
    <w:p>
      <w:pPr>
        <w:ind w:left="980" w:right="80" w:firstLine="408"/>
        <w:spacing w:after="0" w:line="342" w:lineRule="auto"/>
        <w:tabs>
          <w:tab w:leader="none" w:pos="159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the Company, dated as of the Closing Date, to the effect that the conditions specified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are satisfied, in a form and substance reasonably satisfactory to ACT; and</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of the Ancillary Documents required to be signed by the Company, duly executed by the Company.</w:t>
      </w:r>
    </w:p>
    <w:p>
      <w:pPr>
        <w:spacing w:after="0" w:line="221"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color w:val="auto"/>
        </w:rPr>
        <w:t>. 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written waiver by the Company of the following further conditions:</w:t>
      </w:r>
    </w:p>
    <w:p>
      <w:pPr>
        <w:spacing w:after="0" w:line="72" w:lineRule="exact"/>
        <w:rPr>
          <w:sz w:val="20"/>
          <w:szCs w:val="20"/>
          <w:color w:val="auto"/>
        </w:rPr>
      </w:pPr>
    </w:p>
    <w:p>
      <w:pPr>
        <w:ind w:firstLine="987"/>
        <w:spacing w:after="0" w:line="287" w:lineRule="auto"/>
        <w:tabs>
          <w:tab w:leader="none" w:pos="12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 other than the representations and warranties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which shall be true and correct (without giving effect to any limitation as to “materiality” or “ACT Material Adverse Effect” or any similar limitation set forth herein) in all respects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this Agreement and as of the Closing Date, as though made on and as of the Closing Date, the ACT Fundamental Representations shall be true and correct (without giving effect to any limitation as to “materiality” or “ACT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and (ii) the representations and warranties of the ACT (other than the ACT Fundamental Representations)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(without giving effect to any limitation as to “materiality” or “ACT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ACT Material Adverse Effect;</w:t>
      </w:r>
    </w:p>
    <w:p>
      <w:pPr>
        <w:spacing w:after="0" w:line="167" w:lineRule="exact"/>
        <w:rPr>
          <w:rFonts w:ascii="Arial" w:cs="Arial" w:eastAsia="Arial" w:hAnsi="Arial"/>
          <w:sz w:val="16"/>
          <w:szCs w:val="16"/>
          <w:color w:val="auto"/>
        </w:rPr>
      </w:pPr>
    </w:p>
    <w:p>
      <w:pPr>
        <w:ind w:right="52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ACT shall have performed and complied in all material respects with the covenants and agreements required to be performed or complied with by ACT under this Agreement at or prior to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104" w:name="page105"/>
    <w:bookmarkEnd w:id="104"/>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date of this Agreement, no ACT Material Adverse Effect has occurred that is continuing;</w:t>
      </w:r>
    </w:p>
    <w:p>
      <w:pPr>
        <w:spacing w:after="0" w:line="225" w:lineRule="exact"/>
        <w:rPr>
          <w:rFonts w:ascii="Arial" w:cs="Arial" w:eastAsia="Arial" w:hAnsi="Arial"/>
          <w:sz w:val="18"/>
          <w:szCs w:val="18"/>
          <w:color w:val="auto"/>
        </w:rPr>
      </w:pPr>
    </w:p>
    <w:p>
      <w:pPr>
        <w:ind w:right="1000"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$225,000,000, and ACT shall have made appropriate arrangements for the funds in the Trust Account to be released upon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as of immediately following the Closing, the ACT Board shall consist of the number of directors determined pursuant to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720" w:firstLine="987"/>
        <w:spacing w:after="0" w:line="342" w:lineRule="auto"/>
        <w:tabs>
          <w:tab w:leader="none" w:pos="121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ACT Sponsor and the Pre-Closing ACT Other Class B Shareholders shall have complied in all material respects with their covenants and agreements required to be performed or complied with by them under the Sponsor Letter Agreement at or prior to the Closing;</w:t>
      </w:r>
    </w:p>
    <w:p>
      <w:pPr>
        <w:spacing w:after="0" w:line="123" w:lineRule="exact"/>
        <w:rPr>
          <w:rFonts w:ascii="Arial" w:cs="Arial" w:eastAsia="Arial" w:hAnsi="Arial"/>
          <w:sz w:val="16"/>
          <w:szCs w:val="16"/>
          <w:color w:val="auto"/>
        </w:rPr>
      </w:pPr>
    </w:p>
    <w:p>
      <w:pPr>
        <w:jc w:val="both"/>
        <w:ind w:right="160" w:firstLine="987"/>
        <w:spacing w:after="0" w:line="263"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Domestication shall have been consummated on the Closing Date prior to the Closing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a time-stamped copy of the Certificate of Domestication issued by the Secretary of State of the State of Delaware in relation thereto shall have been delivered to the Company;</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sum of all Unpaid ACT Expenses and all Unpaid ACT Liabilities shall not exceed $30,000,000; and</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or prior to the Closing, ACT shall have delivered, or caused to be delivered, to the Company the following documents:</w:t>
      </w:r>
    </w:p>
    <w:p>
      <w:pPr>
        <w:spacing w:after="0" w:line="117" w:lineRule="exact"/>
        <w:rPr>
          <w:rFonts w:ascii="Arial" w:cs="Arial" w:eastAsia="Arial" w:hAnsi="Arial"/>
          <w:sz w:val="18"/>
          <w:szCs w:val="18"/>
          <w:color w:val="auto"/>
        </w:rPr>
      </w:pPr>
    </w:p>
    <w:p>
      <w:pPr>
        <w:ind w:left="980" w:right="20" w:firstLine="408"/>
        <w:spacing w:after="0" w:line="342" w:lineRule="auto"/>
        <w:tabs>
          <w:tab w:leader="none" w:pos="159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ACT, dated as of the Closing Date, to the effect that the conditions specified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6.3(c)</w:t>
      </w:r>
      <w:r>
        <w:rPr>
          <w:rFonts w:ascii="Arial" w:cs="Arial" w:eastAsia="Arial" w:hAnsi="Arial"/>
          <w:sz w:val="16"/>
          <w:szCs w:val="16"/>
          <w:color w:val="auto"/>
        </w:rPr>
        <w:t>, are satisfied, in a form and substance reasonably satisfactory to the Company; and</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of the Ancillary Documents required to be signed by ACT, duly executed by ACT.</w:t>
      </w:r>
    </w:p>
    <w:p>
      <w:pPr>
        <w:spacing w:after="0" w:line="22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Frustration of Closing Conditions</w:t>
      </w:r>
      <w:r>
        <w:rPr>
          <w:rFonts w:ascii="Arial" w:cs="Arial" w:eastAsia="Arial" w:hAnsi="Arial"/>
          <w:sz w:val="18"/>
          <w:szCs w:val="18"/>
          <w:color w:val="auto"/>
        </w:rPr>
        <w:t>. The Company may not rely on the failure of any condition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satisfied if such failure was proximately caused by the Company’s breach of its obligations under this Agreement, including a breach of its obligations to use reasonable best efforts to cause the Closing to occur as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ACT may not rely on the failure of any condition set forth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to be satisfied if such failure was proximately caused by ACT’s breach of its obligations under this Agreement, including a breach of its obligations to use reasonable best efforts to cause the Closing to occur as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Closing:</w:t>
      </w:r>
    </w:p>
    <w:p>
      <w:pPr>
        <w:spacing w:after="0" w:line="166"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consent of ACT and the Company;</w:t>
      </w:r>
    </w:p>
    <w:p>
      <w:pPr>
        <w:spacing w:after="0" w:line="225" w:lineRule="exact"/>
        <w:rPr>
          <w:rFonts w:ascii="Arial" w:cs="Arial" w:eastAsia="Arial" w:hAnsi="Arial"/>
          <w:sz w:val="18"/>
          <w:szCs w:val="18"/>
          <w:color w:val="auto"/>
        </w:rPr>
      </w:pPr>
    </w:p>
    <w:p>
      <w:pPr>
        <w:ind w:right="120" w:firstLine="987"/>
        <w:spacing w:after="0" w:line="254"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ACT, if any of the representations or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ACT,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ACT is not then in breach of this Agreement so as to prevent the condition to Closing set forth in either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ind w:right="60" w:firstLine="987"/>
        <w:spacing w:after="0" w:line="254"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the Company, if any of the representations or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not be true and correct or if ACT has failed to perform any covenant or agreement on the part of ACT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ACT by the Company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Company is not then in breach of this Agreement so as to prevent the condition to Closing set forth in either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ind w:right="280" w:firstLine="987"/>
        <w:spacing w:after="0" w:line="291" w:lineRule="auto"/>
        <w:tabs>
          <w:tab w:leader="none" w:pos="12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either ACT or the Company, if the transactions contemplated by this Agreement shall not have been consummated on or prior to 11:59 P.M. (pacific time) August 29, 2022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right to terminate this Agreement pursuant to this</w:t>
      </w: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shall not be available to ACT, if ACT’s breach of any of its covenants or obligations under this Agreement or any Ancillary Document to which it is a party, shall have proximately caused (either individually or when taken together) the failure to consummate the transaction contemplated by this Agreement on or before the Termination Date, and (ii) the right to terminate this Agreement pursuant to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shall not be available to the Company if the Company’s breach of any of its covenants or obligations under this Agreement or any Ancillary Documents to which it is a party, shall have proximately caused (either individually or when taken together) the failure to consummate the transaction contemplated by this Agreement on or before the Termination Date;</w:t>
      </w:r>
    </w:p>
    <w:p>
      <w:pPr>
        <w:spacing w:after="0" w:line="193"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either ACT or the Company, if any Governmental Entity of competent jurisdiction shall have issued an Order permanently restraining, enjoining or otherwise prohibiting the consummation of the transactions contemplated by this Agreement and such Order shall have become final and nonappealable, or if there shall be adopted any Law or regulation that permanently makes the consummation of the transactions contemplated by this Agreement illegal or otherwise prohibited; or</w:t>
      </w:r>
    </w:p>
    <w:p>
      <w:pPr>
        <w:spacing w:after="0" w:line="186" w:lineRule="exact"/>
        <w:rPr>
          <w:rFonts w:ascii="Arial" w:cs="Arial" w:eastAsia="Arial" w:hAnsi="Arial"/>
          <w:sz w:val="18"/>
          <w:szCs w:val="18"/>
          <w:color w:val="auto"/>
        </w:rPr>
      </w:pPr>
    </w:p>
    <w:p>
      <w:pPr>
        <w:ind w:right="280" w:firstLine="987"/>
        <w:spacing w:after="0" w:line="277" w:lineRule="auto"/>
        <w:tabs>
          <w:tab w:leader="none" w:pos="12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either ACT or the Company, if the ACT Shareholders Meeting has been held (including following any adjournment thereof), has concluded, ACT’s shareholders have duly voted and the Required ACT Shareholder Approval was not obtained.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0" w:right="479" w:bottom="1440" w:gutter="0" w:footer="0" w:header="0"/>
        </w:sectPr>
      </w:pPr>
    </w:p>
    <w:bookmarkStart w:id="106" w:name="page107"/>
    <w:bookmarkEnd w:id="10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Except for a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7.1(a)</w:t>
      </w:r>
      <w:r>
        <w:rPr>
          <w:rFonts w:ascii="Arial" w:cs="Arial" w:eastAsia="Arial" w:hAnsi="Arial"/>
          <w:sz w:val="16"/>
          <w:szCs w:val="16"/>
          <w:color w:val="auto"/>
        </w:rPr>
        <w:t>, any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will be effective (subject to the cure periods (if any) provided above) immediately upon the delivery of a valid written notice of the terminating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of the other Parties hereto. In the event of the termination of this Agreement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(a) this entire Agreement shall forthwith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become void (and there shall be no Liability or obligation on the part of the Parties and their respective Representatives) with the exception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with respect to </w:t>
      </w:r>
      <w:r>
        <w:rPr>
          <w:rFonts w:ascii="Arial" w:cs="Arial" w:eastAsia="Arial" w:hAnsi="Arial"/>
          <w:sz w:val="16"/>
          <w:szCs w:val="16"/>
          <w:u w:val="single" w:color="auto"/>
          <w:color w:val="auto"/>
        </w:rPr>
        <w:t>Article 1</w:t>
      </w:r>
      <w:r>
        <w:rPr>
          <w:rFonts w:ascii="Arial" w:cs="Arial" w:eastAsia="Arial" w:hAnsi="Arial"/>
          <w:sz w:val="16"/>
          <w:szCs w:val="16"/>
          <w:color w:val="auto"/>
        </w:rPr>
        <w:t>, related to the foregoing), each of which shall survive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remain valid and binding obligations of the Parties and (b) the Confidentiality Agreement, which shall survive such termination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 valid and binding obligations of the parties thereto in accordance with their respective terms. Notwithstanding the foregoing or anything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contrary herein, the termination of this Agreement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not affect (i) any Liability on the part of any Party for any Willful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Breach of any covenant or agreement set forth in this Agreement prior to such termination or Fraud or (ii) any Person’s Liability under any PIPE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Subscription Agreement, the Confidentiality Agreement or the Sponsor Letter Agreement to which he, she or it is a party to the extent arising from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against such Person by another Person party to such agreement on the terms and subject to the conditions thereunder.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contemplates or requires performance at or prior to the Closing) in this Agreement shall terminate at the Closing. Each covenant and agreement contained herein that, by its terms, expressly contemplates performance after the Closing shall so survive the Closing in accordance with its terms.</w:t>
      </w:r>
    </w:p>
    <w:p>
      <w:pPr>
        <w:spacing w:after="0" w:line="180"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Entire Agreement; Assignment</w:t>
      </w:r>
      <w:r>
        <w:rPr>
          <w:rFonts w:ascii="Arial" w:cs="Arial" w:eastAsia="Arial" w:hAnsi="Arial"/>
          <w:sz w:val="17"/>
          <w:szCs w:val="17"/>
          <w:color w:val="auto"/>
        </w:rPr>
        <w:t>. This Agreement (together with the Ancillary Documents) constitutes the entire agreement among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ACT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any such assignment following the Closing relates to the ACT Sponsor Specified Provisions, the assigning Party shall continue to be bound by its obligations under such provisions. Any attempted assignment of this Agreement not in accordance with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void.</w:t>
      </w:r>
    </w:p>
    <w:p>
      <w:pPr>
        <w:spacing w:after="0" w:line="173"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agreement executed and delivered by ACT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amendment or modification following the Closing with respect to the ACT Sponsor Specified Provisions shall also require the written consent of the ACT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07" w:name="page108"/>
    <w:bookmarkEnd w:id="107"/>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to ACT,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christine.miller@arclightclean.com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Doug Bacon, P.C.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douglas.bacon@kirkland.com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jennifer.gasser@kirkland.com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If to the Company,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John H. Coghlin,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jcoghlin@opalfuels.com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New York 10112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00"/>
          </w:cols>
          <w:pgMar w:left="440" w:top="270" w:right="559" w:bottom="1440" w:gutter="0" w:footer="0" w:header="0"/>
        </w:sectPr>
      </w:pPr>
    </w:p>
    <w:bookmarkStart w:id="108" w:name="page109"/>
    <w:bookmarkEnd w:id="108"/>
    <w:p>
      <w:pPr>
        <w:ind w:left="18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Attn.: Andrew M. Felner</w:t>
      </w:r>
    </w:p>
    <w:p>
      <w:pPr>
        <w:spacing w:after="0" w:line="23"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6520"/>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650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166"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b w:val="1"/>
          <w:bCs w:val="1"/>
          <w:color w:val="auto"/>
        </w:rPr>
        <w:t xml:space="preserve">Section 8.5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consummation of the transactions contemplated by this Agreement, and any action, suit,</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controversy or claim arising out of this Agreement and the consummation of the transactions contemplated by this Agreement, or the validity, interpretation, breach or termination of this Agreement and the consummation of the transactions contemplated by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73"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Section 8.6 </w:t>
      </w:r>
      <w:r>
        <w:rPr>
          <w:rFonts w:ascii="Arial" w:cs="Arial" w:eastAsia="Arial" w:hAnsi="Arial"/>
          <w:sz w:val="17"/>
          <w:szCs w:val="17"/>
          <w:b w:val="1"/>
          <w:bCs w:val="1"/>
          <w:u w:val="single" w:color="auto"/>
          <w:color w:val="auto"/>
        </w:rPr>
        <w:t>Fees and Expenses</w:t>
      </w:r>
      <w:r>
        <w:rPr>
          <w:rFonts w:ascii="Arial" w:cs="Arial" w:eastAsia="Arial" w:hAnsi="Arial"/>
          <w:sz w:val="17"/>
          <w:szCs w:val="17"/>
          <w:color w:val="auto"/>
        </w:rPr>
        <w:t>. Except as otherwise set forth in this Agreement, all fees and expenses incurred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this Agreement is terminated in accordance with </w:t>
      </w:r>
      <w:r>
        <w:rPr>
          <w:rFonts w:ascii="Arial" w:cs="Arial" w:eastAsia="Arial" w:hAnsi="Arial"/>
          <w:sz w:val="17"/>
          <w:szCs w:val="17"/>
          <w:u w:val="single" w:color="auto"/>
          <w:color w:val="auto"/>
        </w:rPr>
        <w:t>its terms,</w:t>
      </w:r>
      <w:r>
        <w:rPr>
          <w:rFonts w:ascii="Arial" w:cs="Arial" w:eastAsia="Arial" w:hAnsi="Arial"/>
          <w:sz w:val="17"/>
          <w:szCs w:val="17"/>
          <w:color w:val="auto"/>
        </w:rPr>
        <w:t xml:space="preserve"> the Company shall pay, or cause to be paid, all Unpaid Company Expenses and ACT shall pay, or cause to be paid, all Unpaid ACT Expenses and all Unpaid ACT Liabilities and (b) if the Closing occurs, then, subject to </w:t>
      </w:r>
      <w:r>
        <w:rPr>
          <w:rFonts w:ascii="Arial" w:cs="Arial" w:eastAsia="Arial" w:hAnsi="Arial"/>
          <w:sz w:val="17"/>
          <w:szCs w:val="17"/>
          <w:u w:val="single" w:color="auto"/>
          <w:color w:val="auto"/>
        </w:rPr>
        <w:t>the Sponsor Letter Agreement,</w:t>
      </w:r>
      <w:r>
        <w:rPr>
          <w:rFonts w:ascii="Arial" w:cs="Arial" w:eastAsia="Arial" w:hAnsi="Arial"/>
          <w:sz w:val="17"/>
          <w:szCs w:val="17"/>
          <w:color w:val="auto"/>
        </w:rPr>
        <w:t xml:space="preserve"> ACT shall pay, or cause to be paid, all Unpaid Company Expenses, all Unpaid ACT Expenses and all Unpaid 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-452120</wp:posOffset>
            </wp:positionV>
            <wp:extent cx="8915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53"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color w:val="auto"/>
        </w:rPr>
        <w:t>. The term “this Agreement” means this Business Combination Agreement together with the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Annexes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w:t>
      </w:r>
    </w:p>
    <w:p>
      <w:pPr>
        <w:spacing w:after="0" w:line="1" w:lineRule="exact"/>
        <w:rPr>
          <w:sz w:val="20"/>
          <w:szCs w:val="20"/>
          <w:color w:val="auto"/>
        </w:rPr>
      </w:pPr>
    </w:p>
    <w:p>
      <w:pPr>
        <w:ind w:left="4" w:right="100" w:hanging="4"/>
        <w:spacing w:after="0" w:line="260"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words “writing,” “written” and comparable terms refer to printing, typing and other means of reproducing words (including electronic media) in a visible form; (h) the word “day” means calendar day unless Business Day is expressly</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109" w:name="page110"/>
    <w:bookmarkEnd w:id="109"/>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(i) the word “extent” in the phrase “to the extent” means the degree to which a subject or other thing extends, and such phrase shall not mean simply “if”; (j) all references to Articles, Sections, Exhibits, Annexes or Schedules are to Articles, Sections, Exhibits, Annexes and Schedules of this Agreement; (k) the words “made available” (regardless of whether capitalized or not) shall mean, when used with reference to documents or other materials required to be provided or made available to ACT, any documents or other materials posted to the electronic data room located at intralinks.com under the project name “Project Takeoff” as of 5:00 p.m., Eastern Standard Time, at least one (1) day prior to the date of this Agreement;</w:t>
      </w:r>
    </w:p>
    <w:p>
      <w:pPr>
        <w:spacing w:after="0" w:line="2" w:lineRule="exact"/>
        <w:rPr>
          <w:sz w:val="20"/>
          <w:szCs w:val="20"/>
          <w:color w:val="auto"/>
        </w:rPr>
      </w:pPr>
    </w:p>
    <w:p>
      <w:pPr>
        <w:ind w:left="4" w:hanging="4"/>
        <w:spacing w:after="0" w:line="295" w:lineRule="auto"/>
        <w:tabs>
          <w:tab w:leader="none" w:pos="21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57"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color w:val="auto"/>
        </w:rPr>
        <w:t>. 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ACT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ACT Disclosure Schedules), respectively,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ACT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77"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color w:val="auto"/>
        </w:rPr>
        <w:t>. 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ACT Sponsor shall be an express third-party beneficiary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ACT Sponsor Specified Provisions</w:t>
      </w:r>
      <w:r>
        <w:rPr>
          <w:rFonts w:ascii="Arial" w:cs="Arial" w:eastAsia="Arial" w:hAnsi="Arial"/>
          <w:sz w:val="18"/>
          <w:szCs w:val="18"/>
          <w:color w:val="auto"/>
        </w:rPr>
        <w:t>”).</w:t>
      </w:r>
    </w:p>
    <w:p>
      <w:pPr>
        <w:spacing w:after="0" w:line="183"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4"/>
          </w:cols>
          <w:pgMar w:left="436" w:top="274" w:right="439" w:bottom="1440" w:gutter="0" w:footer="0" w:header="0"/>
        </w:sectPr>
      </w:pPr>
    </w:p>
    <w:bookmarkStart w:id="110" w:name="page111"/>
    <w:bookmarkEnd w:id="110"/>
    <w:p>
      <w:pPr>
        <w:ind w:left="4" w:right="24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8.11 </w:t>
      </w: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and each Ancillary Document (including any of the closing deliverables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ACT</w:t>
      </w:r>
      <w:r>
        <w:rPr>
          <w:rFonts w:ascii="Arial" w:cs="Arial" w:eastAsia="Arial" w:hAnsi="Arial"/>
          <w:sz w:val="16"/>
          <w:szCs w:val="16"/>
          <w:color w:val="auto"/>
        </w:rPr>
        <w:t>. For all purposes of this Agreement, the phrase “to the Company’s knowledge” and</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“known by the Company” and any derivations thereof shall mean as of the applicable date, the actual knowledge of the individuals set forth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assuming reasonable due inquiry and investigation of his or her direct reports. For all purposes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Agreement, the phrase “to ACT’s knowledge” and “to the knowledge of ACT” and any derivations thereof shall mean as of the applicable date,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ACT Disclosure Schedules, assuming reasonable due inquiry and investigation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his or her direct reports. </w:t>
      </w:r>
      <w:r>
        <w:rPr>
          <w:rFonts w:ascii="Arial" w:cs="Arial" w:eastAsia="Arial" w:hAnsi="Arial"/>
          <w:sz w:val="17"/>
          <w:szCs w:val="17"/>
          <w:u w:val="single" w:color="auto"/>
          <w:color w:val="auto"/>
        </w:rPr>
        <w:t>For the avoidance of doubt</w:t>
      </w:r>
      <w:r>
        <w:rPr>
          <w:rFonts w:ascii="Arial" w:cs="Arial" w:eastAsia="Arial" w:hAnsi="Arial"/>
          <w:sz w:val="17"/>
          <w:szCs w:val="17"/>
          <w:color w:val="auto"/>
        </w:rPr>
        <w:t xml:space="preserve">, none of the individuals set forth on </w:t>
      </w:r>
      <w:r>
        <w:rPr>
          <w:rFonts w:ascii="Arial" w:cs="Arial" w:eastAsia="Arial" w:hAnsi="Arial"/>
          <w:sz w:val="17"/>
          <w:szCs w:val="17"/>
          <w:u w:val="single" w:color="auto"/>
          <w:color w:val="auto"/>
        </w:rPr>
        <w:t>Section 8.12(a)</w:t>
      </w:r>
      <w:r>
        <w:rPr>
          <w:rFonts w:ascii="Arial" w:cs="Arial" w:eastAsia="Arial" w:hAnsi="Arial"/>
          <w:sz w:val="17"/>
          <w:szCs w:val="17"/>
          <w:color w:val="auto"/>
        </w:rPr>
        <w:t xml:space="preserve"> of the Company Disclosure Schedules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8.12(b)</w:t>
      </w:r>
      <w:r>
        <w:rPr>
          <w:rFonts w:ascii="Arial" w:cs="Arial" w:eastAsia="Arial" w:hAnsi="Arial"/>
          <w:sz w:val="18"/>
          <w:szCs w:val="18"/>
          <w:color w:val="auto"/>
        </w:rPr>
        <w:t xml:space="preserve"> of the ACT Disclosure Schedules shall have any personal Liability or obligations regarding such knowledge.</w:t>
      </w:r>
    </w:p>
    <w:p>
      <w:pPr>
        <w:spacing w:after="0" w:line="20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b w:val="1"/>
          <w:bCs w:val="1"/>
          <w:u w:val="single" w:color="auto"/>
          <w:color w:val="auto"/>
        </w:rPr>
        <w:t>No Recourse</w:t>
      </w:r>
      <w:r>
        <w:rPr>
          <w:rFonts w:ascii="Arial" w:cs="Arial" w:eastAsia="Arial" w:hAnsi="Arial"/>
          <w:sz w:val="16"/>
          <w:szCs w:val="16"/>
          <w:color w:val="auto"/>
        </w:rPr>
        <w:t>. Without limiting any right of any party against any other party to an Ancillary Document to the extent on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w:t>
      </w:r>
    </w:p>
    <w:p>
      <w:pPr>
        <w:spacing w:after="0" w:line="1" w:lineRule="exact"/>
        <w:rPr>
          <w:sz w:val="20"/>
          <w:szCs w:val="20"/>
          <w:color w:val="auto"/>
        </w:rPr>
      </w:pPr>
    </w:p>
    <w:p>
      <w:pPr>
        <w:ind w:left="4" w:right="120" w:hanging="4"/>
        <w:spacing w:after="0" w:line="271" w:lineRule="auto"/>
        <w:tabs>
          <w:tab w:leader="none" w:pos="25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ACT or Opal HoldCo under this Agreement of or for any claim based on, arising out of, or related to this Agreement or the transactions contemplated hereby. For purposes of this </w:t>
      </w:r>
      <w:r>
        <w:rPr>
          <w:rFonts w:ascii="Arial" w:cs="Arial" w:eastAsia="Arial" w:hAnsi="Arial"/>
          <w:sz w:val="17"/>
          <w:szCs w:val="17"/>
          <w:u w:val="single" w:color="auto"/>
          <w:color w:val="auto"/>
        </w:rPr>
        <w:t>Section 8.13</w:t>
      </w:r>
      <w:r>
        <w:rPr>
          <w:rFonts w:ascii="Arial" w:cs="Arial" w:eastAsia="Arial" w:hAnsi="Arial"/>
          <w:sz w:val="17"/>
          <w:szCs w:val="17"/>
          <w:color w:val="auto"/>
        </w:rPr>
        <w:t>, ArcLight Capital Partners, LLC and its Affiliates shall be deemed “Affiliates” of ACT.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0" w:right="459" w:bottom="1440" w:gutter="0" w:footer="0" w:header="0"/>
        </w:sectPr>
      </w:pPr>
    </w:p>
    <w:bookmarkStart w:id="111" w:name="page112"/>
    <w:bookmarkEnd w:id="111"/>
    <w:p>
      <w:pPr>
        <w:ind w:right="20"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8.14 </w:t>
      </w:r>
      <w:r>
        <w:rPr>
          <w:rFonts w:ascii="Arial" w:cs="Arial" w:eastAsia="Arial" w:hAnsi="Arial"/>
          <w:sz w:val="17"/>
          <w:szCs w:val="17"/>
          <w:b w:val="1"/>
          <w:bCs w:val="1"/>
          <w:u w:val="single" w:color="auto"/>
          <w:color w:val="auto"/>
        </w:rPr>
        <w:t>Extension; Waiver</w:t>
      </w:r>
      <w:r>
        <w:rPr>
          <w:rFonts w:ascii="Arial" w:cs="Arial" w:eastAsia="Arial" w:hAnsi="Arial"/>
          <w:sz w:val="17"/>
          <w:szCs w:val="17"/>
          <w:color w:val="auto"/>
        </w:rPr>
        <w:t>. The Company may (a) extend the time for the performance of any of the obligations or other acts of ACT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herein, (b) waive any inaccuracies in the representations and warranties of ACT set forth herein or (c) waive compliance by ACT with any of the agreements or conditions set forth herein. ACT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ACT Sponsor Specified Provisions shall also require the written consent of the ACT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7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OF THE PARTIES HEREBY IRREVOCABLY AND UNCONDITIONALLY WAIVES,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FULLEST EXTENT PERMITTED BY LAW, ANY RIGHT IT MAY HAVE TO A TRIAL BY JURY WITH RESPECT TO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u w:val="single" w:color="auto"/>
          <w:color w:val="auto"/>
        </w:rPr>
        <w:t>SECTION 8.15</w:t>
      </w:r>
      <w:r>
        <w:rPr>
          <w:rFonts w:ascii="Arial" w:cs="Arial" w:eastAsia="Arial" w:hAnsi="Arial"/>
          <w:sz w:val="17"/>
          <w:szCs w:val="17"/>
          <w:color w:val="auto"/>
        </w:rPr>
        <w:t>.</w:t>
      </w:r>
    </w:p>
    <w:p>
      <w:pPr>
        <w:spacing w:after="0" w:line="180"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b w:val="1"/>
          <w:bCs w:val="1"/>
          <w:u w:val="single" w:color="auto"/>
          <w:color w:val="auto"/>
        </w:rPr>
        <w:t>Submission to Jurisdiction</w:t>
      </w:r>
      <w:r>
        <w:rPr>
          <w:rFonts w:ascii="Arial" w:cs="Arial" w:eastAsia="Arial" w:hAnsi="Arial"/>
          <w:sz w:val="18"/>
          <w:szCs w:val="18"/>
          <w:color w:val="auto"/>
        </w:rPr>
        <w:t>. Each of the Parties irrevocably and unconditionally submits to the exclusive jurisdiction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Chancery Court of the State of Delaware and any state appellate court therefrom within the State of Delaware (or, if the Chancery Court of the State of Delaware declines to accept jurisdiction, the Superior Court of the State of Delaware, or the United States District Court for the District of Delaware and, in each case,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appellate court(s) therefrom),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(1) the Proceeding, claim, demand, action or cause of action in any such court is brought against such Party in an inconvenient forum, (2) the venue of such Proceeding, claim, demand, action or cause of action against such Party is improper or (3)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shall be effective service of process for any such Proceeding, claim, demand, action or cause of action.</w:t>
      </w:r>
    </w:p>
    <w:p>
      <w:pPr>
        <w:spacing w:after="0" w:line="1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8.17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Except as otherwise expressly provided herein, any and all remedies provided herein will be deemed cumulative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its specific terms or otherwise breach such provisions. It is accordingly acknowledged and agreed that the Parties shall be entitled to an injunction or injunctions, specific performance and/or other equitable relief to prevent breaches of this Agreement and to enforce specifically the terms and provisions of this Agreement, in each case, without being required to provide or post any bond or other security or undertaking and without proof of damages or inadequacy of any remedy at Law, and this being in addition to any other remedy to which they are entitled under this Agreement or at law or in equity. Each of the Parties agrees that it will not oppose the granting of an injunction, specific performance and/or other equitable relief on the basis that the other Parties have an adequate remedy at Law or that an award of specific performance is not an appropriate remedy for any reason at law or equity.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8.18 </w:t>
      </w:r>
      <w:r>
        <w:rPr>
          <w:rFonts w:ascii="Arial" w:cs="Arial" w:eastAsia="Arial" w:hAnsi="Arial"/>
          <w:sz w:val="18"/>
          <w:szCs w:val="18"/>
          <w:b w:val="1"/>
          <w:bCs w:val="1"/>
          <w:u w:val="single" w:color="auto"/>
          <w:color w:val="auto"/>
        </w:rPr>
        <w:t>Trust Account Waiver</w:t>
      </w:r>
      <w:r>
        <w:rPr>
          <w:rFonts w:ascii="Arial" w:cs="Arial" w:eastAsia="Arial" w:hAnsi="Arial"/>
          <w:sz w:val="18"/>
          <w:szCs w:val="18"/>
          <w:color w:val="auto"/>
        </w:rPr>
        <w:t>.</w:t>
      </w:r>
    </w:p>
    <w:p>
      <w:pPr>
        <w:spacing w:after="0" w:line="121" w:lineRule="exact"/>
        <w:rPr>
          <w:sz w:val="20"/>
          <w:szCs w:val="20"/>
          <w:color w:val="auto"/>
        </w:rPr>
      </w:pPr>
    </w:p>
    <w:p>
      <w:pPr>
        <w:ind w:left="-440" w:firstLine="987"/>
        <w:spacing w:after="0" w:line="284" w:lineRule="auto"/>
        <w:tabs>
          <w:tab w:leader="none" w:pos="79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Reference is made to the final prospectus of ACT, filed with the SEC (File No. 333-252730, on March 24, 2021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“Trust Account” means the trust account established by ACT with the proceeds from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concurrent private placement pursuant to the Trust Agreement in accordance with the Prospectus. The Company acknowledges and agrees and understands that ACT has established the Trust Account containing the proceeds of its IPO and the overallotment shares acquired by ACT’s underwriters in connection therewith and from certain private placements occurring simultaneously with the IPO (including interest accrued from time to time thereon) for the benefit of ACT’s public shareholders (including overallotment shares acquired by ACT’s underwriters, the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and ACT may disburse monies from the Trust Account only in the express circumstances described in the Prospectus. For and in consideration of ACT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Arial" w:cs="Arial" w:eastAsia="Arial" w:hAnsi="Arial"/>
          <w:sz w:val="16"/>
          <w:szCs w:val="16"/>
          <w:u w:val="single" w:color="auto"/>
          <w:color w:val="auto"/>
        </w:rPr>
        <w:t>Section 8.18(b)</w:t>
      </w:r>
      <w:r>
        <w:rPr>
          <w:rFonts w:ascii="Arial" w:cs="Arial" w:eastAsia="Arial" w:hAnsi="Arial"/>
          <w:sz w:val="16"/>
          <w:szCs w:val="16"/>
          <w:color w:val="auto"/>
        </w:rPr>
        <w:t>), none of the Company or any of its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ACT or any of its Representatives, on the one hand, and the Company or any of its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Trust Account Released Claims</w:t>
      </w:r>
      <w:r>
        <w:rPr>
          <w:rFonts w:ascii="Arial" w:cs="Arial" w:eastAsia="Arial" w:hAnsi="Arial"/>
          <w:sz w:val="16"/>
          <w:szCs w:val="16"/>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ACT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ACT or its Affiliates).</w:t>
      </w:r>
    </w:p>
    <w:p>
      <w:pPr>
        <w:spacing w:after="0" w:line="397" w:lineRule="exact"/>
        <w:rPr>
          <w:rFonts w:ascii="Arial" w:cs="Arial" w:eastAsia="Arial" w:hAnsi="Arial"/>
          <w:sz w:val="16"/>
          <w:szCs w:val="16"/>
          <w:color w:val="auto"/>
        </w:rPr>
      </w:pPr>
    </w:p>
    <w:p>
      <w:pPr>
        <w:ind w:left="-440" w:firstLine="987"/>
        <w:spacing w:after="0" w:line="289" w:lineRule="auto"/>
        <w:tabs>
          <w:tab w:leader="none" w:pos="8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8.18(a)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8.18(a)</w:t>
      </w:r>
      <w:r>
        <w:rPr>
          <w:rFonts w:ascii="Arial" w:cs="Arial" w:eastAsia="Arial" w:hAnsi="Arial"/>
          <w:sz w:val="16"/>
          <w:szCs w:val="16"/>
          <w:color w:val="auto"/>
        </w:rPr>
        <w:t xml:space="preserve"> shall not serve to limit or prohibit (and the Trust Account Released Claims shall not include) the Company’s right to pursue a claim against (i) ACT under, and on the terms and subject to the conditions in, this Agreement or under, and on the terms and subject to the conditions in, any Ancillary Document to which it and ACT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ACT to specifically perform its obligations under this Agreement pursuant to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If the terms of the Confidentiality Agreement or any Ancillary Document conflicts with the terms of this </w:t>
      </w:r>
      <w:r>
        <w:rPr>
          <w:rFonts w:ascii="Arial" w:cs="Arial" w:eastAsia="Arial" w:hAnsi="Arial"/>
          <w:sz w:val="16"/>
          <w:szCs w:val="16"/>
          <w:u w:val="single" w:color="auto"/>
          <w:color w:val="auto"/>
        </w:rPr>
        <w:t>Section 8.18(b)</w:t>
      </w:r>
      <w:r>
        <w:rPr>
          <w:rFonts w:ascii="Arial" w:cs="Arial" w:eastAsia="Arial" w:hAnsi="Arial"/>
          <w:sz w:val="16"/>
          <w:szCs w:val="16"/>
          <w:color w:val="auto"/>
        </w:rPr>
        <w:t xml:space="preserve">, the terms of this </w:t>
      </w:r>
      <w:r>
        <w:rPr>
          <w:rFonts w:ascii="Arial" w:cs="Arial" w:eastAsia="Arial" w:hAnsi="Arial"/>
          <w:sz w:val="16"/>
          <w:szCs w:val="16"/>
          <w:u w:val="single" w:color="auto"/>
          <w:color w:val="auto"/>
        </w:rPr>
        <w:t>Section 8.18(b)</w:t>
      </w:r>
      <w:r>
        <w:rPr>
          <w:rFonts w:ascii="Arial" w:cs="Arial" w:eastAsia="Arial" w:hAnsi="Arial"/>
          <w:sz w:val="16"/>
          <w:szCs w:val="16"/>
          <w:color w:val="auto"/>
        </w:rPr>
        <w:t xml:space="preserve"> shall govern and control to the extent of such conflict. The Parties acknowledge and agree that this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supersedes and replaces Section 7(h) of the Confidentiality Agreement in its entirety and Section 7(h) of the Confidentiality Agreement will no longer be of any force or effect.</w:t>
      </w:r>
    </w:p>
    <w:p>
      <w:pPr>
        <w:spacing w:after="0" w:line="166"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157" w:lineRule="exact"/>
        <w:rPr>
          <w:rFonts w:ascii="Arial" w:cs="Arial" w:eastAsia="Arial" w:hAnsi="Arial"/>
          <w:sz w:val="16"/>
          <w:szCs w:val="16"/>
          <w:color w:val="auto"/>
        </w:rPr>
      </w:pPr>
    </w:p>
    <w:p>
      <w:pPr>
        <w:ind w:left="4860"/>
        <w:spacing w:after="0"/>
        <w:rPr>
          <w:rFonts w:ascii="Arial" w:cs="Arial" w:eastAsia="Arial" w:hAnsi="Arial"/>
          <w:sz w:val="16"/>
          <w:szCs w:val="16"/>
          <w:color w:val="auto"/>
        </w:rPr>
      </w:pPr>
      <w:r>
        <w:rPr>
          <w:rFonts w:ascii="Arial" w:cs="Arial" w:eastAsia="Arial" w:hAnsi="Arial"/>
          <w:sz w:val="18"/>
          <w:szCs w:val="18"/>
          <w:color w:val="auto"/>
        </w:rPr>
        <w:t>-100-</w:t>
      </w:r>
    </w:p>
    <w:p>
      <w:pPr>
        <w:sectPr>
          <w:pgSz w:w="11900" w:h="16838" w:orient="portrait"/>
          <w:cols w:equalWidth="0" w:num="1">
            <w:col w:w="10540"/>
          </w:cols>
          <w:pgMar w:left="880" w:top="270" w:right="479" w:bottom="1440" w:gutter="0" w:footer="0" w:header="0"/>
        </w:sectPr>
      </w:pPr>
    </w:p>
    <w:bookmarkStart w:id="114" w:name="page115"/>
    <w:bookmarkEnd w:id="11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each of the Parties has caused this Business Combination Agreement to be duly executed on its behalf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HOLDCO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Mark Comora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Adam Comora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Co-CEO</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Business Combination Agreement]</w:t>
      </w:r>
    </w:p>
    <w:p>
      <w:pPr>
        <w:sectPr>
          <w:pgSz w:w="11900" w:h="16838" w:orient="portrait"/>
          <w:cols w:equalWidth="0" w:num="1">
            <w:col w:w="10880"/>
          </w:cols>
          <w:pgMar w:left="440" w:top="270" w:right="5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PIPE Investors</w:t>
      </w:r>
    </w:p>
    <w:p>
      <w:pPr>
        <w:sectPr>
          <w:pgSz w:w="11900" w:h="16838" w:orient="portrait"/>
          <w:cols w:equalWidth="0" w:num="1">
            <w:col w:w="9019"/>
          </w:cols>
          <w:pgMar w:left="1440" w:top="270"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PIPE Investors</w:t>
      </w:r>
    </w:p>
    <w:p>
      <w:pPr>
        <w:sectPr>
          <w:pgSz w:w="11900" w:h="16838" w:orient="portrait"/>
          <w:cols w:equalWidth="0" w:num="1">
            <w:col w:w="9019"/>
          </w:cols>
          <w:pgMar w:left="1440" w:top="270"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OPAL FUELS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PERSONS NAMED HEREIN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2022</w:t>
      </w:r>
    </w:p>
    <w:p>
      <w:pPr>
        <w:sectPr>
          <w:pgSz w:w="11900" w:h="16838" w:orient="portrait"/>
          <w:cols w:equalWidth="0" w:num="1">
            <w:col w:w="10020"/>
          </w:cols>
          <w:pgMar w:left="1440" w:top="270" w:right="4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0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1.1</w:t>
            </w:r>
          </w:p>
        </w:tc>
        <w:tc>
          <w:tcPr>
            <w:tcW w:w="78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2.1</w:t>
            </w:r>
          </w:p>
        </w:tc>
        <w:tc>
          <w:tcPr>
            <w:tcW w:w="7840" w:type="dxa"/>
            <w:vAlign w:val="bottom"/>
          </w:tcPr>
          <w:p>
            <w:pPr>
              <w:ind w:left="40"/>
              <w:spacing w:after="0"/>
              <w:rPr>
                <w:sz w:val="20"/>
                <w:szCs w:val="20"/>
                <w:color w:val="auto"/>
              </w:rPr>
            </w:pPr>
            <w:r>
              <w:rPr>
                <w:rFonts w:ascii="Arial" w:cs="Arial" w:eastAsia="Arial" w:hAnsi="Arial"/>
                <w:sz w:val="18"/>
                <w:szCs w:val="18"/>
                <w:color w:val="auto"/>
              </w:rPr>
              <w:t>Basis Adjustment</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2.2 Tax Benefit Schedule</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2.3</w:t>
            </w:r>
          </w:p>
        </w:tc>
        <w:tc>
          <w:tcPr>
            <w:tcW w:w="7840" w:type="dxa"/>
            <w:vAlign w:val="bottom"/>
          </w:tcPr>
          <w:p>
            <w:pPr>
              <w:ind w:left="40"/>
              <w:spacing w:after="0"/>
              <w:rPr>
                <w:sz w:val="20"/>
                <w:szCs w:val="20"/>
                <w:color w:val="auto"/>
              </w:rPr>
            </w:pPr>
            <w:r>
              <w:rPr>
                <w:rFonts w:ascii="Arial" w:cs="Arial" w:eastAsia="Arial" w:hAnsi="Arial"/>
                <w:sz w:val="18"/>
                <w:szCs w:val="18"/>
                <w:color w:val="auto"/>
              </w:rPr>
              <w:t>Procedures, Amendments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III TAX BENEFIT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3.1</w:t>
            </w:r>
          </w:p>
        </w:tc>
        <w:tc>
          <w:tcPr>
            <w:tcW w:w="7840" w:type="dxa"/>
            <w:vAlign w:val="bottom"/>
          </w:tcPr>
          <w:p>
            <w:pPr>
              <w:ind w:left="40"/>
              <w:spacing w:after="0"/>
              <w:rPr>
                <w:sz w:val="20"/>
                <w:szCs w:val="20"/>
                <w:color w:val="auto"/>
              </w:rPr>
            </w:pPr>
            <w:r>
              <w:rPr>
                <w:rFonts w:ascii="Arial" w:cs="Arial" w:eastAsia="Arial" w:hAnsi="Arial"/>
                <w:sz w:val="18"/>
                <w:szCs w:val="18"/>
                <w:color w:val="auto"/>
              </w:rPr>
              <w:t>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3.2 No Duplicative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3.3 Pro Rata Payments; Coordination of Benefits With Other Tax Receivable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3.4</w:t>
            </w:r>
          </w:p>
        </w:tc>
        <w:tc>
          <w:tcPr>
            <w:tcW w:w="7840" w:type="dxa"/>
            <w:vAlign w:val="bottom"/>
          </w:tcPr>
          <w:p>
            <w:pPr>
              <w:ind w:left="40"/>
              <w:spacing w:after="0"/>
              <w:rPr>
                <w:sz w:val="20"/>
                <w:szCs w:val="20"/>
                <w:color w:val="auto"/>
              </w:rPr>
            </w:pPr>
            <w:r>
              <w:rPr>
                <w:rFonts w:ascii="Arial" w:cs="Arial" w:eastAsia="Arial" w:hAnsi="Arial"/>
                <w:sz w:val="18"/>
                <w:szCs w:val="18"/>
                <w:color w:val="auto"/>
              </w:rPr>
              <w:t>Sufficient Funds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3.5</w:t>
            </w:r>
          </w:p>
        </w:tc>
        <w:tc>
          <w:tcPr>
            <w:tcW w:w="7840" w:type="dxa"/>
            <w:vAlign w:val="bottom"/>
          </w:tcPr>
          <w:p>
            <w:pPr>
              <w:ind w:left="40"/>
              <w:spacing w:after="0"/>
              <w:rPr>
                <w:sz w:val="20"/>
                <w:szCs w:val="20"/>
                <w:color w:val="auto"/>
              </w:rPr>
            </w:pPr>
            <w:r>
              <w:rPr>
                <w:rFonts w:ascii="Arial" w:cs="Arial" w:eastAsia="Arial" w:hAnsi="Arial"/>
                <w:sz w:val="18"/>
                <w:szCs w:val="18"/>
                <w:color w:val="auto"/>
              </w:rPr>
              <w:t>Overpayments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3.6</w:t>
            </w:r>
          </w:p>
        </w:tc>
        <w:tc>
          <w:tcPr>
            <w:tcW w:w="7840" w:type="dxa"/>
            <w:vAlign w:val="bottom"/>
          </w:tcPr>
          <w:p>
            <w:pPr>
              <w:ind w:left="40"/>
              <w:spacing w:after="0"/>
              <w:rPr>
                <w:sz w:val="20"/>
                <w:szCs w:val="20"/>
                <w:color w:val="auto"/>
              </w:rPr>
            </w:pPr>
            <w:r>
              <w:rPr>
                <w:rFonts w:ascii="Arial" w:cs="Arial" w:eastAsia="Arial" w:hAnsi="Arial"/>
                <w:sz w:val="18"/>
                <w:szCs w:val="18"/>
                <w:color w:val="auto"/>
              </w:rPr>
              <w:t>Payment Schedule</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IV TERMINATION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4.1 Early Termination and Breach of Agreement</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4.2 Early Termination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4.3 Payment upon Early Termination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 SUBORDINATION AND LATE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5.1</w:t>
            </w:r>
          </w:p>
        </w:tc>
        <w:tc>
          <w:tcPr>
            <w:tcW w:w="7840" w:type="dxa"/>
            <w:vAlign w:val="bottom"/>
          </w:tcPr>
          <w:p>
            <w:pPr>
              <w:ind w:left="40"/>
              <w:spacing w:after="0"/>
              <w:rPr>
                <w:sz w:val="20"/>
                <w:szCs w:val="20"/>
                <w:color w:val="auto"/>
              </w:rPr>
            </w:pPr>
            <w:r>
              <w:rPr>
                <w:rFonts w:ascii="Arial" w:cs="Arial" w:eastAsia="Arial" w:hAnsi="Arial"/>
                <w:sz w:val="18"/>
                <w:szCs w:val="18"/>
                <w:color w:val="auto"/>
              </w:rPr>
              <w:t>Subordination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5.2 Late Payments by the Corporate Taxpayer</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 NO DISPUTES; CONSISTENCY; COOPERATION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6.1 Participation in the Corporate Taxpayer’s and OpCo’s Tax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6.2</w:t>
            </w:r>
          </w:p>
        </w:tc>
        <w:tc>
          <w:tcPr>
            <w:tcW w:w="7840" w:type="dxa"/>
            <w:vAlign w:val="bottom"/>
          </w:tcPr>
          <w:p>
            <w:pPr>
              <w:ind w:left="40"/>
              <w:spacing w:after="0"/>
              <w:rPr>
                <w:sz w:val="20"/>
                <w:szCs w:val="20"/>
                <w:color w:val="auto"/>
              </w:rPr>
            </w:pPr>
            <w:r>
              <w:rPr>
                <w:rFonts w:ascii="Arial" w:cs="Arial" w:eastAsia="Arial" w:hAnsi="Arial"/>
                <w:sz w:val="18"/>
                <w:szCs w:val="18"/>
                <w:color w:val="auto"/>
              </w:rPr>
              <w:t>Consistency</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6.3</w:t>
            </w:r>
          </w:p>
        </w:tc>
        <w:tc>
          <w:tcPr>
            <w:tcW w:w="7840" w:type="dxa"/>
            <w:vAlign w:val="bottom"/>
          </w:tcPr>
          <w:p>
            <w:pPr>
              <w:ind w:left="40"/>
              <w:spacing w:after="0"/>
              <w:rPr>
                <w:sz w:val="20"/>
                <w:szCs w:val="20"/>
                <w:color w:val="auto"/>
              </w:rPr>
            </w:pPr>
            <w:r>
              <w:rPr>
                <w:rFonts w:ascii="Arial" w:cs="Arial" w:eastAsia="Arial" w:hAnsi="Arial"/>
                <w:sz w:val="18"/>
                <w:szCs w:val="18"/>
                <w:color w:val="auto"/>
              </w:rPr>
              <w:t>Cooperation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7.1</w:t>
            </w:r>
          </w:p>
        </w:tc>
        <w:tc>
          <w:tcPr>
            <w:tcW w:w="7840" w:type="dxa"/>
            <w:vAlign w:val="bottom"/>
          </w:tcPr>
          <w:p>
            <w:pPr>
              <w:ind w:left="40"/>
              <w:spacing w:after="0"/>
              <w:rPr>
                <w:sz w:val="20"/>
                <w:szCs w:val="20"/>
                <w:color w:val="auto"/>
              </w:rPr>
            </w:pPr>
            <w:r>
              <w:rPr>
                <w:rFonts w:ascii="Arial" w:cs="Arial" w:eastAsia="Arial" w:hAnsi="Arial"/>
                <w:sz w:val="18"/>
                <w:szCs w:val="18"/>
                <w:color w:val="auto"/>
              </w:rPr>
              <w:t>Notices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7.2</w:t>
            </w:r>
          </w:p>
        </w:tc>
        <w:tc>
          <w:tcPr>
            <w:tcW w:w="78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7.3 Entire Agreement; Third Party Beneficiaries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7.4</w:t>
            </w:r>
          </w:p>
        </w:tc>
        <w:tc>
          <w:tcPr>
            <w:tcW w:w="784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7.5</w:t>
            </w:r>
          </w:p>
        </w:tc>
        <w:tc>
          <w:tcPr>
            <w:tcW w:w="78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1220" w:type="dxa"/>
            <w:vAlign w:val="bottom"/>
          </w:tcPr>
          <w:p>
            <w:pPr>
              <w:spacing w:after="0"/>
              <w:rPr>
                <w:sz w:val="24"/>
                <w:szCs w:val="24"/>
                <w:color w:val="auto"/>
              </w:rPr>
            </w:pPr>
          </w:p>
        </w:tc>
        <w:tc>
          <w:tcPr>
            <w:tcW w:w="7840" w:type="dxa"/>
            <w:vAlign w:val="bottom"/>
          </w:tcPr>
          <w:p>
            <w:pPr>
              <w:ind w:left="4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Section 7.6</w:t>
            </w:r>
          </w:p>
        </w:tc>
        <w:tc>
          <w:tcPr>
            <w:tcW w:w="8220" w:type="dxa"/>
            <w:vAlign w:val="bottom"/>
          </w:tcPr>
          <w:p>
            <w:pPr>
              <w:ind w:left="60"/>
              <w:spacing w:after="0"/>
              <w:rPr>
                <w:sz w:val="20"/>
                <w:szCs w:val="20"/>
                <w:color w:val="auto"/>
              </w:rPr>
            </w:pPr>
            <w:r>
              <w:rPr>
                <w:rFonts w:ascii="Arial" w:cs="Arial" w:eastAsia="Arial" w:hAnsi="Arial"/>
                <w:sz w:val="18"/>
                <w:szCs w:val="18"/>
                <w:color w:val="auto"/>
              </w:rPr>
              <w:t>Successors; Assignment; Amendments; Waivers</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7.7</w:t>
            </w:r>
          </w:p>
        </w:tc>
        <w:tc>
          <w:tcPr>
            <w:tcW w:w="822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7.8</w:t>
            </w:r>
          </w:p>
        </w:tc>
        <w:tc>
          <w:tcPr>
            <w:tcW w:w="8220" w:type="dxa"/>
            <w:vAlign w:val="bottom"/>
          </w:tcPr>
          <w:p>
            <w:pPr>
              <w:ind w:left="60"/>
              <w:spacing w:after="0"/>
              <w:rPr>
                <w:sz w:val="20"/>
                <w:szCs w:val="20"/>
                <w:color w:val="auto"/>
              </w:rPr>
            </w:pPr>
            <w:r>
              <w:rPr>
                <w:rFonts w:ascii="Arial" w:cs="Arial" w:eastAsia="Arial" w:hAnsi="Arial"/>
                <w:sz w:val="18"/>
                <w:szCs w:val="18"/>
                <w:color w:val="auto"/>
              </w:rPr>
              <w:t>Waiver of Jury Trial, Jurisdiction</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7.9</w:t>
            </w:r>
          </w:p>
        </w:tc>
        <w:tc>
          <w:tcPr>
            <w:tcW w:w="8220" w:type="dxa"/>
            <w:vAlign w:val="bottom"/>
          </w:tcPr>
          <w:p>
            <w:pPr>
              <w:ind w:left="60"/>
              <w:spacing w:after="0"/>
              <w:rPr>
                <w:sz w:val="20"/>
                <w:szCs w:val="20"/>
                <w:color w:val="auto"/>
              </w:rPr>
            </w:pPr>
            <w:r>
              <w:rPr>
                <w:rFonts w:ascii="Arial" w:cs="Arial" w:eastAsia="Arial" w:hAnsi="Arial"/>
                <w:sz w:val="18"/>
                <w:szCs w:val="18"/>
                <w:color w:val="auto"/>
              </w:rPr>
              <w:t>Reconciliation</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7.10</w:t>
            </w:r>
          </w:p>
        </w:tc>
        <w:tc>
          <w:tcPr>
            <w:tcW w:w="8220" w:type="dxa"/>
            <w:vAlign w:val="bottom"/>
          </w:tcPr>
          <w:p>
            <w:pPr>
              <w:ind w:left="60"/>
              <w:spacing w:after="0"/>
              <w:rPr>
                <w:sz w:val="20"/>
                <w:szCs w:val="20"/>
                <w:color w:val="auto"/>
              </w:rPr>
            </w:pPr>
            <w:r>
              <w:rPr>
                <w:rFonts w:ascii="Arial" w:cs="Arial" w:eastAsia="Arial" w:hAnsi="Arial"/>
                <w:sz w:val="18"/>
                <w:szCs w:val="18"/>
                <w:color w:val="auto"/>
              </w:rPr>
              <w:t>Withholding</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7.11</w:t>
            </w:r>
          </w:p>
        </w:tc>
        <w:tc>
          <w:tcPr>
            <w:tcW w:w="8220" w:type="dxa"/>
            <w:vAlign w:val="bottom"/>
          </w:tcPr>
          <w:p>
            <w:pPr>
              <w:ind w:left="6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7.12</w:t>
            </w:r>
          </w:p>
        </w:tc>
        <w:tc>
          <w:tcPr>
            <w:tcW w:w="82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7.13</w:t>
            </w:r>
          </w:p>
        </w:tc>
        <w:tc>
          <w:tcPr>
            <w:tcW w:w="822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7.14</w:t>
            </w:r>
          </w:p>
        </w:tc>
        <w:tc>
          <w:tcPr>
            <w:tcW w:w="8220" w:type="dxa"/>
            <w:vAlign w:val="bottom"/>
          </w:tcPr>
          <w:p>
            <w:pPr>
              <w:ind w:left="60"/>
              <w:spacing w:after="0"/>
              <w:rPr>
                <w:sz w:val="20"/>
                <w:szCs w:val="20"/>
                <w:color w:val="auto"/>
              </w:rPr>
            </w:pPr>
            <w:r>
              <w:rPr>
                <w:rFonts w:ascii="Arial" w:cs="Arial" w:eastAsia="Arial" w:hAnsi="Arial"/>
                <w:sz w:val="18"/>
                <w:szCs w:val="18"/>
                <w:color w:val="auto"/>
              </w:rPr>
              <w:t>Independent Nature of TRA Parties’ Rights and Obligations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7.15</w:t>
            </w:r>
          </w:p>
        </w:tc>
        <w:tc>
          <w:tcPr>
            <w:tcW w:w="8220" w:type="dxa"/>
            <w:vAlign w:val="bottom"/>
          </w:tcPr>
          <w:p>
            <w:pPr>
              <w:ind w:left="60"/>
              <w:spacing w:after="0"/>
              <w:rPr>
                <w:sz w:val="20"/>
                <w:szCs w:val="20"/>
                <w:color w:val="auto"/>
              </w:rPr>
            </w:pPr>
            <w:r>
              <w:rPr>
                <w:rFonts w:ascii="Arial" w:cs="Arial" w:eastAsia="Arial" w:hAnsi="Arial"/>
                <w:sz w:val="18"/>
                <w:szCs w:val="18"/>
                <w:color w:val="auto"/>
              </w:rPr>
              <w:t>TRA Party Representative</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4"/>
        </w:trPr>
        <w:tc>
          <w:tcPr>
            <w:tcW w:w="940" w:type="dxa"/>
            <w:vAlign w:val="bottom"/>
          </w:tcPr>
          <w:p>
            <w:pPr>
              <w:spacing w:after="0"/>
              <w:rPr>
                <w:sz w:val="24"/>
                <w:szCs w:val="24"/>
                <w:color w:val="auto"/>
              </w:rPr>
            </w:pPr>
          </w:p>
        </w:tc>
        <w:tc>
          <w:tcPr>
            <w:tcW w:w="8220" w:type="dxa"/>
            <w:vAlign w:val="bottom"/>
          </w:tcPr>
          <w:p>
            <w:pPr>
              <w:ind w:left="410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bl>
    <w:p>
      <w:pPr>
        <w:sectPr>
          <w:pgSz w:w="11900" w:h="16838" w:orient="portrait"/>
          <w:cols w:equalWidth="0" w:num="1">
            <w:col w:w="10600"/>
          </w:cols>
          <w:pgMar w:left="800" w:top="382" w:right="4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RECEIVABLE AGREEMENT</w:t>
      </w:r>
    </w:p>
    <w:p>
      <w:pPr>
        <w:spacing w:after="0" w:line="229"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This TAX RECEIVABLE AGREEMENT (this “</w:t>
      </w:r>
      <w:r>
        <w:rPr>
          <w:rFonts w:ascii="Arial" w:cs="Arial" w:eastAsia="Arial" w:hAnsi="Arial"/>
          <w:sz w:val="17"/>
          <w:szCs w:val="17"/>
          <w:u w:val="single" w:color="auto"/>
          <w:color w:val="auto"/>
        </w:rPr>
        <w:t>Agreemen</w:t>
      </w:r>
      <w:r>
        <w:rPr>
          <w:rFonts w:ascii="Arial" w:cs="Arial" w:eastAsia="Arial" w:hAnsi="Arial"/>
          <w:sz w:val="17"/>
          <w:szCs w:val="17"/>
          <w:color w:val="auto"/>
        </w:rPr>
        <w:t>t”), dated as of [•], 2022, is made and entered into by and among Opal Fuels Inc., a Delaware corporation (the “</w:t>
      </w:r>
      <w:r>
        <w:rPr>
          <w:rFonts w:ascii="Arial" w:cs="Arial" w:eastAsia="Arial" w:hAnsi="Arial"/>
          <w:sz w:val="17"/>
          <w:szCs w:val="17"/>
          <w:u w:val="single" w:color="auto"/>
          <w:color w:val="auto"/>
        </w:rPr>
        <w:t>Corporate Taxpayer</w:t>
      </w:r>
      <w:r>
        <w:rPr>
          <w:rFonts w:ascii="Arial" w:cs="Arial" w:eastAsia="Arial" w:hAnsi="Arial"/>
          <w:sz w:val="17"/>
          <w:szCs w:val="17"/>
          <w:color w:val="auto"/>
        </w:rPr>
        <w:t>”), [•]as the agent (the “</w:t>
      </w:r>
      <w:r>
        <w:rPr>
          <w:rFonts w:ascii="Arial" w:cs="Arial" w:eastAsia="Arial" w:hAnsi="Arial"/>
          <w:sz w:val="17"/>
          <w:szCs w:val="17"/>
          <w:u w:val="single" w:color="auto"/>
          <w:color w:val="auto"/>
        </w:rPr>
        <w:t>Agent</w:t>
      </w:r>
      <w:r>
        <w:rPr>
          <w:rFonts w:ascii="Arial" w:cs="Arial" w:eastAsia="Arial" w:hAnsi="Arial"/>
          <w:sz w:val="17"/>
          <w:szCs w:val="17"/>
          <w:color w:val="auto"/>
        </w:rPr>
        <w:t>”), the TRA Party Representative (as defined below) and each of the other Persons (as defined below) party hereto from time to time (each, a “</w:t>
      </w:r>
      <w:r>
        <w:rPr>
          <w:rFonts w:ascii="Arial" w:cs="Arial" w:eastAsia="Arial" w:hAnsi="Arial"/>
          <w:sz w:val="17"/>
          <w:szCs w:val="17"/>
          <w:u w:val="single" w:color="auto"/>
          <w:color w:val="auto"/>
        </w:rPr>
        <w:t>TRA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TRA Parties</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Units</w:t>
      </w:r>
      <w:r>
        <w:rPr>
          <w:rFonts w:ascii="Arial" w:cs="Arial" w:eastAsia="Arial" w:hAnsi="Arial"/>
          <w:sz w:val="18"/>
          <w:szCs w:val="18"/>
          <w:color w:val="auto"/>
        </w:rPr>
        <w:t>”) in Opal Fuels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United States federal income tax purposes;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the Corporate Taxpayer and OpCo entered into that certain Business Combination Agreement, dated December 2, 2021 (as further amended or modified in whole or in part from time to time in accordance with such Agreement, the “</w:t>
      </w:r>
      <w:r>
        <w:rPr>
          <w:rFonts w:ascii="Arial" w:cs="Arial" w:eastAsia="Arial" w:hAnsi="Arial"/>
          <w:sz w:val="18"/>
          <w:szCs w:val="18"/>
          <w:u w:val="single" w:color="auto"/>
          <w:color w:val="auto"/>
        </w:rPr>
        <w:t>BCA</w:t>
      </w:r>
      <w:r>
        <w:rPr>
          <w:rFonts w:ascii="Arial" w:cs="Arial" w:eastAsia="Arial" w:hAnsi="Arial"/>
          <w:sz w:val="18"/>
          <w:szCs w:val="18"/>
          <w:color w:val="auto"/>
        </w:rPr>
        <w:t>”), pursuant to which, among other things, the Corporate Taxpayer (i) acquired certain Units in exchange for a cash contribution to OpCo and (ii) became the managing member of OpCo, and from and after the date of this Agreement, holds and will hold, directly and/or indirectly, Units;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following the transactions contemplated by the BCA, the Units held by the TRA Parties, (i) together with Class B common stock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Corporate Taxpayer, may be exchanged or redeemed for Class A common stock of the Corporate Taxpayer (the “</w:t>
      </w:r>
      <w:r>
        <w:rPr>
          <w:rFonts w:ascii="Arial" w:cs="Arial" w:eastAsia="Arial" w:hAnsi="Arial"/>
          <w:sz w:val="16"/>
          <w:szCs w:val="16"/>
          <w:u w:val="single" w:color="auto"/>
          <w:color w:val="auto"/>
        </w:rPr>
        <w:t>Class A Shares</w:t>
      </w:r>
      <w:r>
        <w:rPr>
          <w:rFonts w:ascii="Arial" w:cs="Arial" w:eastAsia="Arial" w:hAnsi="Arial"/>
          <w:sz w:val="16"/>
          <w:szCs w:val="16"/>
          <w:color w:val="auto"/>
        </w:rPr>
        <w:t>”) or (ii)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Class D common stock of the Corporate Taxpayer, may be exchanged or redeemed for Class C common stock of the Corporate Taxpayer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Shares</w:t>
      </w:r>
      <w:r>
        <w:rPr>
          <w:rFonts w:ascii="Arial" w:cs="Arial" w:eastAsia="Arial" w:hAnsi="Arial"/>
          <w:sz w:val="16"/>
          <w:szCs w:val="16"/>
          <w:color w:val="auto"/>
        </w:rPr>
        <w:t>”), in each case, constituting the Stock Exchange Payment or, alternatively, at the election of the Corporate Taxpayer, the Cash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(an “</w:t>
      </w:r>
      <w:r>
        <w:rPr>
          <w:rFonts w:ascii="Arial" w:cs="Arial" w:eastAsia="Arial" w:hAnsi="Arial"/>
          <w:sz w:val="18"/>
          <w:szCs w:val="18"/>
          <w:u w:val="single" w:color="auto"/>
          <w:color w:val="auto"/>
        </w:rPr>
        <w:t>Exchange</w:t>
      </w:r>
      <w:r>
        <w:rPr>
          <w:rFonts w:ascii="Arial" w:cs="Arial" w:eastAsia="Arial" w:hAnsi="Arial"/>
          <w:sz w:val="18"/>
          <w:szCs w:val="18"/>
          <w:color w:val="auto"/>
        </w:rPr>
        <w:t>”), pursuant to the provisions of the LLC Agreement (as defined below);</w:t>
      </w:r>
    </w:p>
    <w:p>
      <w:pPr>
        <w:spacing w:after="0" w:line="21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WHEREAS, OpCo and each of its direct and indirect Subsidiaries (as defined below)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together with Class B common stock or Class D common stock, as applicable, of the Corporate Taxpayer by the Corporate Taxpayer from the TRA Parties for Class A Shares or Class C Shares, as applicable, or other consideration occurs;</w:t>
      </w:r>
    </w:p>
    <w:p>
      <w:pPr>
        <w:spacing w:after="0" w:line="17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WHEREAS, as a result of the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Arial" w:cs="Arial" w:eastAsia="Arial" w:hAnsi="Arial"/>
          <w:sz w:val="18"/>
          <w:szCs w:val="18"/>
          <w:u w:val="single" w:color="auto"/>
          <w:color w:val="auto"/>
        </w:rPr>
        <w:t>Tax Attributes</w:t>
      </w:r>
      <w:r>
        <w:rPr>
          <w:rFonts w:ascii="Arial" w:cs="Arial" w:eastAsia="Arial" w:hAnsi="Arial"/>
          <w:sz w:val="18"/>
          <w:szCs w:val="18"/>
          <w:color w:val="auto"/>
        </w:rPr>
        <w:t>”); and</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Tax Attributes on the liability for Taxes of the Corporate Taxpayer.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21" w:name="page122"/>
    <w:bookmarkEnd w:id="121"/>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the respective covenants and agreements set forth herein, and intending to be legally bound hereby, the parties hereto agree as follows: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the singular and plural forms of the terms defined):</w:t>
      </w:r>
    </w:p>
    <w:p>
      <w:pPr>
        <w:spacing w:after="0" w:line="170"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Tax Liability</w:t>
      </w:r>
      <w:r>
        <w:rPr>
          <w:rFonts w:ascii="Arial" w:cs="Arial" w:eastAsia="Arial" w:hAnsi="Arial"/>
          <w:sz w:val="16"/>
          <w:szCs w:val="16"/>
          <w:color w:val="auto"/>
        </w:rPr>
        <w:t>” means, with respect to any Taxable Year, an amount, not less than zero, equal to the sum of (i) the actual liability for U.S. federal income Taxes of the Corporate Taxpayer for such Taxable Year and without duplication, the portion of any actual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w:t>
      </w:r>
    </w:p>
    <w:p>
      <w:pPr>
        <w:spacing w:after="0" w:line="1" w:lineRule="exact"/>
        <w:rPr>
          <w:sz w:val="20"/>
          <w:szCs w:val="20"/>
          <w:color w:val="auto"/>
        </w:rPr>
      </w:pPr>
    </w:p>
    <w:p>
      <w:pPr>
        <w:ind w:left="4" w:right="160" w:hanging="4"/>
        <w:spacing w:after="0" w:line="251" w:lineRule="auto"/>
        <w:tabs>
          <w:tab w:leader="none" w:pos="2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actual amount of taxable income for U.S. federal income Tax purposes (taking into account any adjustments pursuant to Section 6225 of the Code) of the Corporate Taxpayer for such Taxable Year (determined without taking into account any U.S. federal income tax benefit of any applicable state or local tax deduction), and (B) the Blended Rate for such Taxable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applicable, such amounts shall be determined in accordance with a Determination (including interest imposed in respect thereof under applicable law). For the avoidance of doubt, the calculation of the amount described in clause (i) shall take into account any U.S. federal income tax benefit realized by the Corporate Taxpayer with respect to state and local jurisdiction income taxes (with such benefit determined by taking into account an assumed deduction based on the amount computed under clause (ii), and disregarding the actual deduction for state and local jurisdiction income taxes reflected on the Corporate Taxpayer’s income tax return).</w:t>
      </w:r>
    </w:p>
    <w:p>
      <w:pPr>
        <w:spacing w:after="0" w:line="19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 w:right="6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w:t>
      </w:r>
      <w:r>
        <w:rPr>
          <w:rFonts w:ascii="Arial" w:cs="Arial" w:eastAsia="Arial" w:hAnsi="Arial"/>
          <w:sz w:val="17"/>
          <w:szCs w:val="17"/>
          <w:color w:val="auto"/>
        </w:rPr>
        <w:t>” means the portion of any Tax Attribute of the Corporate Taxpayer, Opco and/or their respective Subsidiaries that is attributable to a TRA Party and shall be determined by reference to the Tax Attributes, under the following principles: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22" w:name="page123"/>
    <w:bookmarkEnd w:id="122"/>
    <w:p>
      <w:pPr>
        <w:ind w:left="4" w:right="360" w:firstLine="1428"/>
        <w:spacing w:after="0" w:line="308" w:lineRule="auto"/>
        <w:tabs>
          <w:tab w:leader="none" w:pos="1651"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Basis Adjustments shall be determined separately with respect to each TRA Party and the portion that is Attributable to a TRA Party shall be an amount equal to the total Basis Adjustments relating to the Units Exchanged by such TRA Party; and</w:t>
      </w:r>
    </w:p>
    <w:p>
      <w:pPr>
        <w:spacing w:after="0" w:line="38" w:lineRule="exact"/>
        <w:rPr>
          <w:rFonts w:ascii="Arial" w:cs="Arial" w:eastAsia="Arial" w:hAnsi="Arial"/>
          <w:sz w:val="17"/>
          <w:szCs w:val="17"/>
          <w:color w:val="auto"/>
        </w:rPr>
      </w:pPr>
    </w:p>
    <w:p>
      <w:pPr>
        <w:ind w:left="4" w:right="380" w:firstLine="1428"/>
        <w:spacing w:after="0" w:line="286" w:lineRule="auto"/>
        <w:tabs>
          <w:tab w:leader="none" w:pos="170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65"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Basis Adjustmen</w:t>
      </w:r>
      <w:r>
        <w:rPr>
          <w:rFonts w:ascii="Arial" w:cs="Arial" w:eastAsia="Arial" w:hAnsi="Arial"/>
          <w:sz w:val="17"/>
          <w:szCs w:val="17"/>
          <w:color w:val="auto"/>
        </w:rPr>
        <w:t>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and local Tax laws, as a result of an Exchange and the payments made pursuant to this Agreement. The amount of any Basis Adjustment shall be determined using the Market Value with respect to such Exchange, except, for the avoidance of doubt, as otherwise required by a Determination. For the avoidance of doubt, payments under this Agreement shall not be treated as resulting in a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 w:right="740" w:firstLine="991"/>
        <w:spacing w:after="0" w:line="29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Beneficial Owner</w:t>
      </w:r>
      <w:r>
        <w:rPr>
          <w:rFonts w:ascii="Arial" w:cs="Arial" w:eastAsia="Arial" w:hAnsi="Arial"/>
          <w:sz w:val="16"/>
          <w:szCs w:val="16"/>
          <w:color w:val="auto"/>
        </w:rPr>
        <w:t>” of a security means a Person who directly or indirectly, through any contract, arrangement, understanding, relationship or otherwise, has or shares: (i) voting power, which includes the power to vote, or to direct the voting of, such security; and/or</w:t>
      </w:r>
    </w:p>
    <w:p>
      <w:pPr>
        <w:ind w:left="4" w:right="780" w:hanging="4"/>
        <w:spacing w:after="0" w:line="260" w:lineRule="auto"/>
        <w:tabs>
          <w:tab w:leader="none" w:pos="26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85" w:lineRule="exact"/>
        <w:rPr>
          <w:sz w:val="20"/>
          <w:szCs w:val="20"/>
          <w:color w:val="auto"/>
        </w:rPr>
      </w:pPr>
    </w:p>
    <w:p>
      <w:pPr>
        <w:ind w:left="4" w:right="1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Blended Rate</w:t>
      </w:r>
      <w:r>
        <w:rPr>
          <w:rFonts w:ascii="Arial" w:cs="Arial" w:eastAsia="Arial" w:hAnsi="Arial"/>
          <w:sz w:val="16"/>
          <w:szCs w:val="16"/>
          <w:color w:val="auto"/>
        </w:rPr>
        <w:t>” means, with respect to any Taxable Year, the sum of the apportionment-weighted effective rates of Tax imposed on the aggregate net income of the Corporate Taxpayer in each U.S. state or local jurisdiction in which the Corporate Taxpayer files Tax Returns for such Taxable Year, with the maximum effective rate in any state or local jurisdiction being equal to the product of (i) the apportionment factor on the income or franchise Corporate Taxpayer Return in such jurisdiction for such Taxable Year and (ii) the maximum applicable corporate income Tax rate in effect in such jurisdiction in such Taxable Year. As an illustration of the calculation of Blended Rate for a Taxable Year, if the Corporate Taxpayer solely files Tax Returns in State 1 and State 2 in a Taxable Year, the maximum applicable corporate income Tax rates in effect in such states in such Taxable Year are 6.5% and 5.5%, respectively, and the apportionment factors for such states in such Taxable Year are 55% and 45%, respectively, then the Blended Rate for such Taxable Year is equal to 6.05% (i.e., 6.5% multiplied by 55%, plus 5.5% multiplied by 45%).</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123" w:name="page124"/>
    <w:bookmarkEnd w:id="1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or Wilmington, Delaware are authorized or required by Law to close.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Paymen</w:t>
      </w:r>
      <w:r>
        <w:rPr>
          <w:rFonts w:ascii="Arial" w:cs="Arial" w:eastAsia="Arial" w:hAnsi="Arial"/>
          <w:sz w:val="18"/>
          <w:szCs w:val="18"/>
          <w:color w:val="auto"/>
        </w:rPr>
        <w:t>t” has the meaning set forth in the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120" w:firstLine="1428"/>
        <w:spacing w:after="0" w:line="293" w:lineRule="auto"/>
        <w:tabs>
          <w:tab w:leader="none" w:pos="16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164" w:lineRule="exact"/>
        <w:rPr>
          <w:rFonts w:ascii="Arial" w:cs="Arial" w:eastAsia="Arial" w:hAnsi="Arial"/>
          <w:sz w:val="16"/>
          <w:szCs w:val="16"/>
          <w:color w:val="auto"/>
        </w:rPr>
      </w:pPr>
    </w:p>
    <w:p>
      <w:pPr>
        <w:jc w:val="both"/>
        <w:ind w:right="20" w:firstLine="1428"/>
        <w:spacing w:after="0" w:line="257" w:lineRule="auto"/>
        <w:tabs>
          <w:tab w:leader="none" w:pos="16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w:t>
      </w:r>
    </w:p>
    <w:p>
      <w:pPr>
        <w:spacing w:after="0" w:line="187" w:lineRule="exact"/>
        <w:rPr>
          <w:rFonts w:ascii="Arial" w:cs="Arial" w:eastAsia="Arial" w:hAnsi="Arial"/>
          <w:sz w:val="18"/>
          <w:szCs w:val="18"/>
          <w:color w:val="auto"/>
        </w:rPr>
      </w:pPr>
    </w:p>
    <w:p>
      <w:pPr>
        <w:ind w:right="80" w:firstLine="1428"/>
        <w:spacing w:after="0" w:line="293" w:lineRule="auto"/>
        <w:tabs>
          <w:tab w:leader="none" w:pos="17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either (A) the Board immediately prior to the merger or consolidation does not constitute at least a majority of the board of directors of the company surviving the merger or, if the surviving company is a Subsidiary of the Corporate Taxpayer, the ultimate parent thereof or (B)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of the Corporate Taxpayer, the ultimate parent thereof; or</w:t>
      </w:r>
    </w:p>
    <w:p>
      <w:pPr>
        <w:spacing w:after="0" w:line="164" w:lineRule="exact"/>
        <w:rPr>
          <w:rFonts w:ascii="Arial" w:cs="Arial" w:eastAsia="Arial" w:hAnsi="Arial"/>
          <w:sz w:val="16"/>
          <w:szCs w:val="16"/>
          <w:color w:val="auto"/>
        </w:rPr>
      </w:pPr>
    </w:p>
    <w:p>
      <w:pPr>
        <w:ind w:firstLine="1428"/>
        <w:spacing w:after="0" w:line="273" w:lineRule="auto"/>
        <w:tabs>
          <w:tab w:leader="none" w:pos="173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4" w:name="page125"/>
    <w:bookmarkEnd w:id="124"/>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except with respect to clause (ii) and clause (iii)(A)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BCA.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 Return</w:t>
      </w:r>
      <w:r>
        <w:rPr>
          <w:rFonts w:ascii="Arial" w:cs="Arial" w:eastAsia="Arial" w:hAnsi="Arial"/>
          <w:sz w:val="18"/>
          <w:szCs w:val="18"/>
          <w:color w:val="auto"/>
        </w:rPr>
        <w:t>” means the United States federal, state and/or local Tax Return, as applicable, of the Corporate Taxpayer filed with respect to Taxes of any Taxable Year.</w:t>
      </w:r>
    </w:p>
    <w:p>
      <w:pPr>
        <w:spacing w:after="0" w:line="170"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 provided, that the computation of the Cumulative Net Realized Tax Benefit shall be adjusted to reflect any applicable Determination with respect to any Realized Tax Benefits and/or Realized Tax Detriments.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LIBOR plus 500 basis points.</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similar provision of state or local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25" w:name="page126"/>
    <w:bookmarkEnd w:id="1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LIBOR plus 200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an amount, not less than zero, equal to the sum of (i) the hypothetical liability for U.S. federal income Taxes of the Corporate Taxpayer for such Taxable Year and without duplication, the portion of any hypothetical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 (X) the hypothetical amount of taxable income for U.S. federal income Tax purposes (taking into account adjustments pursuant to</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6225 of the Code) of the Corporate Taxpayer for such Taxable Year (determined without taking into account any U.S. federal income tax benefit of any applicable state or local tax deduction) , and (Y) the Blended Rate for such Taxable Year,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For the avoidance of doubt, the calculation of the amount described in clause (i) shall take into account any U.S. federal income tax benefit that would be realized by the Corporate Taxpayer with respect to state and local jurisdiction income taxes (with such benefit determined by taking into account an assumed deduction based on the amount computed under clause (ii), and disregarding the hypothetical deduction for state and local jurisdiction income taxes that would otherwise result under clause (i)).</w:t>
      </w:r>
    </w:p>
    <w:p>
      <w:pPr>
        <w:spacing w:after="0" w:line="169"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w:t>
      </w:r>
      <w:r>
        <w:rPr>
          <w:rFonts w:ascii="Arial" w:cs="Arial" w:eastAsia="Arial" w:hAnsi="Arial"/>
          <w:sz w:val="18"/>
          <w:szCs w:val="18"/>
          <w:color w:val="auto"/>
        </w:rPr>
        <w:t>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6" w:name="page127"/>
    <w:bookmarkEnd w:id="12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Market Value</w:t>
      </w:r>
      <w:r>
        <w:rPr>
          <w:rFonts w:ascii="Arial" w:cs="Arial" w:eastAsia="Arial" w:hAnsi="Arial"/>
          <w:sz w:val="17"/>
          <w:szCs w:val="17"/>
          <w:color w:val="auto"/>
        </w:rPr>
        <w:t>” means, on any date, (i) if the Class A Shares trade on a national securities exchange or automated or electronic quotation system, the arithmetic average of the high trading and the low trading price on such date (or if such date is not a trading day, the immediately preceding trading day) or (ii) if the Class A Shares are not then traded on a national securities exchange or automated or electronic quotation system, as applicable, the “Appraiser FMV” (as defined in the LLC Agreement) on such date of one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Objection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Referenced Asset would have had at such time if no Basis Adjustments had been made.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 Receivable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Schedule</w:t>
      </w:r>
      <w:r>
        <w:rPr>
          <w:rFonts w:ascii="Arial" w:cs="Arial" w:eastAsia="Arial" w:hAnsi="Arial"/>
          <w:sz w:val="18"/>
          <w:szCs w:val="18"/>
          <w:color w:val="auto"/>
        </w:rPr>
        <w:t>” means the schedule setting forth each TRA Party’s share of any payments hereunder.</w:t>
      </w:r>
    </w:p>
    <w:p>
      <w:pPr>
        <w:spacing w:after="0" w:line="225" w:lineRule="exact"/>
        <w:rPr>
          <w:sz w:val="20"/>
          <w:szCs w:val="20"/>
          <w:color w:val="auto"/>
        </w:rPr>
      </w:pPr>
    </w:p>
    <w:p>
      <w:pPr>
        <w:jc w:val="both"/>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Pre-Exchange Transfer</w:t>
      </w:r>
      <w:r>
        <w:rPr>
          <w:rFonts w:ascii="Arial" w:cs="Arial" w:eastAsia="Arial" w:hAnsi="Arial"/>
          <w:sz w:val="18"/>
          <w:szCs w:val="18"/>
          <w:color w:val="auto"/>
        </w:rPr>
        <w:t>” means any transfer (including upon the death of a member of Opco) or distribution in respect of one or more Units (i) that occurs prior to an Exchange of such Units and (ii) to which Section 743(b) or 734(b) of the Code applies.</w:t>
      </w:r>
    </w:p>
    <w:p>
      <w:pPr>
        <w:spacing w:after="0" w:line="170"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Realized Tax Benefit</w:t>
      </w:r>
      <w:r>
        <w:rPr>
          <w:rFonts w:ascii="Arial" w:cs="Arial" w:eastAsia="Arial" w:hAnsi="Arial"/>
          <w:sz w:val="17"/>
          <w:szCs w:val="17"/>
          <w:color w:val="auto"/>
        </w:rPr>
        <w:t>” means, with respect to any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65" w:lineRule="exact"/>
        <w:rPr>
          <w:sz w:val="20"/>
          <w:szCs w:val="20"/>
          <w:color w:val="auto"/>
        </w:rPr>
      </w:pPr>
    </w:p>
    <w:p>
      <w:pPr>
        <w:ind w:right="2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Detriment</w:t>
      </w:r>
      <w:r>
        <w:rPr>
          <w:rFonts w:ascii="Arial" w:cs="Arial" w:eastAsia="Arial" w:hAnsi="Arial"/>
          <w:sz w:val="16"/>
          <w:szCs w:val="16"/>
          <w:color w:val="auto"/>
        </w:rPr>
        <w:t>” means, with respect to any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27" w:name="page128"/>
    <w:bookmarkEnd w:id="12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Asset</w:t>
      </w:r>
      <w:r>
        <w:rPr>
          <w:rFonts w:ascii="Arial" w:cs="Arial" w:eastAsia="Arial" w:hAnsi="Arial"/>
          <w:sz w:val="16"/>
          <w:szCs w:val="16"/>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w:t>
      </w:r>
      <w:r>
        <w:rPr>
          <w:rFonts w:ascii="Arial" w:cs="Arial" w:eastAsia="Arial" w:hAnsi="Arial"/>
          <w:sz w:val="17"/>
          <w:szCs w:val="17"/>
          <w:color w:val="auto"/>
        </w:rPr>
        <w:t>” means any of the following: (i) a Basis Schedule, (ii) a Tax Benefit Schedule or (iii) the Early Termination Schedule.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shall have the meaning set forth in LLC Agreement.</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Stock</w:t>
      </w:r>
      <w:r>
        <w:rPr>
          <w:rFonts w:ascii="Arial" w:cs="Arial" w:eastAsia="Arial" w:hAnsi="Arial"/>
          <w:sz w:val="18"/>
          <w:szCs w:val="18"/>
          <w:color w:val="auto"/>
        </w:rPr>
        <w:t>” means any stock or other equity interest in any subsidiary entity of OpCo that is treated as a C corporation for United States federal income tax purposes.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46"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84"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United States federal, state and local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8" w:name="page129"/>
    <w:bookmarkEnd w:id="128"/>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Disinterested Majority</w:t>
      </w:r>
      <w:r>
        <w:rPr>
          <w:rFonts w:ascii="Arial" w:cs="Arial" w:eastAsia="Arial" w:hAnsi="Arial"/>
          <w:sz w:val="18"/>
          <w:szCs w:val="18"/>
          <w:color w:val="auto"/>
        </w:rPr>
        <w:t xml:space="preserve">” means a majority of the directors of the Board who are disinterested as determined by the Board in accordance with the Delaware General Corporation Law with respect to the matter being considered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matter being considered by the Board is required to be considered by disinterested directors under the rules of the National Securities Exchange on which the Class A Shares is then listed, the Securities Act or the Exchange Act, such rules with respect to the definition of disinterested director shall apply solely with respect to such matter.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w:t>
      </w:r>
      <w:r>
        <w:rPr>
          <w:rFonts w:ascii="Arial" w:cs="Arial" w:eastAsia="Arial" w:hAnsi="Arial"/>
          <w:sz w:val="18"/>
          <w:szCs w:val="18"/>
          <w:color w:val="auto"/>
        </w:rPr>
        <w:t>” and “</w:t>
      </w:r>
      <w:r>
        <w:rPr>
          <w:rFonts w:ascii="Arial" w:cs="Arial" w:eastAsia="Arial" w:hAnsi="Arial"/>
          <w:sz w:val="18"/>
          <w:szCs w:val="18"/>
          <w:u w:val="single" w:color="auto"/>
          <w:color w:val="auto"/>
        </w:rPr>
        <w:t>TRA Parties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 means, initially, [•], or, if [•] becomes unable to perform the TRA Party Representative’s responsibilities hereunder or resigns from such position, either (i) a replacement TRA Party Representative selected by [•] or (ii) if [•]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together with Class B common stock or Class D common stock, as applicable, of the Corporate Taxpayer, for Class A Shares or Class C Shares, as applicable, or other consideration and the Corporate Taxpayer had exercised its right of early termination on the date of the most recent Exchange.</w:t>
      </w:r>
    </w:p>
    <w:p>
      <w:pPr>
        <w:spacing w:after="0" w:line="19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Assumptions</w:t>
      </w:r>
      <w:r>
        <w:rPr>
          <w:rFonts w:ascii="Arial" w:cs="Arial" w:eastAsia="Arial" w:hAnsi="Arial"/>
          <w:sz w:val="16"/>
          <w:szCs w:val="16"/>
          <w:color w:val="auto"/>
        </w:rPr>
        <w:t xml:space="preserve">” means, as of an Early Termination Date, the assumptions that in each Taxable Year ending on or after such Early Termination Date, (i) the Corporate Taxpayer will have taxable income sufficient to fully utilize deductions arising from the Tax Attributes (other than any items addressed in clause (ii) below)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(ii) any loss carryovers generated by deductions arising from Tax Attributes that are available as of the date of such Early Termination Date will be used by the Corporate Taxpayer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from the Early Termination Date through the scheduled expiration date thereof or, if there is no such scheduled expiration date, the tenth anniversary of the Early Termination Date, (iii) the United States federal income tax rate that will be in effect for each such Taxable Year will be those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for each such Taxable Year by the Code and other law as in effect on the Early Termination Date and the Blended Rate will be calculated based on such rates and the apportionment factors applicable in the most recently ended Taxable Year, except to the extent any change to such Tax rates for such Taxable Year has already been enacted into law as of the Early Termination Date, (iv) any non-amortizable, non-depreciable Reference Assets (other than any Subsidiary Stock) will be disposed of on the 15</w:t>
      </w:r>
      <w:r>
        <w:rPr>
          <w:rFonts w:ascii="Arial" w:cs="Arial" w:eastAsia="Arial" w:hAnsi="Arial"/>
          <w:sz w:val="14"/>
          <w:szCs w:val="14"/>
          <w:color w:val="auto"/>
        </w:rPr>
        <w:t>th</w:t>
      </w:r>
      <w:r>
        <w:rPr>
          <w:rFonts w:ascii="Arial" w:cs="Arial" w:eastAsia="Arial" w:hAnsi="Arial"/>
          <w:sz w:val="17"/>
          <w:szCs w:val="17"/>
          <w:color w:val="auto"/>
        </w:rPr>
        <w:t xml:space="preserve"> anniversary of the Exchange which gave rise to the applicable Basis Adjustment and any short-term investments will be disposed of 12 months following the Early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Change of Control, such non-amortizable, non-depreciable Reference Assets shall be deemed disposed of at the time of sale of such Reference Asset (if earlier than such 15</w:t>
      </w:r>
      <w:r>
        <w:rPr>
          <w:rFonts w:ascii="Arial" w:cs="Arial" w:eastAsia="Arial" w:hAnsi="Arial"/>
          <w:sz w:val="14"/>
          <w:szCs w:val="14"/>
          <w:color w:val="auto"/>
        </w:rPr>
        <w:t>th</w:t>
      </w:r>
      <w:r>
        <w:rPr>
          <w:rFonts w:ascii="Arial" w:cs="Arial" w:eastAsia="Arial" w:hAnsi="Arial"/>
          <w:sz w:val="17"/>
          <w:szCs w:val="17"/>
          <w:color w:val="auto"/>
        </w:rPr>
        <w:t xml:space="preserve"> anniversary), (v) any Subsidiary Stock will never be disposed of and (vi) if, at the Early Termination Date, there are Units that have not been Exchanged, then each such Unit is Exchanged, together with Class B common stock or Class D common stock, as applicable, of the Corporate Taxpayer, in a fully taxable transaction for the Market Value of the Class A Shares or Class C Shares, as applicable, that would be transferred if the Exchange occurred on the Early Termination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CERTAIN REALIZED TAX BENEFIT</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w:t>
      </w:r>
      <w:r>
        <w:rPr>
          <w:rFonts w:ascii="Arial" w:cs="Arial" w:eastAsia="Arial" w:hAnsi="Arial"/>
          <w:sz w:val="17"/>
          <w:szCs w:val="17"/>
          <w:color w:val="auto"/>
        </w:rPr>
        <w:t>t. Within 120 calendar days after the filing of the United States federal income tax return of the Corporate Taxpayer for the Taxable Year that includes the Closing Date and each Taxable Year in which an Exchange has been effected, the Corporate Taxpayer shall deliver to the TRA Party Representative, in respect of each TRA Party who received (or is deemed to receive) cash or Class A Shares or Class C Shares, as applicable, in such Taxable Year pursuant to an Exchange, a schedule (the “</w:t>
      </w:r>
      <w:r>
        <w:rPr>
          <w:rFonts w:ascii="Arial" w:cs="Arial" w:eastAsia="Arial" w:hAnsi="Arial"/>
          <w:sz w:val="17"/>
          <w:szCs w:val="17"/>
          <w:u w:val="single" w:color="auto"/>
          <w:color w:val="auto"/>
        </w:rPr>
        <w:t>Basis Schedule</w:t>
      </w:r>
      <w:r>
        <w:rPr>
          <w:rFonts w:ascii="Arial" w:cs="Arial" w:eastAsia="Arial" w:hAnsi="Arial"/>
          <w:sz w:val="17"/>
          <w:szCs w:val="17"/>
          <w:color w:val="auto"/>
        </w:rPr>
        <w:t xml:space="preserve">”) that shows, in reasonable detail necessary to perform the calculations required by this Agreement, (a) the actual Tax basis and the Non-Stepped Up Tax Basis of the Reference Assets as of each applicable Exchange Date, (b) the Basis Adjustment with respect to the Reference Assets Attributable to each such TRA Party as a result of the Exchanges effected in such Taxable Year and prior Taxable Years by each such TRA Party, calculated in the aggregate, (c) the period (or periods) over which the Reference Assets are amortizable and/or depreciable and (d) the period (or periods) over which each Basis Adjustment in respect of such TRA Party is amortizable and/or depreciable. Each Basis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Tax Benefit Schedule</w:t>
      </w:r>
      <w:r>
        <w:rPr>
          <w:rFonts w:ascii="Arial" w:cs="Arial" w:eastAsia="Arial" w:hAnsi="Arial"/>
          <w:sz w:val="17"/>
          <w:szCs w:val="17"/>
          <w:color w:val="auto"/>
        </w:rPr>
        <w:t>. Within 120 calendar days after the filing of the United States federal income tax return of the Corporate Taxpayer</w:t>
      </w:r>
      <w:r>
        <w:rPr>
          <w:rFonts w:ascii="Arial" w:cs="Arial" w:eastAsia="Arial" w:hAnsi="Arial"/>
          <w:sz w:val="17"/>
          <w:szCs w:val="17"/>
          <w:i w:val="1"/>
          <w:iCs w:val="1"/>
          <w:color w:val="auto"/>
        </w:rPr>
        <w:t xml:space="preserve"> </w:t>
      </w:r>
      <w:r>
        <w:rPr>
          <w:rFonts w:ascii="Arial" w:cs="Arial" w:eastAsia="Arial" w:hAnsi="Arial"/>
          <w:sz w:val="17"/>
          <w:szCs w:val="17"/>
          <w:color w:val="auto"/>
        </w:rPr>
        <w:t>for each Taxable Year, the Corporate Taxpayer shall provide to the TRA Party Representative, in respect of each TRA Party who has received (or is deemed to receive) cash or Class A Shares or Class C Shares, as applicable, pursuant to an Exchange, a schedule showing, in reasonable detail, the calculation of the Tax Benefit Payment, if any, any Realized Tax Benefit and any Realized Tax Detriment, as applicable, Attributable to each such TRA Party for such Taxable Year (a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xml:space="preserve">”). Each Tax Benefit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30" w:name="page131"/>
    <w:bookmarkEnd w:id="130"/>
    <w:p>
      <w:pPr>
        <w:ind w:left="1220" w:hanging="253"/>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Principles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20" w:firstLine="1428"/>
        <w:spacing w:after="0" w:line="271" w:lineRule="auto"/>
        <w:tabs>
          <w:tab w:leader="none" w:pos="162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3.3(a)</w:t>
      </w:r>
      <w:r>
        <w:rPr>
          <w:rFonts w:ascii="Arial" w:cs="Arial" w:eastAsia="Arial" w:hAnsi="Arial"/>
          <w:sz w:val="17"/>
          <w:szCs w:val="17"/>
          <w:color w:val="auto"/>
        </w:rPr>
        <w:t>, the Realized Tax Benefit or Realized Tax Detriment for each Taxable Year is intended to measure the decrease or increase in the Actual Tax Liability for such Taxable Year attributable to the Tax Attributes, determined using a “with and without” methodology (assuming that such Tax Attributes are the last items utilized in any Taxable Year).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Exchange. Carryovers or carrybacks of any Tax item attributable to the Tax Attributes shall be considered to be subject to the rules of the Code and the Treasury Regulations or the appropriate provisions of U.S. state and local income and franchise Tax law, as applicable, governing the use, limitation and expiration of carryovers or carrybacks of the relevant type.</w:t>
      </w:r>
    </w:p>
    <w:p>
      <w:pPr>
        <w:spacing w:after="0" w:line="70" w:lineRule="exact"/>
        <w:rPr>
          <w:rFonts w:ascii="Arial" w:cs="Arial" w:eastAsia="Arial" w:hAnsi="Arial"/>
          <w:sz w:val="17"/>
          <w:szCs w:val="17"/>
          <w:color w:val="auto"/>
        </w:rPr>
      </w:pPr>
    </w:p>
    <w:p>
      <w:pPr>
        <w:ind w:left="-20" w:firstLine="1428"/>
        <w:spacing w:after="0" w:line="268" w:lineRule="auto"/>
        <w:tabs>
          <w:tab w:leader="none" w:pos="167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If a carryover or carryback of any Tax item includes a portion that is attributable to any Tax Attribute and another portion that is not, such portions shall be considered to be used in accordance with the “with and without” methodology. Except as otherwise required by applicable law, the parties hereto agree that (A) all Tax Benefit Payments in respect of an Exchange are intended to be treated and shall be reported for Tax purposes as additional contingent consideration to the applicable TRA Party for such Exchange that has the effect of creating Basis Adjustments, in each case, to Reference Assets for the Corporate Taxpayer in the year of payment, (B) as a result, such additional Basis Adjustments will be incorporated into the calculation for the Taxable Year of the applicable payment and into the calculations for subsequent Taxable Years, as appropriate, (C) the Actual Tax Liability shall take into account the deduction of the portion of the Tax Benefit Payment that must be accounted for as Imputed Interest under applicable law and (D)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55" w:lineRule="auto"/>
        <w:tabs>
          <w:tab w:leader="none" w:pos="1216"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 Every time the Corporate Taxpayer delivers to the TRA Party Representative an applicable Schedule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any Amended Schedule delivered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the Corporate Taxpayer shall also (i) deliver to the TRA Party Representative supporting schedules, valuation reports, if any, and work papers, as determined by the Corporate Taxpayer or requested by the TRA Party Representative, providing reasonable detail regarding data and calculations that were relevant for the preparation of the Schedule, (ii) indicate which accounting firm, if any, assisted with the preparation of the Schedule and (iii) allow the TRA Party Representative and its advisors reasonable access to the appropriate representatives at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131" w:name="page132"/>
    <w:bookmarkEnd w:id="13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the TRA Party Representative,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30 calendar days from the date on which all relevant TRA Parties are treated as having received the applicable Schedule or amendment thereto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unless the TRA Party Representative (A) within 30 calendar days from such date provides the Corporate Taxpayer with notice of an objection to such Schedule (“</w:t>
      </w:r>
      <w:r>
        <w:rPr>
          <w:rFonts w:ascii="Arial" w:cs="Arial" w:eastAsia="Arial" w:hAnsi="Arial"/>
          <w:sz w:val="16"/>
          <w:szCs w:val="16"/>
          <w:u w:val="single" w:color="auto"/>
          <w:color w:val="auto"/>
        </w:rPr>
        <w:t>Objection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or (B) provides a written waiver of such right of any Objection Notice within the period described in clause (A)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30 calendar days after receipt by the Corporate Taxpayer of an Objection Notice, the Corporate Taxpayer and the TRA Party Representative shall employ the reconciliation procedures as described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w:t>
      </w:r>
    </w:p>
    <w:p>
      <w:pPr>
        <w:spacing w:after="0" w:line="66" w:lineRule="exact"/>
        <w:rPr>
          <w:sz w:val="20"/>
          <w:szCs w:val="20"/>
          <w:color w:val="auto"/>
        </w:rPr>
      </w:pPr>
    </w:p>
    <w:p>
      <w:pPr>
        <w:ind w:firstLine="987"/>
        <w:spacing w:after="0" w:line="286" w:lineRule="auto"/>
        <w:tabs>
          <w:tab w:leader="none" w:pos="1246"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Amended Schedule</w:t>
      </w:r>
      <w:r>
        <w:rPr>
          <w:rFonts w:ascii="Arial" w:cs="Arial" w:eastAsia="Arial" w:hAnsi="Arial"/>
          <w:sz w:val="16"/>
          <w:szCs w:val="16"/>
          <w:color w:val="auto"/>
        </w:rPr>
        <w:t>. The applicable Schedule for any Taxable Year may be amended from time to time by the Corporate Taxpayer (i)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Determination affecting such Schedule, (ii) to correct inaccuracies in such Schedule, including those identified as a result of the receipt of additional factual information relating to a Taxable Year after the date such Schedule was provided to the TRA Party Representative,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The Corporate Taxpayer shall provide an Amended Schedule to the TRA Party Representative within 30 calendar days of the occurrence of an event referenced in clauses (i) through (vi) above. In the event a Schedule is amended after such Schedule becomes final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if applicable, </w:t>
      </w:r>
      <w:r>
        <w:rPr>
          <w:rFonts w:ascii="Arial" w:cs="Arial" w:eastAsia="Arial" w:hAnsi="Arial"/>
          <w:sz w:val="16"/>
          <w:szCs w:val="16"/>
          <w:u w:val="single" w:color="auto"/>
          <w:color w:val="auto"/>
        </w:rPr>
        <w:t>Section 7.9</w:t>
      </w:r>
      <w:r>
        <w:rPr>
          <w:rFonts w:ascii="Arial" w:cs="Arial" w:eastAsia="Arial" w:hAnsi="Arial"/>
          <w:sz w:val="16"/>
          <w:szCs w:val="16"/>
          <w:color w:val="auto"/>
        </w:rPr>
        <w:t>,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3" w:lineRule="auto"/>
        <w:tabs>
          <w:tab w:leader="none" w:pos="1236"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Within three Business Days after a Tax Benefit Schedule delivered to the TRA Party Representative becomes final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if applicable,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Corporate Taxpayer shall pay to the Agent in cash (by wire transfer of immediately available funds to the bank account previously designated by the Agent) for disbursement by the Agent to the TRA Parties, in accordance with their respective share of such payment as set forth on the Payment Schedule, the Tax Benefit Payment determined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for such Taxable Year that is Attributable to each such TRA Party. Each such Tax Benefit Payment shall be made in cash by wire transfer of immediately available funds to the bank account previously designated by such TRA Party to the Agent or as otherwise agreed by the Agent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Exchange (other than amounts accounted for as interest under the Code) shall not exceed, as specified by a TRA Party, 50% of the fair market value of the Class A Shares or cash received in the relevant Exchange. Without limiting the Corporate Taxpayer’s ability to make offsets against Tax Benefit Payments to the extent permitted by</w:t>
      </w:r>
    </w:p>
    <w:p>
      <w:pPr>
        <w:spacing w:after="0" w:line="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3.5</w:t>
      </w:r>
      <w:r>
        <w:rPr>
          <w:rFonts w:ascii="Arial" w:cs="Arial" w:eastAsia="Arial" w:hAnsi="Arial"/>
          <w:sz w:val="18"/>
          <w:szCs w:val="18"/>
          <w:color w:val="auto"/>
        </w:rPr>
        <w:t>,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81" w:lineRule="exact"/>
        <w:rPr>
          <w:rFonts w:ascii="Arial" w:cs="Arial" w:eastAsia="Arial" w:hAnsi="Arial"/>
          <w:sz w:val="16"/>
          <w:szCs w:val="16"/>
          <w:color w:val="auto"/>
        </w:rPr>
      </w:pPr>
    </w:p>
    <w:p>
      <w:pPr>
        <w:ind w:firstLine="987"/>
        <w:spacing w:after="0" w:line="287" w:lineRule="auto"/>
        <w:tabs>
          <w:tab w:leader="none" w:pos="124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Tax Benefit Payment</w:t>
      </w:r>
      <w:r>
        <w:rPr>
          <w:rFonts w:ascii="Arial" w:cs="Arial" w:eastAsia="Arial" w:hAnsi="Arial"/>
          <w:sz w:val="16"/>
          <w:szCs w:val="16"/>
          <w:color w:val="auto"/>
        </w:rPr>
        <w:t xml:space="preserve">”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Exchange, unless otherwise required by law. Subject to </w:t>
      </w:r>
      <w:r>
        <w:rPr>
          <w:rFonts w:ascii="Arial" w:cs="Arial" w:eastAsia="Arial" w:hAnsi="Arial"/>
          <w:sz w:val="16"/>
          <w:szCs w:val="16"/>
          <w:u w:val="single" w:color="auto"/>
          <w:color w:val="auto"/>
        </w:rPr>
        <w:t>Section 3.3(a)</w:t>
      </w:r>
      <w:r>
        <w:rPr>
          <w:rFonts w:ascii="Arial" w:cs="Arial" w:eastAsia="Arial" w:hAnsi="Arial"/>
          <w:sz w:val="16"/>
          <w:szCs w:val="16"/>
          <w:color w:val="auto"/>
        </w:rPr>
        <w: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xml:space="preserve">” for a Taxable Year means an amount equal to the excess, if any, of 85% of the Cumulative Net Realized Tax Benefit as of the end of such Taxable Year over the total amount of payments previously made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(excluding payments attributable to Interest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Arial" w:cs="Arial" w:eastAsia="Arial" w:hAnsi="Arial"/>
          <w:sz w:val="16"/>
          <w:szCs w:val="16"/>
          <w:u w:val="single" w:color="auto"/>
          <w:color w:val="auto"/>
        </w:rPr>
        <w:t>Interest Amount</w:t>
      </w:r>
      <w:r>
        <w:rPr>
          <w:rFonts w:ascii="Arial" w:cs="Arial" w:eastAsia="Arial" w:hAnsi="Arial"/>
          <w:sz w:val="16"/>
          <w:szCs w:val="16"/>
          <w:color w:val="auto"/>
        </w:rPr>
        <w:t xml:space="preserve">” means an amount equal to the interest on the Net Tax Benefit calculated at the Agreed Rate from the due date (without extensions) for filing the Corporate Taxpayer Return with respect to Taxes for such Taxable Year until the payment date under </w:t>
      </w:r>
      <w:r>
        <w:rPr>
          <w:rFonts w:ascii="Arial" w:cs="Arial" w:eastAsia="Arial" w:hAnsi="Arial"/>
          <w:sz w:val="16"/>
          <w:szCs w:val="16"/>
          <w:u w:val="single" w:color="auto"/>
          <w:color w:val="auto"/>
        </w:rPr>
        <w:t>Section 3.1(a)</w:t>
      </w:r>
      <w:r>
        <w:rPr>
          <w:rFonts w:ascii="Arial" w:cs="Arial" w:eastAsia="Arial" w:hAnsi="Arial"/>
          <w:sz w:val="16"/>
          <w:szCs w:val="16"/>
          <w:color w:val="auto"/>
        </w:rPr>
        <w:t>. The Net Tax Benefit and the Interest Amount shall be determined separately with respect to each Exchange, on a Unit by Unit basis by reference to the resulting Basis Adjustment to the Corporate Taxpayer. Notwithstanding the foregoing, for each Taxable Year ending on or after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33" w:name="page134"/>
    <w:bookmarkEnd w:id="13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a Change of Control that occurs after the Closing Date, all Tax Benefit Payments, whether paid with respect to the Units that were Exchanged</w:t>
      </w:r>
    </w:p>
    <w:p>
      <w:pPr>
        <w:spacing w:after="0" w:line="46" w:lineRule="exact"/>
        <w:rPr>
          <w:sz w:val="20"/>
          <w:szCs w:val="20"/>
          <w:color w:val="auto"/>
        </w:rPr>
      </w:pPr>
    </w:p>
    <w:p>
      <w:pPr>
        <w:ind w:left="224" w:hanging="224"/>
        <w:spacing w:after="0"/>
        <w:tabs>
          <w:tab w:leader="none" w:pos="2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prior to the date of such Change of Control or (ii) on or after the date of such Change of Control, shall be calculated by utilizing the assumptions (i),</w:t>
      </w:r>
    </w:p>
    <w:p>
      <w:pPr>
        <w:spacing w:after="0" w:line="32" w:lineRule="exact"/>
        <w:rPr>
          <w:rFonts w:ascii="Arial" w:cs="Arial" w:eastAsia="Arial" w:hAnsi="Arial"/>
          <w:sz w:val="16"/>
          <w:szCs w:val="16"/>
          <w:color w:val="auto"/>
        </w:rPr>
      </w:pPr>
    </w:p>
    <w:p>
      <w:pPr>
        <w:ind w:left="4" w:right="220" w:hanging="4"/>
        <w:spacing w:after="0" w:line="260" w:lineRule="auto"/>
        <w:tabs>
          <w:tab w:leader="none" w:pos="3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and (iv) set forth in the definition of Valuation Assumptions, substituting, in each case, the terms “the closing date of a Change of Control” for an “Early Termination Date.”</w:t>
      </w:r>
    </w:p>
    <w:p>
      <w:pPr>
        <w:spacing w:after="0" w:line="185"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xml:space="preserve">. It is intended that the provisions of this Agreement will result in the payments specified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Payments; Coordination of Benefits With Other Tax Receivable Agreements</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987"/>
        <w:spacing w:after="0" w:line="25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to the extent that the aggregate Tax benefit of the Corporate Taxpayer with respect to the Basis Adjustments or Imputed Interest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187" w:lineRule="exact"/>
        <w:rPr>
          <w:rFonts w:ascii="Arial" w:cs="Arial" w:eastAsia="Arial" w:hAnsi="Arial"/>
          <w:sz w:val="18"/>
          <w:szCs w:val="18"/>
          <w:color w:val="auto"/>
        </w:rPr>
      </w:pPr>
    </w:p>
    <w:p>
      <w:pPr>
        <w:jc w:val="both"/>
        <w:ind w:left="4" w:firstLine="987"/>
        <w:spacing w:after="0" w:line="259" w:lineRule="auto"/>
        <w:tabs>
          <w:tab w:leader="none" w:pos="12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for any reason (including as contemplated by </w:t>
      </w:r>
      <w:r>
        <w:rPr>
          <w:rFonts w:ascii="Arial" w:cs="Arial" w:eastAsia="Arial" w:hAnsi="Arial"/>
          <w:sz w:val="18"/>
          <w:szCs w:val="18"/>
          <w:u w:val="single" w:color="auto"/>
          <w:color w:val="auto"/>
        </w:rPr>
        <w:t>Section 3.3(a)</w:t>
      </w:r>
      <w:r>
        <w:rPr>
          <w:rFonts w:ascii="Arial" w:cs="Arial" w:eastAsia="Arial" w:hAnsi="Arial"/>
          <w:sz w:val="18"/>
          <w:szCs w:val="18"/>
          <w:color w:val="auto"/>
        </w:rPr>
        <w:t>)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86" w:lineRule="exact"/>
        <w:rPr>
          <w:rFonts w:ascii="Arial" w:cs="Arial" w:eastAsia="Arial" w:hAnsi="Arial"/>
          <w:sz w:val="18"/>
          <w:szCs w:val="18"/>
          <w:color w:val="auto"/>
        </w:rPr>
      </w:pPr>
    </w:p>
    <w:p>
      <w:pPr>
        <w:ind w:left="4" w:right="760" w:firstLine="987"/>
        <w:spacing w:after="0" w:line="27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effect of any other similar tax receivable agreement entered into after the date of this Agreement (“</w:t>
      </w:r>
      <w:r>
        <w:rPr>
          <w:rFonts w:ascii="Arial" w:cs="Arial" w:eastAsia="Arial" w:hAnsi="Arial"/>
          <w:sz w:val="18"/>
          <w:szCs w:val="18"/>
          <w:u w:val="single" w:color="auto"/>
          <w:color w:val="auto"/>
        </w:rPr>
        <w:t>Other Tax 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shall not be taken into account in respect of any calculations made hereunder.</w:t>
      </w:r>
    </w:p>
    <w:p>
      <w:pPr>
        <w:spacing w:after="0" w:line="170"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Sufficient Funds</w:t>
      </w:r>
      <w:r>
        <w:rPr>
          <w:rFonts w:ascii="Arial" w:cs="Arial" w:eastAsia="Arial" w:hAnsi="Arial"/>
          <w:sz w:val="17"/>
          <w:szCs w:val="17"/>
          <w:color w:val="auto"/>
        </w:rPr>
        <w:t>. The Corporate Taxpayer shall use commercially reasonable efforts to ensure that it has sufficient available funds to make all payments due under this Agreement, including using commercially reasonable efforts to cause OpCo to make distributions to the Corporate Taxpayer to make such payments so long as such distributions do not violate (a) a prohibition, restriction or covenant under any prohibition, restriction or covenant under any credit agreement, loan agreement, note, indenture or other agreement governing indebtedness of the Corporate Taxpayer or its Subsidiaries (including any Senior Obligation) or (b) restrictions under applicable law.</w:t>
      </w:r>
    </w:p>
    <w:p>
      <w:pPr>
        <w:spacing w:after="0" w:line="176"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Overpayments</w:t>
      </w:r>
      <w:r>
        <w:rPr>
          <w:rFonts w:ascii="Arial" w:cs="Arial" w:eastAsia="Arial" w:hAnsi="Arial"/>
          <w:sz w:val="17"/>
          <w:szCs w:val="17"/>
          <w:color w:val="auto"/>
        </w:rPr>
        <w:t xml:space="preserve">. To the extent the Corporate Taxpayer makes a payment to a TRA Party (through the Agent or otherwise) in respect of a particular Taxable Year under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in an amount in excess of the amount of such payment that should have been made to such TRA Party in respect of such Taxable Year (taking into account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under the terms of this Agreement, then such TRA Party shall not receive further payments under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until such TRA Party has foregone an amount of payments equal to such excess.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34" w:name="page135"/>
    <w:bookmarkEnd w:id="134"/>
    <w:p>
      <w:pPr>
        <w:ind w:right="1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Arial" w:cs="Arial" w:eastAsia="Arial" w:hAnsi="Arial"/>
          <w:sz w:val="16"/>
          <w:szCs w:val="16"/>
          <w:u w:val="single" w:color="auto"/>
          <w:color w:val="auto"/>
        </w:rPr>
        <w:t>Payment Schedule</w:t>
      </w:r>
      <w:r>
        <w:rPr>
          <w:rFonts w:ascii="Arial" w:cs="Arial" w:eastAsia="Arial" w:hAnsi="Arial"/>
          <w:sz w:val="16"/>
          <w:szCs w:val="16"/>
          <w:color w:val="auto"/>
        </w:rPr>
        <w:t>. The allocation of the payments hereunder in accordance with the Payment Schedule shall be binding on all TRA Parties and shall be used by the Agent and the Corporation for purposes of disbursement of any such payments. In making any payments or disbursements pursuant to this Agreement, the Agent and the Corporation shall be entitled to rely fully on the shares of the TRA Parties as set forth on the Payment Schedule and shall not be liable to any TRA Party for the accuracy of the determination of such shares. Each of the TRA Parties acknowledges and agrees that it has agreed to each Payment Schedule, as it may be amended from time to time in accordance with this Agreement.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Breach of Agreement</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87" w:lineRule="auto"/>
        <w:tabs>
          <w:tab w:leader="none" w:pos="123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the Agent for disbursement to the TRA Parties, in accordance with their respective shares as set forth on the Payment Schedule, the Early Termination Payment due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in respect of all TRA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Agreement shall only terminate upon the receipt of the Early Termination Payment by all TRA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Corporate Taxpayer may withdraw any notice to execute its termination rights under this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prior to the time at which any Early Termination Payment has been paid. Upon payment of the Early Termination Payment to all of the TRA Parties, none of the TRA Parties, the Agent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clauses (i) or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71" w:lineRule="exact"/>
        <w:rPr>
          <w:rFonts w:ascii="Arial" w:cs="Arial" w:eastAsia="Arial" w:hAnsi="Arial"/>
          <w:sz w:val="16"/>
          <w:szCs w:val="16"/>
          <w:color w:val="auto"/>
        </w:rPr>
      </w:pPr>
    </w:p>
    <w:p>
      <w:pPr>
        <w:ind w:firstLine="987"/>
        <w:spacing w:after="0" w:line="271" w:lineRule="auto"/>
        <w:tabs>
          <w:tab w:leader="none" w:pos="124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event that the Corporate Taxpayer (i) breaches any of its material obligations under this Agreement, or (ii)(A) the Corporate Taxpayer commences any case, proceeding or other action (1) under any existing or future law of any jurisdiction, domestic or foreign, relating to bankruptcy, insolvency, reorganization or relief of debtors, seeking to have an order for relief entered with respect to it, seeking to adjudicate it a bankrupt or insolvent or seeking reorganization, arrangement, adjustment, winding-up, liquidation, dissolution, composition or other relief with respect to it or its debts or (2)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60 days, all obligations hereunder shall be accelerated and such obligations shall be calculated as if an Early Termination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135" w:name="page136"/>
    <w:bookmarkEnd w:id="135"/>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had been delivered on the date of such breach and shall include, but not be limited to, (x) the Early Termination Payments calculated as if an Early Termination Notice had been delivered on the date of a breach, (y) any Tax Benefit Payment in respect of a TRA Party agreed to by the Corporate Taxpayer and such TRA Party as due and payable but unpaid as of the date of a breach and (z) any Tax Benefit Payment in respect of any TRA Party due for the Taxable Year ending with or including the date of a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procedures similar to the procedures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(x), (y) and</w:t>
      </w:r>
    </w:p>
    <w:p>
      <w:pPr>
        <w:spacing w:after="0" w:line="4" w:lineRule="exact"/>
        <w:rPr>
          <w:sz w:val="20"/>
          <w:szCs w:val="20"/>
          <w:color w:val="auto"/>
        </w:rPr>
      </w:pPr>
    </w:p>
    <w:p>
      <w:pPr>
        <w:ind w:left="4" w:right="120" w:hanging="4"/>
        <w:spacing w:after="0" w:line="281" w:lineRule="auto"/>
        <w:tabs>
          <w:tab w:leader="none" w:pos="24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above or to seek specific performance of the terms hereof. The parties hereto agree that the failure by the Corporate Taxpayer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by the Corporate Taxpayer to make a payment due pursuant to this Agreement within three months of the date such payment is due. Notwithstanding anything in this Agreement to the contrary, it shall not be a breach of this Agreement by the Corporate Taxpayer if the Agent fails to make any payment due pursuant to this Agreement or if the Corporate Taxpayer fails to make any Tax Benefit Payment when due to the extent that the Corporate Taxpayer</w:t>
      </w:r>
    </w:p>
    <w:p>
      <w:pPr>
        <w:spacing w:after="0" w:line="3"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(I) has insufficient funds, or cannot make such payment as a result of obligations imposed in connection with any Senior Obligations, and cannot take commercially reasonable actions to obtain sufficient funds, to make such payment or (II) would become insolvent as a result of making such payment (in each case, as determined by the Board in good faith) (clauses (I) and (II) together, the “</w:t>
      </w:r>
      <w:r>
        <w:rPr>
          <w:rFonts w:ascii="Arial" w:cs="Arial" w:eastAsia="Arial" w:hAnsi="Arial"/>
          <w:sz w:val="18"/>
          <w:szCs w:val="18"/>
          <w:u w:val="single" w:color="auto"/>
          <w:color w:val="auto"/>
        </w:rPr>
        <w:t>Liquidity Exceptions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apply to such late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193" w:lineRule="exact"/>
        <w:rPr>
          <w:rFonts w:ascii="Arial" w:cs="Arial" w:eastAsia="Arial" w:hAnsi="Arial"/>
          <w:sz w:val="16"/>
          <w:szCs w:val="16"/>
          <w:color w:val="auto"/>
        </w:rPr>
      </w:pPr>
    </w:p>
    <w:p>
      <w:pPr>
        <w:ind w:left="4" w:right="20" w:firstLine="987"/>
        <w:spacing w:after="0" w:line="269" w:lineRule="auto"/>
        <w:tabs>
          <w:tab w:leader="none" w:pos="124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In the event of a Change of Control, the Corporate Taxpayer shall provide written notice of such Change of Control to the TRA Parties in accordance with the procedures set forth in Section 11.07 of the LLC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(i) the Early Termination Payments calculated with respect to such TRA Parties as if the Early Termination Date is the date of such Change of Control, (ii) any Tax Benefit Payment due and payable and that remains unpaid as of the date of such Change of Control and (iii) any Tax Benefit Payment in respect of any TRA Party due for the Taxable Year ending with or including the date of such Change of Control. In the event of a Change of Control, any Early Termination Payment described in the preceding sentence shall be calculated utilizing the assumptions (i), (ii) and (iii) set forth in the definition of Valuation Assumptions, substituting, in each case, and in the lead-in to such definition, the terms “date of a Change of Control” for an “Early Termination Date.” Any Exchanges with respect to which a payment has been made under this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shall be excluded in calculating any future Tax Benefit Payments or Early Termination Payments, and this Agreement shall have no further application to such Exchanges.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If the Corporate Taxpayer chooses to exercise its right of early termination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4.1(a)</w:t>
      </w:r>
      <w:r>
        <w:rPr>
          <w:rFonts w:ascii="Arial" w:cs="Arial" w:eastAsia="Arial" w:hAnsi="Arial"/>
          <w:sz w:val="16"/>
          <w:szCs w:val="16"/>
          <w:color w:val="auto"/>
        </w:rPr>
        <w:t>, the Corporate Taxpayer shall deliver to each TRA Party a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w:t>
      </w:r>
      <w:r>
        <w:rPr>
          <w:rFonts w:ascii="Arial" w:cs="Arial" w:eastAsia="Arial" w:hAnsi="Arial"/>
          <w:sz w:val="17"/>
          <w:szCs w:val="17"/>
          <w:color w:val="auto"/>
        </w:rPr>
        <w:t>”) specifying the Corporate Taxpayer’s intention to exercise such right and showing in reasonable detail the calculation of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Termination Payment(s) due for each TRA Party. Each Early Termination Schedule shall become final and binding on all parties hereto 30 calendar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the first date on which all TRA Parties are treated as having received such Schedule or amendment thereto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unless,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13"/>
          <w:szCs w:val="13"/>
          <w:color w:val="auto"/>
        </w:rPr>
        <w:t>th</w:t>
      </w:r>
      <w:r>
        <w:rPr>
          <w:rFonts w:ascii="Arial" w:cs="Arial" w:eastAsia="Arial" w:hAnsi="Arial"/>
          <w:sz w:val="16"/>
          <w:szCs w:val="16"/>
          <w:color w:val="auto"/>
        </w:rPr>
        <w:t>-calendar day, the TRA Party Representative provides (a) the Corporate Taxpayer with notice of a material objection to such Schedule made in good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faith (the “</w:t>
      </w:r>
      <w:r>
        <w:rPr>
          <w:rFonts w:ascii="Arial" w:cs="Arial" w:eastAsia="Arial" w:hAnsi="Arial"/>
          <w:sz w:val="17"/>
          <w:szCs w:val="17"/>
          <w:u w:val="single" w:color="auto"/>
          <w:color w:val="auto"/>
        </w:rPr>
        <w:t>Material Objection Notice</w:t>
      </w:r>
      <w:r>
        <w:rPr>
          <w:rFonts w:ascii="Arial" w:cs="Arial" w:eastAsia="Arial" w:hAnsi="Arial"/>
          <w:sz w:val="17"/>
          <w:szCs w:val="17"/>
          <w:color w:val="auto"/>
        </w:rPr>
        <w:t>”) or (b) a written waiver of such right of a Material Objection Notice, in which case such Schedule will become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binding on the date the waiver is received by the Corporate Taxpayer (the “</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If the Corporate Taxpayer and the TRA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Representative, for any reason, are unable to successfully resolve the issues raised in such notice within 30 calendar days after receipt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Corporate Taxpayer of the Material Objection Notice, the Corporate Taxpayer and the TRA Party Representative shall employ the Reconciliation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Procedures in which case such Schedule shall become binding ten calendar days after the conclusion of the Reconciliation Procedures.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Within three Business Days after the Early Termination Effective Date, the Corporate Taxpayer shall pay to the Agent for disbursement to the TRA Parties, in accordance with their respective shares as set forth on the Payment Schedule, an amount equal to the Early Termination Payment in respect of all TRA Parties. Such payment shall be made in cash by wire transfer of immediately available funds to a bank account or accounts designated by each TRA Party or as otherwise agreed by the Agent and such TRA Party.</w:t>
      </w:r>
    </w:p>
    <w:p>
      <w:pPr>
        <w:spacing w:after="0" w:line="186" w:lineRule="exact"/>
        <w:rPr>
          <w:rFonts w:ascii="Arial" w:cs="Arial" w:eastAsia="Arial" w:hAnsi="Arial"/>
          <w:sz w:val="18"/>
          <w:szCs w:val="18"/>
          <w:color w:val="auto"/>
        </w:rPr>
      </w:pPr>
    </w:p>
    <w:p>
      <w:pPr>
        <w:ind w:right="20" w:firstLine="987"/>
        <w:spacing w:after="0" w:line="272" w:lineRule="auto"/>
        <w:tabs>
          <w:tab w:leader="none" w:pos="12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Paymen</w:t>
      </w:r>
      <w:r>
        <w:rPr>
          <w:rFonts w:ascii="Arial" w:cs="Arial" w:eastAsia="Arial" w:hAnsi="Arial"/>
          <w:sz w:val="17"/>
          <w:szCs w:val="17"/>
          <w:color w:val="auto"/>
        </w:rPr>
        <w:t>t” in respect of a TRA Party means an amount equal to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assuming an extension, of the U.S. federal income tax return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AND LATE PAYMENTS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Corporate Taxpayer to the Agent or the TRA Parties under this Agreement shall rank (a) subordinate and junior in right of payment to any principal, interest or other amounts due and payable in respect of any obligations in respect of indebtedness for borrowed money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37" w:name="page138"/>
    <w:bookmarkEnd w:id="13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Taxpayer and its Subsidiaries (“</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(b) senior in right of payment to any principal, interest or other amounts due and payable in respect of any Other Tax Receivable Obligation and (c)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apply to such payment. To the extent the Corporate Taxpayer or its Subsidiaries (including OpCo and its Subsidiaries) incur, create or assume any Senior Obligations from and after the date hereof, the Corporate Taxpayer shall, and shall cause its Subsidiaries to, endeavor in good faith to ensure that such indebtedness permits the amounts payable hereunder to be paid.</w:t>
      </w:r>
    </w:p>
    <w:p>
      <w:pPr>
        <w:spacing w:after="0" w:line="196"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Late Payments by the Corporate Taxpayer</w:t>
      </w:r>
      <w:r>
        <w:rPr>
          <w:rFonts w:ascii="Arial" w:cs="Arial" w:eastAsia="Arial" w:hAnsi="Arial"/>
          <w:sz w:val="17"/>
          <w:szCs w:val="17"/>
          <w:color w:val="auto"/>
        </w:rPr>
        <w:t xml:space="preserve">. The amount of all or any portion of any Tax Benefit Payment or Early Termination Payment not made by the Corporate Taxpayer to the Agent or the TRA Parties when due under the terms of this Agreement, whether as a result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otherwise, shall be payable together with any interest thereon, computed at the Default Rate and commencing from the date on which such Tax Benefit Payment or Early Termination Payment was due and payable.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DISPUTES; CONSISTENCY; COOPERATION</w:t>
      </w:r>
    </w:p>
    <w:p>
      <w:pPr>
        <w:spacing w:after="0" w:line="211" w:lineRule="exact"/>
        <w:rPr>
          <w:sz w:val="20"/>
          <w:szCs w:val="20"/>
          <w:color w:val="auto"/>
        </w:rPr>
      </w:pPr>
    </w:p>
    <w:p>
      <w:pPr>
        <w:jc w:val="both"/>
        <w:ind w:right="160" w:firstLine="44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Participation in the Corporate Taxpayer’s and OpCo’s Tax Matters</w:t>
      </w:r>
      <w:r>
        <w:rPr>
          <w:rFonts w:ascii="Arial" w:cs="Arial" w:eastAsia="Arial" w:hAnsi="Arial"/>
          <w:sz w:val="16"/>
          <w:szCs w:val="16"/>
          <w:color w:val="auto"/>
        </w:rPr>
        <w:t>. Except as otherwise provided in this Agreement, the BCA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Corporate Taxpayer and OpCo shall not be required to take any action that is inconsistent with any provision of the LLC Agreement.</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The Corporate Taxpayer and the TRA Parties agree to report and cause to be reported for all purposes, including United States federal, state and local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hereto unless otherwise required by law. The Corporate Taxpayer shall (and shall cause OpCo and its other Subsidiaries to) use commercially reasonable efforts (which, for the avoidance of doubt, shall include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38" w:name="page139"/>
    <w:bookmarkEnd w:id="138"/>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at the following address (or to such other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If to the Corporate Taxpayer,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39" w:name="page140"/>
    <w:bookmarkEnd w:id="139"/>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If to the Agent,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(iii) If to the TRA Party Representative,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(iv) If to the TRA Parties, to the address set forth in the records of OpCo from time to time.</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hererto and delivered to the other parties hereto, it being understood that all parties hereto need not sign the same counterpart. Delivery of an executed signature page to this Agreement by facsimile transmission shall be as effective as delivery of a manually signed counterpart of this Agreement.</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Entire Agreement; Third Party Beneficiaries</w:t>
      </w:r>
      <w:r>
        <w:rPr>
          <w:rFonts w:ascii="Arial" w:cs="Arial" w:eastAsia="Arial" w:hAnsi="Arial"/>
          <w:sz w:val="16"/>
          <w:szCs w:val="16"/>
          <w:color w:val="auto"/>
        </w:rPr>
        <w:t>. This Agreement (together with all Annexes, Exhibits and Schedules to this Agreement), the BCA (together with the Ancillary Documents), the LLC Agreement and that certain Mutual Confidentiality Agreement, dated as of May 24, 2021, by and betweenOpCo and the Corporate Taxpayer constitutes the entire agreement and supersedes all prior agreements and understandings, both written and oral, among the parties hereto with respect to the subject matter hereof. Nothing in this Agreement, express or implied, is intended to or shall confer upon any other Person any right, benefit or remedy of any nature whatsoever under or by reason of this Agreement.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140" w:name="page141"/>
    <w:bookmarkEnd w:id="140"/>
    <w:p>
      <w:pPr>
        <w:ind w:right="2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4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Arial" w:cs="Arial" w:eastAsia="Arial" w:hAnsi="Arial"/>
          <w:sz w:val="17"/>
          <w:szCs w:val="17"/>
          <w:u w:val="single" w:color="auto"/>
          <w:color w:val="auto"/>
        </w:rPr>
        <w:t>Joinder Requirement</w:t>
      </w:r>
      <w:r>
        <w:rPr>
          <w:rFonts w:ascii="Arial" w:cs="Arial" w:eastAsia="Arial" w:hAnsi="Arial"/>
          <w:sz w:val="17"/>
          <w:szCs w:val="17"/>
          <w:color w:val="auto"/>
        </w:rPr>
        <w:t xml:space="preserve">”), agreeing to become a TRA Party for all purposes of this Agreement. For the avoidance of doubt, if a TRA Party transfers Units in accordance with the terms of the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shall be null and void.</w:t>
      </w:r>
    </w:p>
    <w:p>
      <w:pPr>
        <w:spacing w:after="0" w:line="7" w:lineRule="exact"/>
        <w:rPr>
          <w:rFonts w:ascii="Arial" w:cs="Arial" w:eastAsia="Arial" w:hAnsi="Arial"/>
          <w:sz w:val="17"/>
          <w:szCs w:val="17"/>
          <w:color w:val="auto"/>
        </w:rPr>
      </w:pPr>
    </w:p>
    <w:p>
      <w:pPr>
        <w:ind w:firstLine="987"/>
        <w:spacing w:after="0" w:line="287" w:lineRule="auto"/>
        <w:tabs>
          <w:tab w:leader="none" w:pos="12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41" w:name="page142"/>
    <w:bookmarkEnd w:id="14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this sentence, all payments made to any TRA Party pursuant to this Agreement since the date of such most recent Exchange). Notwithstanding the foregoing, the Person designated as the Agent may not be changed without the prior written consent of the Corporate Taxpayer and the TRA Party Representative (in each case, not to be unreasonably withheld, conditioned or delayed).</w:t>
      </w:r>
    </w:p>
    <w:p>
      <w:pPr>
        <w:spacing w:after="0" w:line="184" w:lineRule="exact"/>
        <w:rPr>
          <w:sz w:val="20"/>
          <w:szCs w:val="20"/>
          <w:color w:val="auto"/>
        </w:rPr>
      </w:pPr>
    </w:p>
    <w:p>
      <w:pPr>
        <w:ind w:firstLine="987"/>
        <w:spacing w:after="0" w:line="255"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Agreement and all of the terms and provisions of this Agreement shall be binding upon, shall inure solely to the benefit of and shall be enforceable by each of the parties hereto and their respective successors, permitted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Arial" w:cs="Arial" w:eastAsia="Arial" w:hAnsi="Arial"/>
          <w:sz w:val="18"/>
          <w:szCs w:val="18"/>
          <w:u w:val="single" w:color="auto"/>
          <w:color w:val="auto"/>
        </w:rPr>
        <w:t>Mandatory Assignment</w:t>
      </w:r>
      <w:r>
        <w:rPr>
          <w:rFonts w:ascii="Arial" w:cs="Arial" w:eastAsia="Arial" w:hAnsi="Arial"/>
          <w:sz w:val="18"/>
          <w:szCs w:val="18"/>
          <w:color w:val="auto"/>
        </w:rPr>
        <w:t>”).</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Waiver of Jury Trial, Jurisdiction</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PARTY TO THIS AGREEMENT HEREBY IRREVOCABLY WAIVES ALL RIGHTS TO TRIAL BY JURY IN ANY PROCEEDING BROUGHT TO RESOLVE ANY DISPUTE BETWEEN OR AMONG ANY OF THE PARTIES HERETO (WHETHER ARISING IN CONTRACT, TORT OR OTHERWISE) ARISING OUT OF, CONNECTED WITH, RELATED OR INCIDENTAL TO THIS AGREEMENT, THE TRANSACTIONS CONTEMPLATED BY THIS AGREEMENT AND/OR THE RELATIONSHIPS ESTABLISHED AMONG THE PARTIES HEREUNDER. THE PARTIES HERETO FURTHER REPRESENT AND WARRANT THAT EACH HAS REVIEWED THIS WAIVER WITH ITS LEGAL COUNSEL, AND THAT EACH KNOWINGLY AND VOLUNTARILY WAIVES ITS JURY TRIAL RIGHTS FOLLOWING CONSULTATION WITH LEGAL COUNSEL.</w:t>
      </w:r>
    </w:p>
    <w:p>
      <w:pPr>
        <w:spacing w:after="0" w:line="194"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each of the parties hereto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however, shall affect the right of any party hereto to serve legal process in any other manner permitted by law or at equity. Each party hereto agrees that a final judgment in any action, suit or proceeding so brought shall be conclusive and may be enforced by suit on the judgment or in any other manner provided by law or at equity. The parties hereto hereby waive, to the fullest extent permitted by applicable law, any objection which they now or hereafter may have to personal jurisdiction or to the laying of venue of any such ancillary suit, action or proceeding brought in any court referred to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and the parties hereto agree not to plead or claim the same.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42" w:name="page143"/>
    <w:bookmarkEnd w:id="14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Corporate Taxpayer and the TRA Party Representative are unable to resolve a disagreement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respect to the matters (a) governed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(b) described in the definition of “LIBOR” within the relevant period designated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u w:val="single" w:color="auto"/>
          <w:color w:val="auto"/>
        </w:rPr>
        <w:t>Reconciliation Dispute</w:t>
      </w:r>
      <w:r>
        <w:rPr>
          <w:rFonts w:ascii="Arial" w:cs="Arial" w:eastAsia="Arial" w:hAnsi="Arial"/>
          <w:sz w:val="17"/>
          <w:szCs w:val="17"/>
          <w:color w:val="auto"/>
        </w:rPr>
        <w:t>”), the Reconciliation Dispute shall be submitted for determination to a nationally recognized expert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both the Corporate Taxpayer and the TRA Party Representative. The Expert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 partner or principal in a nationally recognized accounting or law firm, and unless the Corporate Taxpayer and the TRA Party Representative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writing otherwise, the Expert shall not, and the firm that employs the Expert shall not, have any material relationship with the Corporate Taxpayer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TRA Party Representative or other actual or potential conflict of interest. If the Corporate Taxpayer and the TRA Party Representative are unable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on an Expert within 15 calendar days of receipt by the respondent(s) of written notice of a Reconciliation Dispute, the Expert shall be appointed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International Chamber of Commerce Centre for Expertise. The Expert shall resolve any matter relating to the Basis Schedule or an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 or the Early Termination Schedule or an amendment thereto within 30 calendar days and shall resolve any matter relating to a Tax Benefit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or an amendment thereto within 15 calendar days or as soon thereafter as is reasonably practicable, in each case, after the matter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submitted to the Expert for resolution. Notwithstanding the preceding sentence, if the matter is not resolved before any payment that is the subject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disagreement would be due (in the absence of such disagreement) or any Tax Return reflecting the subject of a disagreement is due, the undisputed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shall be paid on the date prescribed by this Agreement and such Tax Return may be filed as prepared by the Corporate Taxpayer,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or amendment upon resolution. The costs and expenses relating to the engagement of such Expert or amending any Tax Return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borne by the Corporate Taxpayer except as provided in the next sentence. The Corporate Taxpayer and the TRA Party Representative shall bear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 respective costs and expenses of such proceeding, unless (i) the Expert adopts the TRA Party Representative’s position, in which case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Taxpayer shall reimburse the TRA Party Representative for any reasonable out-of-pocket costs and expenses in such proceeding or (ii) the Expert adopts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Corporate Taxpayer’s position, in which case the TRA Party Representative shall reimburse the Corporate Taxpayer for any reasonable out-of-pocket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costs and expenses in such proceeding. Any dispute as to whether a dispute is a Reconciliation Dispute within the meaning of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decided by the Expert. The Expert shall finally determine any Reconciliation Dispute and the determinations of the Expert pursuant to this </w:t>
      </w:r>
      <w:r>
        <w:rPr>
          <w:rFonts w:ascii="Arial" w:cs="Arial" w:eastAsia="Arial" w:hAnsi="Arial"/>
          <w:sz w:val="16"/>
          <w:szCs w:val="16"/>
          <w:u w:val="single" w:color="auto"/>
          <w:color w:val="auto"/>
        </w:rPr>
        <w:t>Section 7.9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binding on the Corporate Taxpayer and each of the TRA Parties and may be entered and enforced in any court having jurisdiction.</w:t>
      </w:r>
    </w:p>
    <w:p>
      <w:pPr>
        <w:spacing w:after="0" w:line="22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43" w:name="page144"/>
    <w:bookmarkEnd w:id="14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7.10</w:t>
      </w:r>
      <w:r>
        <w:rPr>
          <w:rFonts w:ascii="Arial" w:cs="Arial" w:eastAsia="Arial" w:hAnsi="Arial"/>
          <w:sz w:val="18"/>
          <w:szCs w:val="18"/>
          <w:color w:val="auto"/>
        </w:rPr>
        <w:t>)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or the Agent, such withheld amounts shall be treated for all purposes of this Agreement as having been paid to the Person in respect of whom such withholding was made. Each TRA Party shall promptly provide the Corporate Taxpayer or the Agent with any applicable Tax forms and certifications (including IRS Form W-9 or the applicable version of IRS Form W-8) reasonably requested by the Corporate Taxpayer or the Agent, as applicable, in connection with determining whether any such deductions and withholdings are required under the Code or any provision of state, local or foreign tax law and shall promptly provide an update of any such Tax form or certification previously delivered if the same has become incorrect or has expired.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7"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or local Tax law, then: (i) the provisions of this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spacing w:after="0" w:line="187" w:lineRule="exact"/>
        <w:rPr>
          <w:rFonts w:ascii="Arial" w:cs="Arial" w:eastAsia="Arial" w:hAnsi="Arial"/>
          <w:sz w:val="18"/>
          <w:szCs w:val="18"/>
          <w:color w:val="auto"/>
        </w:rPr>
      </w:pPr>
    </w:p>
    <w:p>
      <w:pPr>
        <w:ind w:firstLine="987"/>
        <w:spacing w:after="0" w:line="285"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or local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a transfer of a partnership interest shall be treated as a transfer of the transferring partner’s share of each of the assets and liabilities of that partnership.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44" w:name="page145"/>
    <w:bookmarkEnd w:id="14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4" w:lineRule="auto"/>
        <w:tabs>
          <w:tab w:leader="none" w:pos="12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Each TRA Party, the Agent and each of their respective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members, learned by the TRA Party or the Agent, as applicable, heretofore or hereafter.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not apply to (i) any information that has been made publicly available by the Corporate Taxpayer or any of its Affiliates, becomes public knowledge (except as a result of an act of the TRA Party or the Agent, as applicable, in violation of this Agreement) or is generally known,</w:t>
      </w:r>
    </w:p>
    <w:p>
      <w:pPr>
        <w:spacing w:after="0" w:line="2" w:lineRule="exact"/>
        <w:rPr>
          <w:rFonts w:ascii="Arial" w:cs="Arial" w:eastAsia="Arial" w:hAnsi="Arial"/>
          <w:sz w:val="16"/>
          <w:szCs w:val="16"/>
          <w:color w:val="auto"/>
        </w:rPr>
      </w:pPr>
    </w:p>
    <w:p>
      <w:pPr>
        <w:ind w:left="4" w:right="100" w:hanging="4"/>
        <w:spacing w:after="0" w:line="267" w:lineRule="auto"/>
        <w:tabs>
          <w:tab w:leader="none" w:pos="26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disclosure of information to the extent necessary for the TRA Party or the Agent, as applicable, to assert its rights hereunder or defend itself in connection with any action or proceeding arising out of, or relating to, this Agreement, (iii) any information that was in the possession of, or becomes available to, the TRA Party or the Agent, as applicable, from a source other than the Corporate Taxpayer, its Affiliates or its or their respective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source is not known by the TRA Party or the Agent, as applicable,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its respective assignees (and each employee, representative or other agent of such TRA Party or its assignees, as applicable) may disclose to any and all Persons the tax treatment and tax structure of the Corporate Taxpayer, OpCo and their respective Affiliates, and any of their respective transactions, and all materials of any kind (including opinions or other tax analyses) that are provided to the TRA Party relating to such tax treatment and tax structure.</w:t>
      </w:r>
    </w:p>
    <w:p>
      <w:pPr>
        <w:spacing w:after="0" w:line="185" w:lineRule="exact"/>
        <w:rPr>
          <w:rFonts w:ascii="Arial" w:cs="Arial" w:eastAsia="Arial" w:hAnsi="Arial"/>
          <w:sz w:val="17"/>
          <w:szCs w:val="17"/>
          <w:color w:val="auto"/>
        </w:rPr>
      </w:pPr>
    </w:p>
    <w:p>
      <w:pPr>
        <w:ind w:left="4" w:right="140" w:firstLine="987"/>
        <w:spacing w:after="0" w:line="279" w:lineRule="auto"/>
        <w:tabs>
          <w:tab w:leader="none" w:pos="125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If a TRA Party, the Agent or an assignee thereof commits a breach, or threatens to commit a breach, of any of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the Corporate Taxpayer shall have the right and remedy to seek to have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7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Change in Law</w:t>
      </w:r>
      <w:r>
        <w:rPr>
          <w:rFonts w:ascii="Arial" w:cs="Arial" w:eastAsia="Arial" w:hAnsi="Arial"/>
          <w:sz w:val="18"/>
          <w:szCs w:val="18"/>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45" w:name="page146"/>
    <w:bookmarkEnd w:id="14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specified by such TRA Party, this Agreement (a) shall cease to have further effect with respect to such TRA Party, (b) shall not apply to an Exchange by such TRA Party occurring after a date specified by such TRA Party or (c) shall otherwise be amended in a manner determined by such TRA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Independent Nature of TRA Parties’ Rights and Obligations</w:t>
      </w:r>
      <w:r>
        <w:rPr>
          <w:rFonts w:ascii="Arial" w:cs="Arial" w:eastAsia="Arial" w:hAnsi="Arial"/>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87"/>
        <w:spacing w:after="0" w:line="259"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86" w:lineRule="exact"/>
        <w:rPr>
          <w:rFonts w:ascii="Arial" w:cs="Arial" w:eastAsia="Arial" w:hAnsi="Arial"/>
          <w:sz w:val="18"/>
          <w:szCs w:val="18"/>
          <w:color w:val="auto"/>
        </w:rPr>
      </w:pPr>
    </w:p>
    <w:p>
      <w:pPr>
        <w:ind w:firstLine="987"/>
        <w:spacing w:after="0" w:line="271" w:lineRule="auto"/>
        <w:tabs>
          <w:tab w:leader="none" w:pos="12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If at any time the TRA Party Representative shall incur any out-of-pocket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w:t>
      </w:r>
      <w:r>
        <w:rPr>
          <w:rFonts w:ascii="Arial" w:cs="Arial" w:eastAsia="Arial" w:hAnsi="Arial"/>
          <w:sz w:val="17"/>
          <w:szCs w:val="17"/>
          <w:u w:val="single" w:color="auto"/>
          <w:color w:val="auto"/>
        </w:rPr>
        <w:t>Section 7.15(b)</w:t>
      </w:r>
      <w:r>
        <w:rPr>
          <w:rFonts w:ascii="Arial" w:cs="Arial" w:eastAsia="Arial" w:hAnsi="Arial"/>
          <w:sz w:val="17"/>
          <w:szCs w:val="17"/>
          <w:color w:val="auto"/>
        </w:rPr>
        <w:t>, it may do so at any time and from time to time in its sole discretion).</w:t>
      </w:r>
    </w:p>
    <w:p>
      <w:pPr>
        <w:spacing w:after="0" w:line="178" w:lineRule="exact"/>
        <w:rPr>
          <w:rFonts w:ascii="Arial" w:cs="Arial" w:eastAsia="Arial" w:hAnsi="Arial"/>
          <w:sz w:val="17"/>
          <w:szCs w:val="17"/>
          <w:color w:val="auto"/>
        </w:rPr>
      </w:pPr>
    </w:p>
    <w:p>
      <w:pPr>
        <w:ind w:right="20" w:firstLine="987"/>
        <w:spacing w:after="0" w:line="263"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bad faith or willful misconduct of the TRA Party Representative (it being understood that any act done or omitted pursuant to the advice of legal counsel shall be conclusive evidence of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arising out of or in connection with the acceptance or administration of its duties under this Agreement, and such liability, loss, damage, penalty, fine, cost or expense shall be treated as an expense subject to reimbursement pursuant to the provisions of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good faith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79" w:lineRule="exact"/>
        <w:rPr>
          <w:sz w:val="20"/>
          <w:szCs w:val="20"/>
          <w:color w:val="auto"/>
        </w:rPr>
      </w:pPr>
    </w:p>
    <w:p>
      <w:pPr>
        <w:ind w:right="80" w:firstLine="987"/>
        <w:spacing w:after="0" w:line="257" w:lineRule="auto"/>
        <w:tabs>
          <w:tab w:leader="none" w:pos="12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7.6(b)</w:t>
      </w:r>
      <w:r>
        <w:rPr>
          <w:rFonts w:ascii="Arial" w:cs="Arial" w:eastAsia="Arial" w:hAnsi="Arial"/>
          <w:sz w:val="18"/>
          <w:szCs w:val="18"/>
          <w:color w:val="auto"/>
        </w:rPr>
        <w:t>,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CORPORATE TAXPAYER</w:t>
      </w:r>
      <w:r>
        <w:rPr>
          <w:rFonts w:ascii="Arial" w:cs="Arial" w:eastAsia="Arial" w:hAnsi="Arial"/>
          <w:sz w:val="17"/>
          <w:szCs w:val="17"/>
          <w:b w:val="1"/>
          <w:bCs w:val="1"/>
          <w:color w:val="auto"/>
        </w:rPr>
        <w:t>:</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-19050</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[Signature Page to Tax Receivable Agreement]</w:t>
      </w:r>
    </w:p>
    <w:p>
      <w:pPr>
        <w:sectPr>
          <w:pgSz w:w="11900" w:h="16838" w:orient="portrait"/>
          <w:cols w:equalWidth="0" w:num="1">
            <w:col w:w="9579"/>
          </w:cols>
          <w:pgMar w:left="880" w:top="274" w:right="1440" w:bottom="1440" w:gutter="0" w:footer="0" w:header="0"/>
        </w:sectPr>
      </w:pPr>
    </w:p>
    <w:bookmarkStart w:id="148" w:name="page149"/>
    <w:bookmarkEnd w:id="148"/>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49" w:name="page150"/>
    <w:bookmarkEnd w:id="149"/>
    <w:p>
      <w:pPr>
        <w:ind w:left="5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 PARTY REPRESENTATIVE: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50" w:name="page151"/>
    <w:bookmarkEnd w:id="150"/>
    <w:p>
      <w:pPr>
        <w:ind w:left="5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 PARTIES</w:t>
      </w:r>
      <w:r>
        <w:rPr>
          <w:rFonts w:ascii="Arial" w:cs="Arial" w:eastAsia="Arial" w:hAnsi="Arial"/>
          <w:sz w:val="17"/>
          <w:szCs w:val="17"/>
          <w:b w:val="1"/>
          <w:bCs w:val="1"/>
          <w:color w:val="auto"/>
        </w:rPr>
        <w: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 Come]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PIPE Subscription Agreement</w:t>
      </w:r>
    </w:p>
    <w:p>
      <w:pPr>
        <w:sectPr>
          <w:pgSz w:w="11900" w:h="16838" w:orient="portrait"/>
          <w:cols w:equalWidth="0" w:num="1">
            <w:col w:w="9019"/>
          </w:cols>
          <w:pgMar w:left="1440" w:top="270"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Investor Rights Agreement</w:t>
      </w:r>
    </w:p>
    <w:p>
      <w:pPr>
        <w:sectPr>
          <w:pgSz w:w="11900" w:h="16838" w:orient="portrait"/>
          <w:cols w:equalWidth="0" w:num="1">
            <w:col w:w="9019"/>
          </w:cols>
          <w:pgMar w:left="1440" w:top="270"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Post-Closing ACT Certificate of Incorporation</w:t>
      </w:r>
    </w:p>
    <w:p>
      <w:pPr>
        <w:sectPr>
          <w:pgSz w:w="11900" w:h="16838" w:orient="portrait"/>
          <w:cols w:equalWidth="0" w:num="1">
            <w:col w:w="9019"/>
          </w:cols>
          <w:pgMar w:left="1440" w:top="270"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ind w:left="624" w:hanging="184"/>
        <w:spacing w:after="0"/>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Opal Fuels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436"/>
        <w:spacing w:after="0" w:line="277" w:lineRule="auto"/>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w:t>
      </w:r>
      <w:r>
        <w:rPr>
          <w:rFonts w:ascii="Arial" w:cs="Arial" w:eastAsia="Arial" w:hAnsi="Arial"/>
          <w:sz w:val="18"/>
          <w:szCs w:val="18"/>
          <w:color w:val="auto"/>
        </w:rPr>
        <w:t>t. The address of the Corporation’s registered office in the State of Delaware is c/o [•] and the name of its registered agent at such address is [•].</w:t>
      </w:r>
    </w:p>
    <w:p>
      <w:pPr>
        <w:spacing w:after="0" w:line="62" w:lineRule="exact"/>
        <w:rPr>
          <w:rFonts w:ascii="Arial" w:cs="Arial" w:eastAsia="Arial" w:hAnsi="Arial"/>
          <w:sz w:val="18"/>
          <w:szCs w:val="18"/>
          <w:color w:val="auto"/>
        </w:rPr>
      </w:pPr>
    </w:p>
    <w:p>
      <w:pPr>
        <w:ind w:left="4" w:right="120" w:firstLine="436"/>
        <w:spacing w:after="0" w:line="277" w:lineRule="auto"/>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4.1 The total number of shares of all classes of stock that the Corporation shall have authority to issue is 1,103,970,656 shares, consisting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(i) 803,970,656 shares of common stock, divided into (a) 337,852,251 shares of Class A common stock, with the par value of $0.0001 per share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(b) 157,498,947 shares of Class B common stock, with the par value of $0.0001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w:t>
      </w:r>
    </w:p>
    <w:p>
      <w:pPr>
        <w:spacing w:after="0" w:line="32" w:lineRule="exact"/>
        <w:rPr>
          <w:sz w:val="20"/>
          <w:szCs w:val="20"/>
          <w:color w:val="auto"/>
        </w:rPr>
      </w:pPr>
    </w:p>
    <w:p>
      <w:pPr>
        <w:ind w:left="4" w:right="20" w:hanging="4"/>
        <w:spacing w:after="0" w:line="253" w:lineRule="auto"/>
        <w:tabs>
          <w:tab w:leader="none" w:pos="24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154,309,729 shares of Class C common stock, with the par value of $0.0001 per share (the “</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and (d) 154,309,729 shares of Class D common stock, with the par value of $0.0001 per share (the “</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and, together with the Class A Common Stock, the Class B Common Stock and the Class C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300,000,000 shares of preferred stock, with the par value of $0.0001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85"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4.2 Subject to the rights of the holders of any one or more series of Preferred Stock then outstanding, the number of authorized shares of any series of the Common Stock or the Preferred Stock may be increased or decreased (but not below the number of shares thereof then outstanding),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or series of the Common Stock or the Preferred Stock voting separately as a class or series will be required therefor. Notwithstanding the immediately preceding sentence, the number of authorized shares of any particular class or series may not be decreased below the number of shares of such class or series then outstanding, </w:t>
      </w:r>
      <w:r>
        <w:rPr>
          <w:rFonts w:ascii="Arial" w:cs="Arial" w:eastAsia="Arial" w:hAnsi="Arial"/>
          <w:sz w:val="17"/>
          <w:szCs w:val="17"/>
          <w:i w:val="1"/>
          <w:iCs w:val="1"/>
          <w:color w:val="auto"/>
        </w:rPr>
        <w:t>plus</w:t>
      </w:r>
      <w:r>
        <w:rPr>
          <w:rFonts w:ascii="Arial" w:cs="Arial" w:eastAsia="Arial" w:hAnsi="Arial"/>
          <w:sz w:val="17"/>
          <w:szCs w:val="17"/>
          <w:color w:val="auto"/>
        </w:rPr>
        <w:t>:</w:t>
      </w:r>
    </w:p>
    <w:p>
      <w:pPr>
        <w:spacing w:after="0" w:line="69" w:lineRule="exact"/>
        <w:rPr>
          <w:sz w:val="20"/>
          <w:szCs w:val="20"/>
          <w:color w:val="auto"/>
        </w:rPr>
      </w:pPr>
    </w:p>
    <w:p>
      <w:pPr>
        <w:ind w:left="444" w:firstLine="948"/>
        <w:spacing w:after="0" w:line="273" w:lineRule="auto"/>
        <w:tabs>
          <w:tab w:leader="none" w:pos="161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(A) the exchange of all outstanding shares of Class B Common Stock, together with the corresponding Class B LLC Units, pursuant to the Operating Agreement, (B) the conversion of all outstanding shares of Class C Common Stock (including the amount of shares of Class C Common Stock issuable in connection with the exchange of all outstanding shares of Class D Common Stock, together with the corresponding Class B LLC Units, pursuant to the Operating Agreement) pursuant to this Certificate of Incorporation and (C) the exercise of outstanding options, warrants, exchange rights, conversion rights or similar rights for shares of Class A Common Stock;</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155" w:name="page156"/>
    <w:bookmarkEnd w:id="155"/>
    <w:p>
      <w:pPr>
        <w:ind w:left="400" w:right="220" w:firstLine="948"/>
        <w:spacing w:after="0" w:line="286" w:lineRule="auto"/>
        <w:tabs>
          <w:tab w:leader="none" w:pos="1617"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Class B Common Stock, the number of shares of Class B Common Stock issuable in connection with (A) the conversion of all outstanding shares of Class D Common Stock pursuant to this Certificate of Incorporation and (B) the exercise of outstanding options, warrants, exchange rights, conversion rights or similar rights for shares of Class B Common Stock;</w:t>
      </w:r>
    </w:p>
    <w:p>
      <w:pPr>
        <w:spacing w:after="0" w:line="57" w:lineRule="exact"/>
        <w:rPr>
          <w:rFonts w:ascii="Arial" w:cs="Arial" w:eastAsia="Arial" w:hAnsi="Arial"/>
          <w:sz w:val="17"/>
          <w:szCs w:val="17"/>
          <w:color w:val="auto"/>
        </w:rPr>
      </w:pPr>
    </w:p>
    <w:p>
      <w:pPr>
        <w:ind w:left="400" w:right="340" w:firstLine="948"/>
        <w:spacing w:after="0" w:line="259" w:lineRule="auto"/>
        <w:tabs>
          <w:tab w:leader="none" w:pos="16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(A) the exchange of all outstanding shares of Class D Common Stock, together with the corresponding Class B LLC Units, pursuant to the Operating Agreement and (B) the exercise of outstanding options, warrants, exchange rights, conversion rights or similar rights for shares of Class C Common Stock; and</w:t>
      </w:r>
    </w:p>
    <w:p>
      <w:pPr>
        <w:spacing w:after="0" w:line="78" w:lineRule="exact"/>
        <w:rPr>
          <w:rFonts w:ascii="Arial" w:cs="Arial" w:eastAsia="Arial" w:hAnsi="Arial"/>
          <w:sz w:val="18"/>
          <w:szCs w:val="18"/>
          <w:color w:val="auto"/>
        </w:rPr>
      </w:pPr>
    </w:p>
    <w:p>
      <w:pPr>
        <w:ind w:left="400" w:right="60" w:firstLine="948"/>
        <w:spacing w:after="0" w:line="308" w:lineRule="auto"/>
        <w:tabs>
          <w:tab w:leader="none" w:pos="165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case of Class D Common Stock, the number of shares of Class D Common Stock issuable in connection with the exercise of outstanding options, warrants, exchange rights, conversion rights or similar rights for shares of Class D Common Stock.</w:t>
      </w:r>
    </w:p>
    <w:p>
      <w:pPr>
        <w:spacing w:after="0" w:line="38" w:lineRule="exact"/>
        <w:rPr>
          <w:sz w:val="20"/>
          <w:szCs w:val="20"/>
          <w:color w:val="auto"/>
        </w:rPr>
      </w:pPr>
    </w:p>
    <w:p>
      <w:pPr>
        <w:ind w:left="-40" w:right="500" w:firstLine="436"/>
        <w:spacing w:after="0" w:line="277" w:lineRule="auto"/>
        <w:tabs>
          <w:tab w:leader="none" w:pos="5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The designations and the powers, privileges, preferences and rights, and the qualifications, limitations and restrictions thereof, in respect of each class of capital stock of the Corporation are as follows:</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firstLine="910"/>
        <w:spacing w:after="0" w:line="286" w:lineRule="auto"/>
        <w:tabs>
          <w:tab w:leader="none" w:pos="209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Each holder of Class A Common Stock will be entitled to one vote for each share of Class A Common Stock held of record by such holder on all matters on which stockholders generally are entitled to vote, each holder of Class B Common Stock will be entitled to one vote for each share of Class B Common Stock held of record by such holder on all matters on which stockholders generally are entitled to vote, each holder of Class C Common Stock will be entitled to five votes for each share of Class C Common Stock held of record by such holder on all matters on which stockholders generally are entitled to vote, and each holder of Class D Common Stock will be entitled to five votes for each share of Class D Common Stock held of record by such holder on all matters on which stockholders generally are entitled to vote, except that, in each case, to the fullest extent permitted by law and subject to </w:t>
      </w:r>
      <w:r>
        <w:rPr>
          <w:rFonts w:ascii="Arial" w:cs="Arial" w:eastAsia="Arial" w:hAnsi="Arial"/>
          <w:sz w:val="16"/>
          <w:szCs w:val="16"/>
          <w:u w:val="single" w:color="auto"/>
          <w:color w:val="auto"/>
        </w:rPr>
        <w:t>Section 5.1(i)(2)</w:t>
      </w:r>
      <w:r>
        <w:rPr>
          <w:rFonts w:ascii="Arial" w:cs="Arial" w:eastAsia="Arial" w:hAnsi="Arial"/>
          <w:sz w:val="16"/>
          <w:szCs w:val="16"/>
          <w:color w:val="auto"/>
        </w:rPr>
        <w:t>, holders of shares of each series of the Common Stock, as such, will have no voting power with respect to, and will not be entitled to vote on, any amendment to this Certificate of Incorporation (including any Certificate of Designations relating to any series of Preferred Stock) that relates solely to the rights, powers, preferences (or the qualifications, limitations or restrictions thereof) or other terms of one or more outstanding series of Preferred Stock if the holders of such affected series of Preferred Stock are entitled, either separately or together with the holders of one or more other such series, to vote thereon under this Certificate of Incorporation (including any Certificate of Designations relating to any series of Preferred Stock) or under the General Corporation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4" w:right="499" w:bottom="1440" w:gutter="0" w:footer="0" w:header="0"/>
        </w:sectPr>
      </w:pPr>
    </w:p>
    <w:bookmarkStart w:id="156" w:name="page157"/>
    <w:bookmarkEnd w:id="156"/>
    <w:p>
      <w:pPr>
        <w:ind w:left="-20" w:firstLine="910"/>
        <w:spacing w:after="0" w:line="285" w:lineRule="auto"/>
        <w:tabs>
          <w:tab w:leader="none" w:pos="1137" w:val="left"/>
        </w:tabs>
        <w:numPr>
          <w:ilvl w:val="1"/>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 (c) the holders of the outstanding shares of Class C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 and (d) the holders of the outstanding shares of Class D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 it being understood that any merger, consolidation or other business combination shall not be deemed an amendment hereof if such merger, consolidation or other business combination constitutes a “Termination Transaction” permitted by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of the Operating Agreement.</w:t>
      </w:r>
    </w:p>
    <w:p>
      <w:pPr>
        <w:spacing w:after="0" w:line="65" w:lineRule="exact"/>
        <w:rPr>
          <w:rFonts w:ascii="Arial" w:cs="Arial" w:eastAsia="Arial" w:hAnsi="Arial"/>
          <w:sz w:val="16"/>
          <w:szCs w:val="16"/>
          <w:color w:val="auto"/>
        </w:rPr>
      </w:pPr>
    </w:p>
    <w:p>
      <w:pPr>
        <w:ind w:left="-20" w:right="20" w:firstLine="910"/>
        <w:spacing w:after="0" w:line="263" w:lineRule="auto"/>
        <w:tabs>
          <w:tab w:leader="none" w:pos="113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75" w:lineRule="exact"/>
        <w:rPr>
          <w:rFonts w:ascii="Arial" w:cs="Arial" w:eastAsia="Arial" w:hAnsi="Arial"/>
          <w:sz w:val="18"/>
          <w:szCs w:val="18"/>
          <w:color w:val="auto"/>
        </w:rPr>
      </w:pPr>
    </w:p>
    <w:p>
      <w:pPr>
        <w:ind w:left="660" w:hanging="272"/>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60" w:firstLine="910"/>
        <w:spacing w:after="0" w:line="296" w:lineRule="auto"/>
        <w:tabs>
          <w:tab w:leader="none" w:pos="113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9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4" w:right="459" w:bottom="1440" w:gutter="0" w:footer="0" w:header="0"/>
        </w:sectPr>
      </w:pPr>
    </w:p>
    <w:bookmarkStart w:id="157" w:name="page158"/>
    <w:bookmarkEnd w:id="157"/>
    <w:p>
      <w:pPr>
        <w:ind w:left="540" w:right="40" w:firstLine="910"/>
        <w:spacing w:after="0" w:line="277" w:lineRule="auto"/>
        <w:tabs>
          <w:tab w:leader="none" w:pos="1697"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Arial" w:cs="Arial" w:eastAsia="Arial" w:hAnsi="Arial"/>
          <w:sz w:val="18"/>
          <w:szCs w:val="18"/>
          <w:u w:val="single" w:color="auto"/>
          <w:color w:val="auto"/>
        </w:rPr>
        <w:t>Section 5.1(ii)(3)</w:t>
      </w:r>
      <w:r>
        <w:rPr>
          <w:rFonts w:ascii="Arial" w:cs="Arial" w:eastAsia="Arial" w:hAnsi="Arial"/>
          <w:sz w:val="18"/>
          <w:szCs w:val="18"/>
          <w:color w:val="auto"/>
        </w:rPr>
        <w:t xml:space="preserve"> with respect to stock dividends, dividends of cash or property may not be declared or paid on shares of Class B Common Stock or on shares of Class D Common Stock.</w:t>
      </w:r>
    </w:p>
    <w:p>
      <w:pPr>
        <w:spacing w:after="0" w:line="62" w:lineRule="exact"/>
        <w:rPr>
          <w:rFonts w:ascii="Arial" w:cs="Arial" w:eastAsia="Arial" w:hAnsi="Arial"/>
          <w:sz w:val="18"/>
          <w:szCs w:val="18"/>
          <w:color w:val="auto"/>
        </w:rPr>
      </w:pPr>
    </w:p>
    <w:p>
      <w:pPr>
        <w:ind w:left="540" w:right="340" w:firstLine="910"/>
        <w:spacing w:after="0" w:line="296" w:lineRule="auto"/>
        <w:tabs>
          <w:tab w:leader="none" w:pos="169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no event will any stock dividend, stock split, reverse stock split, combination of stock, reclassification or recapitalization be declared or made on any series of Common Stock (each, a “</w:t>
      </w:r>
      <w:r>
        <w:rPr>
          <w:rFonts w:ascii="Arial" w:cs="Arial" w:eastAsia="Arial" w:hAnsi="Arial"/>
          <w:sz w:val="16"/>
          <w:szCs w:val="16"/>
          <w:u w:val="single" w:color="auto"/>
          <w:color w:val="auto"/>
        </w:rPr>
        <w:t>Stock Adjustmen</w:t>
      </w:r>
      <w:r>
        <w:rPr>
          <w:rFonts w:ascii="Arial" w:cs="Arial" w:eastAsia="Arial" w:hAnsi="Arial"/>
          <w:sz w:val="16"/>
          <w:szCs w:val="16"/>
          <w:color w:val="auto"/>
        </w:rPr>
        <w:t>t”) unless (a) a corresponding Stock Adjustment for all other series of Common Stock not so adjusted at the time outstanding is made in the same proportion and the same manner and (b) the Stock Adjustment has been reflected in the same economically equivalent manner on all Class A LLC Units. Stock dividends with respect to each series of Common Stock may only be paid with shares of stock of the same series of Common Stock.</w:t>
      </w:r>
    </w:p>
    <w:p>
      <w:pPr>
        <w:spacing w:after="0" w:line="53" w:lineRule="exact"/>
        <w:rPr>
          <w:rFonts w:ascii="Arial" w:cs="Arial" w:eastAsia="Arial" w:hAnsi="Arial"/>
          <w:sz w:val="16"/>
          <w:szCs w:val="16"/>
          <w:color w:val="auto"/>
        </w:rPr>
      </w:pPr>
    </w:p>
    <w:p>
      <w:pPr>
        <w:ind w:firstLine="948"/>
        <w:spacing w:after="0" w:line="285" w:lineRule="auto"/>
        <w:tabs>
          <w:tab w:leader="none" w:pos="126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and Class C Common Stock will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 amount per share equal to the par value thereof, and thereafter the holders of all outstanding shares of Class A Common Stock and Class C Common Stock will be entitled to receive the remaining assets of the Corporation available for distribution ratably in proportion to the number of shares of Class A Common Stock and Class C Common Stock, which shall be treated a single class solely for the purposes of this </w:t>
      </w:r>
      <w:r>
        <w:rPr>
          <w:rFonts w:ascii="Arial" w:cs="Arial" w:eastAsia="Arial" w:hAnsi="Arial"/>
          <w:sz w:val="16"/>
          <w:szCs w:val="16"/>
          <w:u w:val="single" w:color="auto"/>
          <w:color w:val="auto"/>
        </w:rPr>
        <w:t>Section 5.1(iii)</w:t>
      </w:r>
      <w:r>
        <w:rPr>
          <w:rFonts w:ascii="Arial" w:cs="Arial" w:eastAsia="Arial" w:hAnsi="Arial"/>
          <w:sz w:val="16"/>
          <w:szCs w:val="16"/>
          <w:color w:val="auto"/>
        </w:rPr>
        <w:t>. Without limiting the rights of (1) the holders of Class B Common Stock to exchange their shares of Class B Common Stock, together with the corresponding Class B LLC Units constituting the remainder of any Paired Interests in which such shares are included, for shares of Class A Common Stock in accordance with the Operating Agreement (or for the consideration payable in respect of shares of Class A Common Stock in such voluntary or involuntary liquidation, dissolution or winding-up) and (2) the holders of Class D Common Stock to exchange their shares of Class D Common Stock, together with the corresponding Class B LLC Units constituting the remainder of any Paired Interests in which such shares are included, for shares of Class C Common Stock in accordance with the Operating Agreement (or for the consideration payable in respect of shares of Class C Common Stock in such voluntary or involuntary liquidation, dissolution or winding-up), the holders of shares of Class B Common Stock and Class D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3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58" w:name="page159"/>
    <w:bookmarkEnd w:id="1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left="440" w:right="60" w:firstLine="948"/>
        <w:spacing w:after="0" w:line="272" w:lineRule="auto"/>
        <w:tabs>
          <w:tab w:leader="none" w:pos="163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Board is expressly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to establish from time to time the number of shares of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Preferred Stock) or decrease (but not below the number of shares of such series then outstanding) the number of shares of Preferred Stock of any such series.</w:t>
      </w:r>
    </w:p>
    <w:p>
      <w:pPr>
        <w:spacing w:after="0" w:line="69" w:lineRule="exact"/>
        <w:rPr>
          <w:rFonts w:ascii="Arial" w:cs="Arial" w:eastAsia="Arial" w:hAnsi="Arial"/>
          <w:sz w:val="17"/>
          <w:szCs w:val="17"/>
          <w:color w:val="auto"/>
        </w:rPr>
      </w:pPr>
    </w:p>
    <w:p>
      <w:pPr>
        <w:ind w:left="440" w:firstLine="948"/>
        <w:spacing w:after="0" w:line="275" w:lineRule="auto"/>
        <w:tabs>
          <w:tab w:leader="none" w:pos="1647"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any Certificate of Designation designating any series of Preferred Stock,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rights of the Common Stock, the Preferred Stock or any future class or series of Preferred Stock or Common Stock.</w:t>
      </w:r>
    </w:p>
    <w:p>
      <w:pPr>
        <w:spacing w:after="0" w:line="68" w:lineRule="exact"/>
        <w:rPr>
          <w:rFonts w:ascii="Arial" w:cs="Arial" w:eastAsia="Arial" w:hAnsi="Arial"/>
          <w:sz w:val="17"/>
          <w:szCs w:val="17"/>
          <w:color w:val="auto"/>
        </w:rPr>
      </w:pPr>
    </w:p>
    <w:p>
      <w:pPr>
        <w:ind w:left="620" w:hanging="184"/>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Class B Common Stock, Class C Common Stock and Class D Common Stock</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Cancellation of Class B Common Stock and Class D Common Stock</w:t>
      </w:r>
      <w:r>
        <w:rPr>
          <w:rFonts w:ascii="Arial" w:cs="Arial" w:eastAsia="Arial" w:hAnsi="Arial"/>
          <w:sz w:val="16"/>
          <w:szCs w:val="16"/>
          <w:color w:val="auto"/>
        </w:rPr>
        <w:t>. No holder of Class B Common Stock or Class D Common Stock may transfer shares of Class B Common Stock or Class D Common Stock, respectively, to any person unless such holder transfers a corresponding number of Class B LLC Units to the same person in accordance with the provisions of the Operating Agreement. If any outstanding share of Class B Common Stock or Class D Common Stock ceases to be held by a holder of the corresponding Class B LLC Unit, such share of Class B Common Stock or Class D Common Stock, respectively, shall automatically and without further action on the part of the Corporation or any holder of Class B Common Stock or Class D Common Stock, respectively, be transferred to the Corporation for no consideration and cancelled.</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Reservation of Shares of Class A Common Stock, Class B Common Stock and Class C Common Stock</w:t>
      </w:r>
      <w:r>
        <w:rPr>
          <w:rFonts w:ascii="Arial" w:cs="Arial" w:eastAsia="Arial" w:hAnsi="Arial"/>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A Common Stock,</w:t>
      </w:r>
    </w:p>
    <w:p>
      <w:pPr>
        <w:spacing w:after="0" w:line="46" w:lineRule="exact"/>
        <w:rPr>
          <w:rFonts w:ascii="Arial" w:cs="Arial" w:eastAsia="Arial" w:hAnsi="Arial"/>
          <w:sz w:val="16"/>
          <w:szCs w:val="16"/>
          <w:color w:val="auto"/>
        </w:rPr>
      </w:pPr>
    </w:p>
    <w:p>
      <w:pPr>
        <w:jc w:val="both"/>
        <w:ind w:left="440" w:hanging="4"/>
        <w:spacing w:after="0" w:line="295" w:lineRule="auto"/>
        <w:tabs>
          <w:tab w:leader="none" w:pos="6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solely for the purpose of the issuance in connection with the exchange of Paired Interests, the number of shares of Class A Common Stock that are issuable upon the exchange of all outstanding Paired Interests which consist of Class B Common Stock and Class B LLC Units pursuant to the Operating Agreement and (ii) solely for the purpose of the issuance in connection with the conversion of shares of all outstanding Class C Common Stock (including all shares of Class C Common Stock issuable upon the exchange of Paired Interests which consist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59" w:name="page160"/>
    <w:bookmarkEnd w:id="159"/>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 D Common Stock and Class B LLC Units pursuant to the Operating Agreement) into shares of Class A Common Stock pursuant to this Certificate of Incorporation, the number of shares of Class A Common Stock that are issuable upon such conversion. The Corporation covenants that all the shares of Class A Common Stock that are issued upon the exchange of such Paired Interests or conversion of such shares of Class C Common Stock will, upon issuance, be validly issued, fully paid and non-assessable.</w:t>
      </w:r>
    </w:p>
    <w:p>
      <w:pPr>
        <w:spacing w:after="0" w:line="63" w:lineRule="exact"/>
        <w:rPr>
          <w:sz w:val="20"/>
          <w:szCs w:val="20"/>
          <w:color w:val="auto"/>
        </w:rPr>
      </w:pPr>
    </w:p>
    <w:p>
      <w:pPr>
        <w:ind w:right="20" w:firstLine="948"/>
        <w:spacing w:after="0" w:line="275" w:lineRule="auto"/>
        <w:tabs>
          <w:tab w:leader="none" w:pos="121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this Certificate of Incorporation, the number of shares of Class B Common Stock that are issuable upon such conversion. The Corporation covenants that all the shares of Class B Common Stock that are issued upon the conversion of such shares of Class D Common Stock will, upon issuance, be validly issued, fully paid and non-assessable.</w:t>
      </w:r>
    </w:p>
    <w:p>
      <w:pPr>
        <w:spacing w:after="0" w:line="68" w:lineRule="exact"/>
        <w:rPr>
          <w:rFonts w:ascii="Arial" w:cs="Arial" w:eastAsia="Arial" w:hAnsi="Arial"/>
          <w:sz w:val="17"/>
          <w:szCs w:val="17"/>
          <w:color w:val="auto"/>
        </w:rPr>
      </w:pPr>
    </w:p>
    <w:p>
      <w:pPr>
        <w:ind w:firstLine="948"/>
        <w:spacing w:after="0" w:line="296" w:lineRule="auto"/>
        <w:tabs>
          <w:tab w:leader="none" w:pos="126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C Common Stock, solely for the purpose of the issuance in connection with the exchange of Paired Interests which consist of Class D Common Stock and Class B LLC Units, the number of shares of Class C Common Stock that are issuable upon the exchange of all outstanding Paired Interests which consist of Class D Common Stock and Class B LLC Units, pursuant to the Operating Agreement. The Corporation covenants that all the shares of Class C Common Stock that are issued upon the exchange of such Paired Interests will, upon issuance, be validly issued, fully paid and non-assessable.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80" w:firstLine="948"/>
        <w:spacing w:after="0" w:line="290" w:lineRule="auto"/>
        <w:tabs>
          <w:tab w:leader="none" w:pos="116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issuance of shares of Class A Common Stock or Class C Common Stock, as the case may be, upon the exercise by holders of Class B LLC Units of their right under the Operating Agreement to exchange Paired Interests for shares of Class A Common Stock or Class C Common Stock, as the case may be, will be made without charge to such holders for any transfer taxes, stamp taxes or duties or other similar tax in respect of the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shares of Class A Common Stock or Class C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57" w:lineRule="exact"/>
        <w:rPr>
          <w:rFonts w:ascii="Arial" w:cs="Arial" w:eastAsia="Arial" w:hAnsi="Arial"/>
          <w:sz w:val="16"/>
          <w:szCs w:val="16"/>
          <w:color w:val="auto"/>
        </w:rPr>
      </w:pPr>
    </w:p>
    <w:p>
      <w:pPr>
        <w:ind w:right="100" w:firstLine="948"/>
        <w:spacing w:after="0" w:line="311" w:lineRule="auto"/>
        <w:tabs>
          <w:tab w:leader="none" w:pos="121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issuance of shares of Class A Common Stock or Class B Common Stock, as the case may be, upon the conversion of the shares of Class C Common Stock or Class D Common Stock, as the case maybe, in accordance with the terms of this Certificate of Incorporation will be made without charge to such holders for any transfer taxes, stamp taxes or duties or other similar tax in respect of the issuance;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60" w:name="page161"/>
    <w:bookmarkEnd w:id="160"/>
    <w:p>
      <w:pPr>
        <w:ind w:left="440" w:right="2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w:t>
      </w:r>
      <w:r>
        <w:rPr>
          <w:rFonts w:ascii="Arial" w:cs="Arial" w:eastAsia="Arial" w:hAnsi="Arial"/>
          <w:sz w:val="18"/>
          <w:szCs w:val="18"/>
          <w:color w:val="auto"/>
        </w:rPr>
        <w:t>, that if any such shares of Class A Common Stock or Class B Common Stock are to be issued in a name other than that of the then record holder of the Class A Common Stock or Class B Common Stock, as the case may be,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Subscription Rights</w:t>
      </w:r>
      <w:r>
        <w:rPr>
          <w:rFonts w:ascii="Arial" w:cs="Arial" w:eastAsia="Arial" w:hAnsi="Arial"/>
          <w:sz w:val="18"/>
          <w:szCs w:val="18"/>
          <w:color w:val="auto"/>
        </w:rPr>
        <w:t>. To the extent Class B LLC Units are issued pursuant to the Operating Agreement to (i) any Qualified Stockholder, such Qualified Stockholder shall have the right to subscribe for an equivalent number of shares of Class D Common Stock (subject to adjustment as set forth herein) in exchange for a payment in cash equal to the aggregate par value of such shares of Class D Common Stock or (ii) any stockholder of the Corporation other than a Qualified Stockholder, such stockholder shall have the right to subscribe for an equivalent number of shares of Class B Common Stock (subject to adjustment as set forth herein) in exchange for a payment in cash equal to the aggregate par value of such shares of Class B Common Stock.</w:t>
      </w:r>
    </w:p>
    <w:p>
      <w:pPr>
        <w:spacing w:after="0" w:line="84" w:lineRule="exact"/>
        <w:rPr>
          <w:sz w:val="20"/>
          <w:szCs w:val="20"/>
          <w:color w:val="auto"/>
        </w:rPr>
      </w:pPr>
    </w:p>
    <w:p>
      <w:pPr>
        <w:ind w:right="200" w:firstLine="991"/>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Voluntary Conversion of Class C Common Stock and Class D Common Stock</w:t>
      </w:r>
      <w:r>
        <w:rPr>
          <w:rFonts w:ascii="Arial" w:cs="Arial" w:eastAsia="Arial" w:hAnsi="Arial"/>
          <w:sz w:val="17"/>
          <w:szCs w:val="17"/>
          <w:color w:val="auto"/>
        </w:rPr>
        <w:t xml:space="preserve">. Each share of Class C Common Stock shall be convertible into one share of Class A Common Stock at the option of the holder thereof at any time upon written notice to the Corporation, and each share of Class D Common Stock shall be convertible into one share of Class B Common Stock at the option of the holder thereof at any time upon written notice to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holder of shares of Class C Common Stock or Class D Common Stock may in such written notice to the Corporation specify that such conversion into shares of Class A Common Stock or Class B Common Stock, respectively, shall be contingent upon the consummation of one or more sale or other transfer transactions.</w:t>
      </w:r>
    </w:p>
    <w:p>
      <w:pPr>
        <w:spacing w:after="0" w:line="70"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Automatic Conversion of Class C Common Stock and Class D Common Stock</w:t>
      </w:r>
      <w:r>
        <w:rPr>
          <w:rFonts w:ascii="Arial" w:cs="Arial" w:eastAsia="Arial" w:hAnsi="Arial"/>
          <w:sz w:val="18"/>
          <w:szCs w:val="18"/>
          <w:color w:val="auto"/>
        </w:rPr>
        <w:t>. Each share of Class C Common Stock shall automatically, without any further action, convert into one share of Class A Common Stock and each share of Class D Common Stock shall automatically, without any further action, convert into one share of Class B Common Stock, in each case, upon a Transfer, other than a Transfer to a Qualified Stockholder.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w:t>
      </w:r>
      <w:r>
        <w:rPr>
          <w:rFonts w:ascii="Arial" w:cs="Arial" w:eastAsia="Arial" w:hAnsi="Arial"/>
          <w:sz w:val="18"/>
          <w:szCs w:val="18"/>
          <w:color w:val="auto"/>
        </w:rPr>
        <w:t>, references to:</w:t>
      </w:r>
    </w:p>
    <w:p>
      <w:pPr>
        <w:spacing w:after="0" w:line="117" w:lineRule="exact"/>
        <w:rPr>
          <w:sz w:val="20"/>
          <w:szCs w:val="20"/>
          <w:color w:val="auto"/>
        </w:rPr>
      </w:pPr>
    </w:p>
    <w:p>
      <w:pPr>
        <w:ind w:left="440" w:right="340" w:firstLine="948"/>
        <w:spacing w:after="0" w:line="311" w:lineRule="auto"/>
        <w:tabs>
          <w:tab w:leader="none" w:pos="163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Security</w:t>
      </w:r>
      <w:r>
        <w:rPr>
          <w:rFonts w:ascii="Arial" w:cs="Arial" w:eastAsia="Arial" w:hAnsi="Arial"/>
          <w:sz w:val="16"/>
          <w:szCs w:val="16"/>
          <w:color w:val="auto"/>
        </w:rPr>
        <w:t>” shall mean any evidences of indebtedness, shares or other securities, including restricted stock units, convertible into or exchangeable for shares of Class A Common Stock, Class B Common Stock, Class C Common Stock or Class D Common Stock, either directly or indirectly. For the avoidance of doubt, no share of Common Stock shall be deemed to be a Convertible Security.</w:t>
      </w:r>
    </w:p>
    <w:p>
      <w:pPr>
        <w:spacing w:after="0" w:line="40" w:lineRule="exact"/>
        <w:rPr>
          <w:rFonts w:ascii="Arial" w:cs="Arial" w:eastAsia="Arial" w:hAnsi="Arial"/>
          <w:sz w:val="16"/>
          <w:szCs w:val="16"/>
          <w:color w:val="auto"/>
        </w:rPr>
      </w:pPr>
    </w:p>
    <w:p>
      <w:pPr>
        <w:ind w:left="1640" w:hanging="252"/>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Date</w:t>
      </w:r>
      <w:r>
        <w:rPr>
          <w:rFonts w:ascii="Arial" w:cs="Arial" w:eastAsia="Arial" w:hAnsi="Arial"/>
          <w:sz w:val="18"/>
          <w:szCs w:val="18"/>
          <w:color w:val="auto"/>
        </w:rPr>
        <w:t>” shall mean the date of the filing of this Certificate of Incorporation.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1" w:name="page162"/>
    <w:bookmarkEnd w:id="161"/>
    <w:p>
      <w:pPr>
        <w:ind w:firstLine="948"/>
        <w:spacing w:after="0" w:line="263" w:lineRule="auto"/>
        <w:tabs>
          <w:tab w:leader="none" w:pos="11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shall mean, with respect to a Qualified Stockholder, a spouse, domestic partner, child, grandchild or other lineal descendant (whether natural or adopted) or spouse of a lineal descendant of such individual, father, father-in-law, mother, mother-in-law, brother, step-brother, sister or step-sister.</w:t>
      </w:r>
    </w:p>
    <w:p>
      <w:pPr>
        <w:spacing w:after="0" w:line="75" w:lineRule="exact"/>
        <w:rPr>
          <w:rFonts w:ascii="Arial" w:cs="Arial" w:eastAsia="Arial" w:hAnsi="Arial"/>
          <w:sz w:val="18"/>
          <w:szCs w:val="18"/>
          <w:color w:val="auto"/>
        </w:rPr>
      </w:pPr>
    </w:p>
    <w:p>
      <w:pPr>
        <w:ind w:right="280" w:firstLine="948"/>
        <w:spacing w:after="0" w:line="277"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rights, options, restricted stock units or warrants to subscribe for, purchase or otherwise acquire shares of Class A Common Stock, Class B Common Stock, Class C Common Stock, Class D Common Stock.</w:t>
      </w:r>
    </w:p>
    <w:p>
      <w:pPr>
        <w:spacing w:after="0" w:line="62" w:lineRule="exact"/>
        <w:rPr>
          <w:rFonts w:ascii="Arial" w:cs="Arial" w:eastAsia="Arial" w:hAnsi="Arial"/>
          <w:sz w:val="18"/>
          <w:szCs w:val="18"/>
          <w:color w:val="auto"/>
        </w:rPr>
      </w:pPr>
    </w:p>
    <w:p>
      <w:pPr>
        <w:ind w:right="40" w:firstLine="948"/>
        <w:spacing w:after="0" w:line="254" w:lineRule="auto"/>
        <w:tabs>
          <w:tab w:leader="none" w:pos="11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Entity</w:t>
      </w:r>
      <w:r>
        <w:rPr>
          <w:rFonts w:ascii="Arial" w:cs="Arial" w:eastAsia="Arial" w:hAnsi="Arial"/>
          <w:sz w:val="18"/>
          <w:szCs w:val="18"/>
          <w:color w:val="auto"/>
        </w:rPr>
        <w:t>” shall mean, with respect to a Qualified Stockholder, (i) any general partnership, limited partnership, limited liability company, corporation, trust or other entity under the Voting Control of, controlling or under common control with (a) such Qualified Stockholder and/or (b) any other Permitted Entity of such Qualified Stockholder,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86" w:lineRule="exact"/>
        <w:rPr>
          <w:rFonts w:ascii="Arial" w:cs="Arial" w:eastAsia="Arial" w:hAnsi="Arial"/>
          <w:sz w:val="18"/>
          <w:szCs w:val="18"/>
          <w:color w:val="auto"/>
        </w:rPr>
      </w:pPr>
    </w:p>
    <w:p>
      <w:pPr>
        <w:ind w:right="20" w:firstLine="948"/>
        <w:spacing w:after="0" w:line="257" w:lineRule="auto"/>
        <w:tabs>
          <w:tab w:leader="none" w:pos="117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Foundation</w:t>
      </w:r>
      <w:r>
        <w:rPr>
          <w:rFonts w:ascii="Arial" w:cs="Arial" w:eastAsia="Arial" w:hAnsi="Arial"/>
          <w:sz w:val="18"/>
          <w:szCs w:val="18"/>
          <w:color w:val="auto"/>
        </w:rPr>
        <w:t>” shall mean, with respect to a Qualified Stockholder, a trust, donor-advised fund or charitable organization or organization that is tax-exempt under Section 501(c)(3)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so long as such Qualified Stockholder has Voting Control with respect to the shares of Class C Common Stock and Class D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79" w:lineRule="exact"/>
        <w:rPr>
          <w:rFonts w:ascii="Arial" w:cs="Arial" w:eastAsia="Arial" w:hAnsi="Arial"/>
          <w:sz w:val="18"/>
          <w:szCs w:val="18"/>
          <w:color w:val="auto"/>
        </w:rPr>
      </w:pPr>
    </w:p>
    <w:p>
      <w:pPr>
        <w:ind w:right="60" w:firstLine="948"/>
        <w:spacing w:after="0" w:line="257"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IRA</w:t>
      </w:r>
      <w:r>
        <w:rPr>
          <w:rFonts w:ascii="Arial" w:cs="Arial" w:eastAsia="Arial" w:hAnsi="Arial"/>
          <w:sz w:val="18"/>
          <w:szCs w:val="18"/>
          <w:color w:val="auto"/>
        </w:rPr>
        <w:t xml:space="preserve">” shall mean an Individual Retirement Account, as defined in Section 408(a) of the Code, a “Roth IRA,” as defined in Section 408A(b) of the Code, or a pension, profit sharing, stock bonus or other type of plan or trust of which a Qualified Stockholder is a participant or beneficiary and which satisfies the requirements for qualification under Section 401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Qualified Stockholder has Voting Control with respect to the shares of Class C Common Stock or Class D Common Stock held in such account, plan or trust.</w:t>
      </w:r>
    </w:p>
    <w:p>
      <w:pPr>
        <w:spacing w:after="0" w:line="79" w:lineRule="exact"/>
        <w:rPr>
          <w:rFonts w:ascii="Arial" w:cs="Arial" w:eastAsia="Arial" w:hAnsi="Arial"/>
          <w:sz w:val="18"/>
          <w:szCs w:val="18"/>
          <w:color w:val="auto"/>
        </w:rPr>
      </w:pPr>
    </w:p>
    <w:p>
      <w:pPr>
        <w:ind w:right="180" w:firstLine="948"/>
        <w:spacing w:after="0" w:line="255"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shall mean, and be restricted to, any Transfer of a share of Class C Common Stock or Class D Common Stock (i) by a Qualified Stockholder to (A) any Permitted Trust of such Qualified Stockholder, (B) any Permitted IRA of such Qualified Stockholder, (C) any Permitted Entity of such Qualified Stockholder, (D) any Permitted Foundation of such Qualified Stockholder or (E) any Immediate Family Member of such Qualified Stockholder or (ii) by a Permitted Trust, Permitted IRA, Permitted Entity or Permitted Foundation of a Qualified Stockholder to (A) such Qualified Stockholder or (B) any other Permitted Entity, Permitted Trust, Permitted IRA or Permitted Foundation of such Qualified Stockholder.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62" w:name="page163"/>
    <w:bookmarkEnd w:id="162"/>
    <w:p>
      <w:pPr>
        <w:ind w:right="460" w:firstLine="948"/>
        <w:spacing w:after="0" w:line="277" w:lineRule="auto"/>
        <w:tabs>
          <w:tab w:leader="none" w:pos="11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a transferee of shares of Class C Common Stock or Class D Common Stock received in a Permitted Transfer.</w:t>
      </w:r>
    </w:p>
    <w:p>
      <w:pPr>
        <w:spacing w:after="0" w:line="62" w:lineRule="exact"/>
        <w:rPr>
          <w:rFonts w:ascii="Arial" w:cs="Arial" w:eastAsia="Arial" w:hAnsi="Arial"/>
          <w:sz w:val="18"/>
          <w:szCs w:val="18"/>
          <w:color w:val="auto"/>
        </w:rPr>
      </w:pPr>
    </w:p>
    <w:p>
      <w:pPr>
        <w:ind w:firstLine="948"/>
        <w:spacing w:after="0" w:line="254" w:lineRule="auto"/>
        <w:tabs>
          <w:tab w:leader="none" w:pos="11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Trust</w:t>
      </w:r>
      <w:r>
        <w:rPr>
          <w:rFonts w:ascii="Arial" w:cs="Arial" w:eastAsia="Arial" w:hAnsi="Arial"/>
          <w:sz w:val="18"/>
          <w:szCs w:val="18"/>
          <w:color w:val="auto"/>
        </w:rPr>
        <w:t>” shall mean, with respect to a Qualified Stockholder, (i) a trust for the benefit of such Qualified Stockholder and for the benefit of such Qualified Stockholder and such Qualified Stockholder’s Immediate Family Members, (ii) a trust for the benefit of such Qualified Stockholder and/or persons other than such Qualified Stockholder so long as such Qualified Stockholder has Voting Control with respect to the shares of Class C Common Stock and Class D Common Stock held by such trust to such Qualified Stockholder or (iii) a trust under the terms of which such Qualified Stockholder has retained a “qualified interest” within the meaning of §2702(b)(1) of the Code or a reversionary interest so long as such Qualified Stockholder has Voting Control with respect to the shares of Class C Common Stock and Class D Common Stock held by such trust.</w:t>
      </w:r>
    </w:p>
    <w:p>
      <w:pPr>
        <w:spacing w:after="0" w:line="86" w:lineRule="exact"/>
        <w:rPr>
          <w:rFonts w:ascii="Arial" w:cs="Arial" w:eastAsia="Arial" w:hAnsi="Arial"/>
          <w:sz w:val="18"/>
          <w:szCs w:val="18"/>
          <w:color w:val="auto"/>
        </w:rPr>
      </w:pPr>
    </w:p>
    <w:p>
      <w:pPr>
        <w:ind w:right="100" w:firstLine="948"/>
        <w:spacing w:after="0" w:line="254" w:lineRule="auto"/>
        <w:tabs>
          <w:tab w:leader="none" w:pos="120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shall mean (i) the record holder of a share of Class C Common Stock or Class D Common Stock as of the Effectiveness Date, (ii) each natural person who, prior to the Effectiveness Date, Transferred shares of capital stock of the Corporation to a Permitted Trust, Permitted IRA, Permitted Entity or Permitted Foundation that is or becomes a Qualified Stockholder, (iii) each natural person who Transferred shares of, or equity awards for, Class C Common Stock or Class D Common Stock (including any Option exercisable or Convertible Security exchangeable for or convertible into shares of Class C Common Stock or Class D Common Stock) to a Permitted Trust, Permitted IRA, Permitted Entity or Permitted Foundation that is or becomes a Qualified Stockholder, (v) a Permitted Transferee and (iv) any natural person or general partnership, limited partnership, limited liability company, corporation, trust or other entity which has Voting Control of a Qualified Stockholder.</w:t>
      </w:r>
    </w:p>
    <w:p>
      <w:pPr>
        <w:spacing w:after="0" w:line="83" w:lineRule="exact"/>
        <w:rPr>
          <w:rFonts w:ascii="Arial" w:cs="Arial" w:eastAsia="Arial" w:hAnsi="Arial"/>
          <w:sz w:val="18"/>
          <w:szCs w:val="18"/>
          <w:color w:val="auto"/>
        </w:rPr>
      </w:pPr>
    </w:p>
    <w:p>
      <w:pPr>
        <w:ind w:right="120" w:firstLine="948"/>
        <w:spacing w:after="0" w:line="272" w:lineRule="auto"/>
        <w:tabs>
          <w:tab w:leader="none" w:pos="116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C Common Stock or Class D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C Common Stock or Class D Common Stock to a broker or other nominee that results in a corresponding change in beneficial ownership (and excluding, for example, a transfer to a broker acting in capacity as an agent on behalf of a Qualified Stockholder and not as a principal), or the transfer of, or entering into a binding agreement with respect to, Voting Control over such share by proxy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following shall not be considered a “Transfer” within the meaning of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69" w:lineRule="exact"/>
        <w:rPr>
          <w:sz w:val="20"/>
          <w:szCs w:val="20"/>
          <w:color w:val="auto"/>
        </w:rPr>
      </w:pPr>
    </w:p>
    <w:p>
      <w:pPr>
        <w:ind w:right="120" w:firstLine="948"/>
        <w:spacing w:after="0" w:line="277" w:lineRule="auto"/>
        <w:tabs>
          <w:tab w:leader="none" w:pos="11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63" w:name="page164"/>
    <w:bookmarkEnd w:id="163"/>
    <w:p>
      <w:pPr>
        <w:ind w:right="80" w:firstLine="948"/>
        <w:spacing w:after="0" w:line="301" w:lineRule="auto"/>
        <w:tabs>
          <w:tab w:leader="none" w:pos="1217"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entering into a voting trust, agreement or arrangement (with or without granting a proxy) solely with stockholders who are holders of shares of Class C Common Stock and Class D Common Stock that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49" w:lineRule="exact"/>
        <w:rPr>
          <w:rFonts w:ascii="Arial" w:cs="Arial" w:eastAsia="Arial" w:hAnsi="Arial"/>
          <w:sz w:val="16"/>
          <w:szCs w:val="16"/>
          <w:color w:val="auto"/>
        </w:rPr>
      </w:pPr>
    </w:p>
    <w:p>
      <w:pPr>
        <w:ind w:right="400" w:firstLine="948"/>
        <w:spacing w:after="0" w:line="277" w:lineRule="auto"/>
        <w:tabs>
          <w:tab w:leader="none" w:pos="12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62" w:lineRule="exact"/>
        <w:rPr>
          <w:rFonts w:ascii="Arial" w:cs="Arial" w:eastAsia="Arial" w:hAnsi="Arial"/>
          <w:sz w:val="18"/>
          <w:szCs w:val="18"/>
          <w:color w:val="auto"/>
        </w:rPr>
      </w:pPr>
    </w:p>
    <w:p>
      <w:pPr>
        <w:ind w:right="120" w:firstLine="948"/>
        <w:spacing w:after="0" w:line="259" w:lineRule="auto"/>
        <w:tabs>
          <w:tab w:leader="none" w:pos="1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pledge of shares of Class C Common Stock or Class D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w:t>
      </w:r>
    </w:p>
    <w:p>
      <w:pPr>
        <w:spacing w:after="0" w:line="78" w:lineRule="exact"/>
        <w:rPr>
          <w:rFonts w:ascii="Arial" w:cs="Arial" w:eastAsia="Arial" w:hAnsi="Arial"/>
          <w:sz w:val="18"/>
          <w:szCs w:val="18"/>
          <w:color w:val="auto"/>
        </w:rPr>
      </w:pPr>
    </w:p>
    <w:p>
      <w:pPr>
        <w:ind w:firstLine="948"/>
        <w:spacing w:after="0" w:line="296" w:lineRule="auto"/>
        <w:tabs>
          <w:tab w:leader="none" w:pos="12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fact that, as of the Effectiveness Date or at any time after the Effectiveness Date, the spouse of any holder of shares of Class C Common Stock or Class D Common Stock possesses or obtains an interest in such holder’s shares of Class C Common Stock or Class D Common Stock arising solely by reason of the application of the community property laws of any jurisdiction, so long as no other event or circumstance shall exist or have occurred that constitutes a Transfer of such shares of Class C Common Stock or Class D Common Stock (including a Transfer by operation of law pursuant to a qualified domestic order or in connection with a divorce settlement or any other court order); or</w:t>
      </w:r>
    </w:p>
    <w:p>
      <w:pPr>
        <w:spacing w:after="0" w:line="53" w:lineRule="exact"/>
        <w:rPr>
          <w:rFonts w:ascii="Arial" w:cs="Arial" w:eastAsia="Arial" w:hAnsi="Arial"/>
          <w:sz w:val="16"/>
          <w:szCs w:val="16"/>
          <w:color w:val="auto"/>
        </w:rPr>
      </w:pPr>
    </w:p>
    <w:p>
      <w:pPr>
        <w:ind w:right="80" w:firstLine="948"/>
        <w:spacing w:after="0" w:line="259" w:lineRule="auto"/>
        <w:tabs>
          <w:tab w:leader="none" w:pos="1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79" w:lineRule="exact"/>
        <w:rPr>
          <w:sz w:val="20"/>
          <w:szCs w:val="20"/>
          <w:color w:val="auto"/>
        </w:rPr>
      </w:pPr>
    </w:p>
    <w:p>
      <w:pPr>
        <w:ind w:right="280" w:firstLine="952"/>
        <w:spacing w:after="0" w:line="279" w:lineRule="auto"/>
        <w:rPr>
          <w:sz w:val="20"/>
          <w:szCs w:val="20"/>
          <w:color w:val="auto"/>
        </w:rPr>
      </w:pPr>
      <w:r>
        <w:rPr>
          <w:rFonts w:ascii="Arial" w:cs="Arial" w:eastAsia="Arial" w:hAnsi="Arial"/>
          <w:sz w:val="17"/>
          <w:szCs w:val="17"/>
          <w:color w:val="auto"/>
        </w:rPr>
        <w:t>A Transfer shall also be deemed to have occurred with respect to a share of Class C Common Stock or Class D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63" w:lineRule="exact"/>
        <w:rPr>
          <w:sz w:val="20"/>
          <w:szCs w:val="20"/>
          <w:color w:val="auto"/>
        </w:rPr>
      </w:pPr>
    </w:p>
    <w:p>
      <w:pPr>
        <w:ind w:right="20" w:firstLine="948"/>
        <w:spacing w:after="0" w:line="263" w:lineRule="auto"/>
        <w:tabs>
          <w:tab w:leader="none" w:pos="125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Control</w:t>
      </w:r>
      <w:r>
        <w:rPr>
          <w:rFonts w:ascii="Arial" w:cs="Arial" w:eastAsia="Arial" w:hAnsi="Arial"/>
          <w:sz w:val="18"/>
          <w:szCs w:val="18"/>
          <w:color w:val="auto"/>
        </w:rPr>
        <w:t>” shall mean, with respect to a share of Class C Common Stock or Class D Common Stock, the power (whether exclusive or shared) to vote or direct the voting of such share by proxy, voting agreement or otherwise. A Qualified Stockholder will be deemed to have Voting Control with respect to shares contributed to a donor-advised fund.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64" w:name="page165"/>
    <w:bookmarkEnd w:id="164"/>
    <w:p>
      <w:pPr>
        <w:ind w:left="620" w:hanging="184"/>
        <w:spacing w:after="0"/>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117" w:lineRule="exact"/>
        <w:rPr>
          <w:sz w:val="20"/>
          <w:szCs w:val="20"/>
          <w:color w:val="auto"/>
        </w:rPr>
      </w:pPr>
    </w:p>
    <w:p>
      <w:pPr>
        <w:ind w:left="440" w:right="240" w:firstLine="948"/>
        <w:spacing w:after="0" w:line="273" w:lineRule="auto"/>
        <w:tabs>
          <w:tab w:leader="none" w:pos="160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shall so require, the election of the directors of the Corporation (the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need not be by written ballot. Except as otherwise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relating to the rights of the holders of any series of Preferred Stock to elect additional Directors, the total number of Directors constituting the entire Board shall, (a) as of the date of this Certificate of Incorporation, initially be seven and (b) thereafter, shall be fixed exclusively by one or more resolutions adopted from time to time by the Board.</w:t>
      </w:r>
    </w:p>
    <w:p>
      <w:pPr>
        <w:spacing w:after="0" w:line="69" w:lineRule="exact"/>
        <w:rPr>
          <w:rFonts w:ascii="Arial" w:cs="Arial" w:eastAsia="Arial" w:hAnsi="Arial"/>
          <w:sz w:val="17"/>
          <w:szCs w:val="17"/>
          <w:color w:val="auto"/>
        </w:rPr>
      </w:pPr>
    </w:p>
    <w:p>
      <w:pPr>
        <w:ind w:left="440" w:firstLine="948"/>
        <w:spacing w:after="0" w:line="269" w:lineRule="auto"/>
        <w:tabs>
          <w:tab w:leader="none" w:pos="165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During any period when the holders of any series of Preferred Stock have the right to elect additional Directors as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upon the commencement, and for the duration, of the period during which such right continues: (a) the then total authorized number of Directors shall automatically be increased by such specified number of Preferred Stock Directors, and the holders of such series of Preferred Stock shall be entitled to elect such Preferred Stock Directors pursuant to the provisions of any Certificate of Designation for such series of Preferred Stock; and (b)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71"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any limitations imposed by applicable law and the rights of any one or more series of Preferred Stock then outstanding, newly created directorships resulting from any increase in the authorized number of Directors or any vacancies on the Board resulting from a Director’s death, resignation, disqualification, or removal from office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authorized number of Directors shall shorten the term of any Director then in office.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5" w:name="page166"/>
    <w:bookmarkEnd w:id="165"/>
    <w:p>
      <w:pPr>
        <w:ind w:right="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Any Director may resign from office at any time upon notice to the Corporation given in writing or by any electronic transmission permitted by the By-laws. Any such resignation shall be effective upon receipt thereof unless it is specified to be effective at some other time or upon the occurrence of some other event. The Board’s or the Corporation’s acceptance of a resignation shall not be necessary to make it effective. Subject to any limitations imposed by applicable law and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In case the Board or any one or more Directors should be so removed, any new Directors shall be elected pursuant to terms of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58" w:lineRule="exact"/>
        <w:rPr>
          <w:sz w:val="20"/>
          <w:szCs w:val="20"/>
          <w:color w:val="auto"/>
        </w:rPr>
      </w:pPr>
    </w:p>
    <w:p>
      <w:pPr>
        <w:ind w:left="620" w:hanging="184"/>
        <w:spacing w:after="0"/>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Subject to, with respect to the Preferred Stock, the terms of any series of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the Corporation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jc w:val="both"/>
        <w:ind w:left="440" w:right="320" w:firstLine="948"/>
        <w:spacing w:after="0" w:line="263" w:lineRule="auto"/>
        <w:tabs>
          <w:tab w:leader="none" w:pos="16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and for the transaction of such other business as may properly come before the meeting shall be held at such place, if any, on such date, and at such time as the Board shall determine in accordance with the By-Laws.</w:t>
      </w:r>
    </w:p>
    <w:p>
      <w:pPr>
        <w:spacing w:after="0" w:line="75" w:lineRule="exact"/>
        <w:rPr>
          <w:rFonts w:ascii="Arial" w:cs="Arial" w:eastAsia="Arial" w:hAnsi="Arial"/>
          <w:sz w:val="18"/>
          <w:szCs w:val="18"/>
          <w:color w:val="auto"/>
        </w:rPr>
      </w:pPr>
    </w:p>
    <w:p>
      <w:pPr>
        <w:ind w:left="440" w:right="160" w:firstLine="948"/>
        <w:spacing w:after="0" w:line="273" w:lineRule="auto"/>
        <w:tabs>
          <w:tab w:leader="none" w:pos="165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Subject to any special rights of the holders of any series of Preferred Stock and the requirements of applicable law, special meetings of stockholders of the Corporation may be called only by the chairperson of the Board, the vice chairperson of the Board, the chief executive officer of the Corporation or at the direction of the Board pursuant to a written resolution adopted by a majority of the total number of Directors that the Corporation would have if there were no vacancies, and the ability of the stockholders or any other Persons to call a special meeting of the stockholders is hereby specifically denied. Any business transacted at any special meeting of stockholders shall be limited to matters relating to the purpose or purposes stated in the notice of meeting.</w:t>
      </w:r>
    </w:p>
    <w:p>
      <w:pPr>
        <w:spacing w:after="0" w:line="69" w:lineRule="exact"/>
        <w:rPr>
          <w:rFonts w:ascii="Arial" w:cs="Arial" w:eastAsia="Arial" w:hAnsi="Arial"/>
          <w:sz w:val="17"/>
          <w:szCs w:val="17"/>
          <w:color w:val="auto"/>
        </w:rPr>
      </w:pPr>
    </w:p>
    <w:p>
      <w:pPr>
        <w:ind w:left="440" w:right="260" w:firstLine="948"/>
        <w:spacing w:after="0" w:line="277" w:lineRule="auto"/>
        <w:tabs>
          <w:tab w:leader="none" w:pos="17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6" w:name="page167"/>
    <w:bookmarkEnd w:id="16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There shall be no cumulative voting in the election of Directors.</w:t>
      </w:r>
    </w:p>
    <w:p>
      <w:pPr>
        <w:spacing w:after="0" w:line="117" w:lineRule="exact"/>
        <w:rPr>
          <w:sz w:val="20"/>
          <w:szCs w:val="20"/>
          <w:color w:val="auto"/>
        </w:rPr>
      </w:pPr>
    </w:p>
    <w:p>
      <w:pPr>
        <w:ind w:left="620" w:hanging="184"/>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Limited Liability</w:t>
      </w:r>
      <w:r>
        <w:rPr>
          <w:rFonts w:ascii="Arial" w:cs="Arial" w:eastAsia="Arial" w:hAnsi="Arial"/>
          <w:sz w:val="18"/>
          <w:szCs w:val="18"/>
          <w:color w:val="auto"/>
        </w:rPr>
        <w:t xml:space="preserve">. No Director shall have any personal liability to the Corporation or its stockholders for monetary damages for any breach of fiduciary duty as a director, except to the extent such exception from liability or limitation thereof is not permitted under the General Corporation Law as the same exists or hereafter may be amended to expand the scope of exculpation as permitted under the General Corporation Law. Without limiting the effect of the preceding sentence, if the General Corporation Law is hereafter amended to authorize further elimination or limitation of the liability of Directors, then the liability of a Director shall be eliminated or limited to the fullest extent permitted by the General Corporation Law, as so amended. Neither any amendment nor repeal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nor the adoption of any provision in this Certificate of Incorporation inconsistent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 shall eliminate, reduce or otherwise adversely affect any limitation on personal liability of a Director existing at or prior to the time of such amendment, repeal or adoption.</w:t>
      </w:r>
    </w:p>
    <w:p>
      <w:pPr>
        <w:spacing w:after="0" w:line="84"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xml:space="preserve">. To the fullest extent permitted by applicable law, the Corporation shall have the power to provide indemnification of (and advancement of expenses to) Directors, officers, employees and agents of the Corporation (and any other persons to which applicable law permits the Corporation to provide indemnification) through By-law provisions, agreements with such Directors, officers, employees, agents or other persons, vote of stockholders or disinterested directors or otherwise in excess of the indemnification and advancement otherwise permitted by such applicable law. Any amendment, repeal or modification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only be prospective and shall not affect the rights or protections or increase the liability of any Director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effect at the time of the alleged occurrence of any act or omission to act giving rise to liability or indemnification.</w:t>
      </w:r>
    </w:p>
    <w:p>
      <w:pPr>
        <w:spacing w:after="0" w:line="87"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8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and authority conferred in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not be exclusive of any other right that any Person may otherwise have or hereafter acquire.</w:t>
      </w:r>
    </w:p>
    <w:p>
      <w:pPr>
        <w:spacing w:after="0" w:line="62" w:lineRule="exact"/>
        <w:rPr>
          <w:sz w:val="20"/>
          <w:szCs w:val="20"/>
          <w:color w:val="auto"/>
        </w:rPr>
      </w:pPr>
    </w:p>
    <w:p>
      <w:pPr>
        <w:ind w:right="60" w:firstLine="436"/>
        <w:spacing w:after="0" w:line="259" w:lineRule="auto"/>
        <w:tabs>
          <w:tab w:leader="none" w:pos="71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In furtherance and not in limitation of the powers conferred by law, the Board is expressly authorized to adopt, alter, amend or repeal the By-laws. Any adoption, alteration, amendment or repeal of the By-laws by the Board shall require the approval of a majority of the authorized number of Directors. The stockholders of the Corporation shall also have power to adopt, alter, amend or repeal the By-laws.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7" w:name="page168"/>
    <w:bookmarkEnd w:id="167"/>
    <w:p>
      <w:pPr>
        <w:jc w:val="both"/>
        <w:ind w:firstLine="436"/>
        <w:spacing w:after="0" w:line="301" w:lineRule="auto"/>
        <w:tabs>
          <w:tab w:leader="none" w:pos="703"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Adoption, Amendment or Repeal of Certificate of Incorporation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Article 5</w:t>
      </w:r>
      <w:r>
        <w:rPr>
          <w:rFonts w:ascii="Arial" w:cs="Arial" w:eastAsia="Arial" w:hAnsi="Arial"/>
          <w:sz w:val="16"/>
          <w:szCs w:val="16"/>
          <w:color w:val="auto"/>
        </w:rPr>
        <w:t>, the Corporation reserves the right to adopt,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the Corporation to the Corporation or the Corporation’s stockholders; (iii) any action, suit or proceeding (including any class action) asserting a claim against the Corporation or any current or former director, officer, other employee, agent or stockholder of the Corporation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shall not apply to suits brought to enforce a duty or liability created by the Securities Exchange Act of 1934, as amended, or any other claim for which the federal courts have exclusive jurisdiction.</w:t>
      </w:r>
    </w:p>
    <w:p>
      <w:pPr>
        <w:spacing w:after="0" w:line="72"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12.2 If any action the subject matter of which is within the scope of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is filed in a court other than a court located within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xml:space="preserve">”) in the name of any stockholder of the Corporation,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Enforcement Action</w:t>
      </w:r>
      <w:r>
        <w:rPr>
          <w:rFonts w:ascii="Arial" w:cs="Arial" w:eastAsia="Arial" w:hAnsi="Arial"/>
          <w:sz w:val="17"/>
          <w:szCs w:val="17"/>
          <w:color w:val="auto"/>
        </w:rPr>
        <w:t>”) and (ii) having service of process made upon such stockholder in any such Enforcement Action by service upon such stockholder’s counsel in the Foreign Action as agent for such stockholder.</w:t>
      </w:r>
    </w:p>
    <w:p>
      <w:pPr>
        <w:spacing w:after="0" w:line="68"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12.3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68" w:name="page169"/>
    <w:bookmarkEnd w:id="168"/>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12.4 Any person or entity purchasing, holding, owning or otherwise acquiring any interest in any security of the Corporation shall be deemed to have notice of and to have consented to the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w:t>
      </w:r>
    </w:p>
    <w:p>
      <w:pPr>
        <w:spacing w:after="0" w:line="62" w:lineRule="exact"/>
        <w:rPr>
          <w:sz w:val="20"/>
          <w:szCs w:val="20"/>
          <w:color w:val="auto"/>
        </w:rPr>
      </w:pPr>
    </w:p>
    <w:p>
      <w:pPr>
        <w:ind w:firstLine="436"/>
        <w:spacing w:after="0" w:line="271" w:lineRule="auto"/>
        <w:tabs>
          <w:tab w:leader="none" w:pos="71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70" w:lineRule="exact"/>
        <w:rPr>
          <w:rFonts w:ascii="Arial" w:cs="Arial" w:eastAsia="Arial" w:hAnsi="Arial"/>
          <w:sz w:val="17"/>
          <w:szCs w:val="17"/>
          <w:color w:val="auto"/>
        </w:rPr>
      </w:pPr>
    </w:p>
    <w:p>
      <w:pPr>
        <w:ind w:right="100" w:firstLine="436"/>
        <w:spacing w:after="0" w:line="254" w:lineRule="auto"/>
        <w:tabs>
          <w:tab w:leader="none" w:pos="71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Corporate Opportunity</w:t>
      </w:r>
      <w:r>
        <w:rPr>
          <w:rFonts w:ascii="Arial" w:cs="Arial" w:eastAsia="Arial" w:hAnsi="Arial"/>
          <w:sz w:val="18"/>
          <w:szCs w:val="18"/>
          <w:color w:val="auto"/>
        </w:rPr>
        <w:t>. To the fullest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or presented to, or acquired or developed by such person solely in his or her capacity as a Director or officer of the Corporation and (i) such opportunity is one the Corporation is legally and contractually permitted to undertake and would otherwise be reasonable for the Corporation to pursue and (ii) such Director or officer is permitted to refer that opportunity to the Corporation without violating any legal obligation.</w:t>
      </w:r>
    </w:p>
    <w:p>
      <w:pPr>
        <w:spacing w:after="0" w:line="83" w:lineRule="exact"/>
        <w:rPr>
          <w:rFonts w:ascii="Arial" w:cs="Arial" w:eastAsia="Arial" w:hAnsi="Arial"/>
          <w:sz w:val="18"/>
          <w:szCs w:val="18"/>
          <w:color w:val="auto"/>
        </w:rPr>
      </w:pPr>
    </w:p>
    <w:p>
      <w:pPr>
        <w:ind w:right="220" w:firstLine="436"/>
        <w:spacing w:after="0" w:line="277" w:lineRule="auto"/>
        <w:tabs>
          <w:tab w:leader="none" w:pos="71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unless the context otherwise requires or as set forth in another Article or Section of this Certificate of Incorporation, the term:</w:t>
      </w:r>
    </w:p>
    <w:p>
      <w:pPr>
        <w:spacing w:after="0" w:line="62" w:lineRule="exact"/>
        <w:rPr>
          <w:rFonts w:ascii="Arial" w:cs="Arial" w:eastAsia="Arial" w:hAnsi="Arial"/>
          <w:sz w:val="18"/>
          <w:szCs w:val="18"/>
          <w:color w:val="auto"/>
        </w:rPr>
      </w:pPr>
    </w:p>
    <w:p>
      <w:pPr>
        <w:jc w:val="both"/>
        <w:ind w:left="440" w:firstLine="948"/>
        <w:spacing w:after="0" w:line="257" w:lineRule="auto"/>
        <w:tabs>
          <w:tab w:leader="none" w:pos="163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5.1(ii)(1)</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69" w:name="page170"/>
    <w:bookmarkEnd w:id="169"/>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232"/>
        <w:spacing w:after="0"/>
        <w:tabs>
          <w:tab w:leader="none" w:pos="11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LLC Unit</w:t>
      </w:r>
      <w:r>
        <w:rPr>
          <w:rFonts w:ascii="Arial" w:cs="Arial" w:eastAsia="Arial" w:hAnsi="Arial"/>
          <w:sz w:val="17"/>
          <w:szCs w:val="17"/>
          <w:color w:val="auto"/>
        </w:rPr>
        <w:t>” means a unit of Opal Fuels LLC designated as a “Class A Unit” pursuant to the Operating Agreement.</w:t>
      </w:r>
    </w:p>
    <w:p>
      <w:pPr>
        <w:spacing w:after="0" w:line="128" w:lineRule="exact"/>
        <w:rPr>
          <w:rFonts w:ascii="Arial" w:cs="Arial" w:eastAsia="Arial" w:hAnsi="Arial"/>
          <w:sz w:val="17"/>
          <w:szCs w:val="17"/>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LLC Unit</w:t>
      </w:r>
      <w:r>
        <w:rPr>
          <w:rFonts w:ascii="Arial" w:cs="Arial" w:eastAsia="Arial" w:hAnsi="Arial"/>
          <w:sz w:val="17"/>
          <w:szCs w:val="17"/>
          <w:color w:val="auto"/>
        </w:rPr>
        <w:t>” means a unit of Opal Fuels LLC designated as a “Class B Unit” pursuant to the Operating Agreement.</w:t>
      </w:r>
    </w:p>
    <w:p>
      <w:pPr>
        <w:spacing w:after="0" w:line="128" w:lineRule="exact"/>
        <w:rPr>
          <w:rFonts w:ascii="Arial" w:cs="Arial" w:eastAsia="Arial" w:hAnsi="Arial"/>
          <w:sz w:val="17"/>
          <w:szCs w:val="17"/>
          <w:color w:val="auto"/>
        </w:rPr>
      </w:pPr>
    </w:p>
    <w:p>
      <w:pPr>
        <w:ind w:left="1160" w:hanging="212"/>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340" w:firstLine="948"/>
        <w:spacing w:after="0" w:line="286" w:lineRule="auto"/>
        <w:tabs>
          <w:tab w:leader="none" w:pos="116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57" w:lineRule="exact"/>
        <w:rPr>
          <w:rFonts w:ascii="Arial" w:cs="Arial" w:eastAsia="Arial" w:hAnsi="Arial"/>
          <w:sz w:val="17"/>
          <w:szCs w:val="17"/>
          <w:color w:val="auto"/>
        </w:rPr>
      </w:pPr>
    </w:p>
    <w:p>
      <w:pPr>
        <w:ind w:left="1260" w:hanging="312"/>
        <w:spacing w:after="0"/>
        <w:tabs>
          <w:tab w:leader="none" w:pos="1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means the General Corporation Law of the State of Delaware, as from time to time in effect.</w:t>
      </w:r>
    </w:p>
    <w:p>
      <w:pPr>
        <w:spacing w:after="0" w:line="128" w:lineRule="exact"/>
        <w:rPr>
          <w:rFonts w:ascii="Arial" w:cs="Arial" w:eastAsia="Arial" w:hAnsi="Arial"/>
          <w:sz w:val="17"/>
          <w:szCs w:val="17"/>
          <w:color w:val="auto"/>
        </w:rPr>
      </w:pPr>
    </w:p>
    <w:p>
      <w:pPr>
        <w:ind w:left="1180" w:hanging="232"/>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Fuels LLC</w:t>
      </w:r>
      <w:r>
        <w:rPr>
          <w:rFonts w:ascii="Arial" w:cs="Arial" w:eastAsia="Arial" w:hAnsi="Arial"/>
          <w:sz w:val="18"/>
          <w:szCs w:val="18"/>
          <w:color w:val="auto"/>
        </w:rPr>
        <w:t>” means Opal Fuels LLC, a Delaware limited liability company or any successor thereto.</w:t>
      </w:r>
    </w:p>
    <w:p>
      <w:pPr>
        <w:spacing w:after="0" w:line="117" w:lineRule="exact"/>
        <w:rPr>
          <w:rFonts w:ascii="Arial" w:cs="Arial" w:eastAsia="Arial" w:hAnsi="Arial"/>
          <w:sz w:val="18"/>
          <w:szCs w:val="18"/>
          <w:color w:val="auto"/>
        </w:rPr>
      </w:pPr>
    </w:p>
    <w:p>
      <w:pPr>
        <w:ind w:firstLine="948"/>
        <w:spacing w:after="0" w:line="263" w:lineRule="auto"/>
        <w:tabs>
          <w:tab w:leader="none" w:pos="11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the Second Amended and Restated Operating Agreement of Opal Fuels LLC, dated as of [•], 2022, by and among the Corporation, the Post-Acquisition LLC Members and the other Persons that may become parties thereto from time to time, as the same may be amended, restated, supplemented and/or otherwise modified, from time to time.</w:t>
      </w:r>
    </w:p>
    <w:p>
      <w:pPr>
        <w:spacing w:after="0" w:line="75" w:lineRule="exact"/>
        <w:rPr>
          <w:rFonts w:ascii="Arial" w:cs="Arial" w:eastAsia="Arial" w:hAnsi="Arial"/>
          <w:sz w:val="18"/>
          <w:szCs w:val="18"/>
          <w:color w:val="auto"/>
        </w:rPr>
      </w:pPr>
    </w:p>
    <w:p>
      <w:pPr>
        <w:ind w:right="560" w:firstLine="948"/>
        <w:spacing w:after="0" w:line="308" w:lineRule="auto"/>
        <w:tabs>
          <w:tab w:leader="none" w:pos="116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Paired Interes</w:t>
      </w:r>
      <w:r>
        <w:rPr>
          <w:rFonts w:ascii="Arial" w:cs="Arial" w:eastAsia="Arial" w:hAnsi="Arial"/>
          <w:sz w:val="17"/>
          <w:szCs w:val="17"/>
          <w:color w:val="auto"/>
        </w:rPr>
        <w:t>t” means one Class B LLC Unit, together with one share of Class B Common Stock or one share of Class D Common Stock, as the case may be, subject to adjustment pursuant to Article XI of the Operating Agreement.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170" w:name="page171"/>
    <w:bookmarkEnd w:id="170"/>
    <w:p>
      <w:pPr>
        <w:ind w:left="4" w:right="320" w:firstLine="948"/>
        <w:spacing w:after="0" w:line="277" w:lineRule="auto"/>
        <w:tabs>
          <w:tab w:leader="none" w:pos="1210"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62"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Post-Acquisition LLC Members</w:t>
      </w:r>
      <w:r>
        <w:rPr>
          <w:rFonts w:ascii="Arial" w:cs="Arial" w:eastAsia="Arial" w:hAnsi="Arial"/>
          <w:sz w:val="16"/>
          <w:szCs w:val="16"/>
          <w:color w:val="auto"/>
        </w:rPr>
        <w:t>” means those members of Opal Fuels LLC, as set forth in the Operating Agreement, as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date thereof.</w:t>
      </w:r>
    </w:p>
    <w:p>
      <w:pPr>
        <w:spacing w:after="0" w:line="102" w:lineRule="exact"/>
        <w:rPr>
          <w:rFonts w:ascii="Arial" w:cs="Arial" w:eastAsia="Arial" w:hAnsi="Arial"/>
          <w:sz w:val="16"/>
          <w:szCs w:val="16"/>
          <w:color w:val="auto"/>
        </w:rPr>
      </w:pPr>
    </w:p>
    <w:p>
      <w:pPr>
        <w:ind w:left="1244" w:hanging="292"/>
        <w:spacing w:after="0"/>
        <w:tabs>
          <w:tab w:leader="none" w:pos="124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w:t>
      </w:r>
      <w:r>
        <w:rPr>
          <w:rFonts w:ascii="Arial" w:cs="Arial" w:eastAsia="Arial" w:hAnsi="Arial"/>
          <w:sz w:val="18"/>
          <w:szCs w:val="18"/>
          <w:color w:val="auto"/>
        </w:rPr>
        <w:t xml:space="preserve">t” is defined in </w:t>
      </w:r>
      <w:r>
        <w:rPr>
          <w:rFonts w:ascii="Arial" w:cs="Arial" w:eastAsia="Arial" w:hAnsi="Arial"/>
          <w:sz w:val="18"/>
          <w:szCs w:val="18"/>
          <w:u w:val="single" w:color="auto"/>
          <w:color w:val="auto"/>
        </w:rPr>
        <w:t>Section 5.1(ii)(3)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Sole Incorporator</w:t>
      </w:r>
      <w:r>
        <w:rPr>
          <w:rFonts w:ascii="Arial" w:cs="Arial" w:eastAsia="Arial" w:hAnsi="Arial"/>
          <w:sz w:val="18"/>
          <w:szCs w:val="18"/>
          <w:color w:val="auto"/>
        </w:rPr>
        <w:t>. The name and mailing address of the sole incorporator of the Corporation are:</w:t>
      </w:r>
    </w:p>
    <w:p>
      <w:pPr>
        <w:spacing w:after="0" w:line="225"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609 Main St</w:t>
      </w:r>
    </w:p>
    <w:p>
      <w:pPr>
        <w:spacing w:after="0" w:line="9"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364"/>
          </w:cols>
          <w:pgMar w:left="876" w:top="274" w:right="659" w:bottom="1440" w:gutter="0" w:footer="0" w:header="0"/>
        </w:sectPr>
      </w:pPr>
    </w:p>
    <w:bookmarkStart w:id="171" w:name="page172"/>
    <w:bookmarkEnd w:id="17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being the sole incorporator hereinabove named, makes and files this Certificate of Incorporation, and does hereby declare and certify that said instrument is its act and deed and that the facts stated herein are true, and accordingly has executed this Certificate of Incorporation this [•] day of [•],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KIRKLAND &amp; ELLIS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Certificate of Incorporation]</w:t>
      </w:r>
    </w:p>
    <w:p>
      <w:pPr>
        <w:sectPr>
          <w:pgSz w:w="11900" w:h="16838" w:orient="portrait"/>
          <w:cols w:equalWidth="0" w:num="1">
            <w:col w:w="10940"/>
          </w:cols>
          <w:pgMar w:left="440" w:top="274" w:right="5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Post-Closing ACT Bylaws</w:t>
      </w:r>
    </w:p>
    <w:p>
      <w:pPr>
        <w:sectPr>
          <w:pgSz w:w="11900" w:h="16838" w:orient="portrait"/>
          <w:cols w:equalWidth="0" w:num="1">
            <w:col w:w="9019"/>
          </w:cols>
          <w:pgMar w:left="1440" w:top="270"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these By-laws, unless the context otherwise requires, the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these By-laws of the Corporation, as amended and restated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Chief Executive Officer of the Corporation or if there are Co-Chief Executive Officers, the term “Chief Executive Officer” shall mean any Co-Chief Executive Officer.</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means, with respect to the relationship between or among two or more persons, the possession, directly or indirectly, of the power to direct or cause the direction of the affairs or management of such subject person, whether through the ownership of voting securities, as trustee or executor, by contract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Opal Fuels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means the directors of the Corporation.</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and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adjudication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Stockholder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Nomination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Proponent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Nominees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stockholders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40" w:top="274" w:right="639" w:bottom="1440" w:gutter="0" w:footer="0" w:header="0"/>
        </w:sectPr>
      </w:pPr>
    </w:p>
    <w:bookmarkStart w:id="175" w:name="page176"/>
    <w:bookmarkEnd w:id="1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Vice Chairman</w:t>
      </w:r>
      <w:r>
        <w:rPr>
          <w:rFonts w:ascii="Arial" w:cs="Arial" w:eastAsia="Arial" w:hAnsi="Arial"/>
          <w:sz w:val="18"/>
          <w:szCs w:val="18"/>
          <w:color w:val="auto"/>
        </w:rPr>
        <w:t>” means a Vice Chairman of the Board.</w:t>
      </w:r>
      <w:r>
        <w:rPr>
          <w:rFonts w:ascii="Arial" w:cs="Arial" w:eastAsia="Arial" w:hAnsi="Arial"/>
          <w:sz w:val="15"/>
          <w:szCs w:val="15"/>
          <w:color w:val="auto"/>
        </w:rPr>
        <w:t>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Commitment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STOCKHOLDERS</w:t>
      </w:r>
    </w:p>
    <w:p>
      <w:pPr>
        <w:spacing w:after="0" w:line="103"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may be held at any place, either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 Stockholder Proposals</w:t>
      </w:r>
      <w:r>
        <w:rPr>
          <w:rFonts w:ascii="Arial" w:cs="Arial" w:eastAsia="Arial" w:hAnsi="Arial"/>
          <w:sz w:val="18"/>
          <w:szCs w:val="18"/>
          <w:color w:val="auto"/>
        </w:rPr>
        <w:t>.</w:t>
      </w:r>
    </w:p>
    <w:p>
      <w:pPr>
        <w:spacing w:after="0" w:line="117" w:lineRule="exact"/>
        <w:rPr>
          <w:sz w:val="20"/>
          <w:szCs w:val="20"/>
          <w:color w:val="auto"/>
        </w:rPr>
      </w:pPr>
    </w:p>
    <w:p>
      <w:pPr>
        <w:jc w:val="both"/>
        <w:ind w:left="4" w:right="320" w:firstLine="987"/>
        <w:spacing w:after="0" w:line="263" w:lineRule="auto"/>
        <w:tabs>
          <w:tab w:leader="none" w:pos="1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meeting of Stockholders for the election of Directors and other business shall be held annually on a date and at a time as may be designated by the Board from time to time. The Board may postpone or reschedule any annual meeting of Stockholders previously scheduled by the Board.</w:t>
      </w:r>
    </w:p>
    <w:p>
      <w:pPr>
        <w:spacing w:after="0" w:line="75" w:lineRule="exact"/>
        <w:rPr>
          <w:rFonts w:ascii="Arial" w:cs="Arial" w:eastAsia="Arial" w:hAnsi="Arial"/>
          <w:sz w:val="18"/>
          <w:szCs w:val="18"/>
          <w:color w:val="auto"/>
        </w:rPr>
      </w:pPr>
    </w:p>
    <w:p>
      <w:pPr>
        <w:ind w:left="4" w:right="140" w:firstLine="987"/>
        <w:spacing w:after="0" w:line="287" w:lineRule="auto"/>
        <w:tabs>
          <w:tab w:leader="none" w:pos="125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At an annual meeting of Stockholders, only business (other than business relating to the nomination or election of Directors, which is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that has been properly brought before the Stockholder annual meeting in accordance with the procedures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conducted. To be properly brought before an annual meeting of Stockholders, such business must be brought before the meeting</w:t>
      </w:r>
    </w:p>
    <w:p>
      <w:pPr>
        <w:spacing w:after="0" w:line="2" w:lineRule="exact"/>
        <w:rPr>
          <w:rFonts w:ascii="Arial" w:cs="Arial" w:eastAsia="Arial" w:hAnsi="Arial"/>
          <w:sz w:val="16"/>
          <w:szCs w:val="16"/>
          <w:color w:val="auto"/>
        </w:rPr>
      </w:pPr>
    </w:p>
    <w:p>
      <w:pPr>
        <w:ind w:left="4" w:right="40" w:hanging="4"/>
        <w:spacing w:after="0" w:line="281" w:lineRule="auto"/>
        <w:tabs>
          <w:tab w:leader="none" w:pos="21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or any committee thereof or (ii) by a Stockholder who (A) was a Stockholder of record of the Corporation when the notice required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delivered to the Secretary and at the time of the meeting, (B) is entitled to vote at the meeting and (C) complies with the notice and other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2.2(k)</w:t>
      </w:r>
      <w:r>
        <w:rPr>
          <w:rFonts w:ascii="Arial" w:cs="Arial" w:eastAsia="Arial" w:hAnsi="Arial"/>
          <w:sz w:val="16"/>
          <w:szCs w:val="16"/>
          <w:color w:val="auto"/>
        </w:rPr>
        <w:t xml:space="preserve">, and except with respect to nominations or elections of Directors, which are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clause (ii)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is the exclusive means by which a Stockholder may bring business before an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clause</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is referred to as “</w:t>
      </w:r>
      <w:r>
        <w:rPr>
          <w:rFonts w:ascii="Arial" w:cs="Arial" w:eastAsia="Arial" w:hAnsi="Arial"/>
          <w:sz w:val="18"/>
          <w:szCs w:val="18"/>
          <w:u w:val="single" w:color="auto"/>
          <w:color w:val="auto"/>
        </w:rPr>
        <w:t>Stockholder Business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5"/>
          <w:szCs w:val="15"/>
          <w:color w:val="auto"/>
        </w:rPr>
      </w:pPr>
      <w:r>
        <w:rPr>
          <w:rFonts w:ascii="Arial" w:cs="Arial" w:eastAsia="Arial" w:hAnsi="Arial"/>
          <w:sz w:val="18"/>
          <w:szCs w:val="18"/>
          <w:b w:val="1"/>
          <w:bCs w:val="1"/>
          <w:u w:val="single" w:color="auto"/>
          <w:color w:val="auto"/>
        </w:rPr>
        <w:t>Note to Draft</w:t>
      </w:r>
      <w:r>
        <w:rPr>
          <w:rFonts w:ascii="Arial" w:cs="Arial" w:eastAsia="Arial" w:hAnsi="Arial"/>
          <w:sz w:val="18"/>
          <w:szCs w:val="18"/>
          <w:color w:val="auto"/>
        </w:rPr>
        <w:t>: The Vice Chairman to be a Fortistar nominee.</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76" w:name="page177"/>
    <w:bookmarkEnd w:id="176"/>
    <w:p>
      <w:pPr>
        <w:ind w:firstLine="987"/>
        <w:spacing w:after="0" w:line="258"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2.2(k)</w:t>
      </w:r>
      <w:r>
        <w:rPr>
          <w:rFonts w:ascii="Arial" w:cs="Arial" w:eastAsia="Arial" w:hAnsi="Arial"/>
          <w:sz w:val="18"/>
          <w:szCs w:val="18"/>
          <w:color w:val="auto"/>
        </w:rPr>
        <w:t>, at any annual meeting of Stockholders, all proposals of Stockholder Business must be made by timely written notice given by or on behalf of a Stockholder of record of the Corporation (the “</w:t>
      </w:r>
      <w:r>
        <w:rPr>
          <w:rFonts w:ascii="Arial" w:cs="Arial" w:eastAsia="Arial" w:hAnsi="Arial"/>
          <w:sz w:val="18"/>
          <w:szCs w:val="18"/>
          <w:u w:val="single" w:color="auto"/>
          <w:color w:val="auto"/>
        </w:rPr>
        <w:t>Notice of Business</w:t>
      </w:r>
      <w:r>
        <w:rPr>
          <w:rFonts w:ascii="Arial" w:cs="Arial" w:eastAsia="Arial" w:hAnsi="Arial"/>
          <w:sz w:val="18"/>
          <w:szCs w:val="18"/>
          <w:color w:val="auto"/>
        </w:rPr>
        <w:t>”) and must otherwise be a</w:t>
      </w:r>
    </w:p>
    <w:p>
      <w:pPr>
        <w:spacing w:after="0" w:line="1" w:lineRule="exact"/>
        <w:rPr>
          <w:rFonts w:ascii="Arial" w:cs="Arial" w:eastAsia="Arial" w:hAnsi="Arial"/>
          <w:sz w:val="18"/>
          <w:szCs w:val="18"/>
          <w:color w:val="auto"/>
        </w:rPr>
      </w:pPr>
    </w:p>
    <w:p>
      <w:pPr>
        <w:ind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proper matter for Stockholder action. To be timely, the Notice of Business must be delivered personally or mailed to, and received at, the Office of the Corporation, addressed to the Secretary, by no earlier than 120 days and no later than 90 days before the first anniversary of the date of the prior year’s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the annual meeting of Stockholders is advanced by more than 30 days, or delayed by more than 60 days, from the first anniversary of the prior year’s annual meeting of Stockholders or (ii) no annual meeting was held during the prior year, the notice by the Stockholder to be timely must be received (A) no earlier than 120 days before such annual meeting and (B) no later than the later of 90 days before such annual meeting and the tenth day after the day on which the notice of such annual meeting was made by mail or Public Disclosure. In no event shall an adjournment or postponement, or Public Disclosure of an adjournment or postponement, of a Stockholder annual meeting commence a new time period (or extend any time period) for the giving of the Notice of Business.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117" w:lineRule="exact"/>
        <w:rPr>
          <w:rFonts w:ascii="Arial" w:cs="Arial" w:eastAsia="Arial" w:hAnsi="Arial"/>
          <w:sz w:val="18"/>
          <w:szCs w:val="18"/>
          <w:color w:val="auto"/>
        </w:rPr>
      </w:pPr>
    </w:p>
    <w:p>
      <w:pPr>
        <w:ind w:left="440" w:right="280" w:firstLine="948"/>
        <w:spacing w:after="0" w:line="277" w:lineRule="auto"/>
        <w:tabs>
          <w:tab w:leader="none" w:pos="160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Stockholder Business (each, a “</w:t>
      </w:r>
      <w:r>
        <w:rPr>
          <w:rFonts w:ascii="Arial" w:cs="Arial" w:eastAsia="Arial" w:hAnsi="Arial"/>
          <w:sz w:val="18"/>
          <w:szCs w:val="18"/>
          <w:u w:val="single" w:color="auto"/>
          <w:color w:val="auto"/>
        </w:rPr>
        <w:t>Proponent</w:t>
      </w:r>
      <w:r>
        <w:rPr>
          <w:rFonts w:ascii="Arial" w:cs="Arial" w:eastAsia="Arial" w:hAnsi="Arial"/>
          <w:sz w:val="18"/>
          <w:szCs w:val="18"/>
          <w:color w:val="auto"/>
        </w:rPr>
        <w:t>”), as they appear on the Corporation’s books;</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 (defined below) of each Proponent;</w:t>
      </w:r>
    </w:p>
    <w:p>
      <w:pPr>
        <w:spacing w:after="0" w:line="117" w:lineRule="exact"/>
        <w:rPr>
          <w:rFonts w:ascii="Arial" w:cs="Arial" w:eastAsia="Arial" w:hAnsi="Arial"/>
          <w:sz w:val="18"/>
          <w:szCs w:val="18"/>
          <w:color w:val="auto"/>
        </w:rPr>
      </w:pPr>
    </w:p>
    <w:p>
      <w:pPr>
        <w:ind w:left="440" w:firstLine="948"/>
        <w:spacing w:after="0" w:line="285" w:lineRule="auto"/>
        <w:tabs>
          <w:tab w:leader="none" w:pos="170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of such Proponent, (A) the class or series and number of shares of stock of the Corporation, directly or indirectly, held of record and beneficially by such Proponent or Stockholder Associated Person of such Proponent, (B) the date such shares of stock were acquired, (C) a description of any agreement, arrangement or understanding, direct or indirect, with respect to such Stockholder Business between or among such Proponent, any Stockholder Associated Person of such Proponent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such Proponent’s notice by, or on behalf of, such Proponent or any Stockholder Associated Person of such Proponent, the effect or intent of which is to mitigate loss to, manage risk or benefit of share price changes for, or increase or decrease the voting power of such Proponent or any Stockholder Associated Person of such Proponent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Arial" w:cs="Arial" w:eastAsia="Arial" w:hAnsi="Arial"/>
          <w:sz w:val="16"/>
          <w:szCs w:val="16"/>
          <w:u w:val="single" w:color="auto"/>
          <w:color w:val="auto"/>
        </w:rPr>
        <w:t>Derivative</w:t>
      </w:r>
      <w:r>
        <w:rPr>
          <w:rFonts w:ascii="Arial" w:cs="Arial" w:eastAsia="Arial" w:hAnsi="Arial"/>
          <w:sz w:val="16"/>
          <w:szCs w:val="16"/>
          <w:color w:val="auto"/>
        </w:rPr>
        <w:t>”), (E) a description in reasonable detail of any proxy (including revocable proxies), contract, arrangement, understanding or other relationship pursuant to which such Proponent or Stockholder Associated Person of such Proponent has a right to vote any shares of stock of the Corporation, (F) any rights to dividends on the stock of the Corporation owned beneficially by such Proponent or any Stockholder Associated Person of such Proponent that are separated or separable from the underlying stock of the Corporation, (G)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7" w:name="page178"/>
    <w:bookmarkEnd w:id="177"/>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proportionate interest in stock of the Corporation or Derivatives held, directly or indirectly, by a general or limited partnership in which such Proponent or Stockholder Associated Person of such Proponent is a general partner or, directly or indirectly, beneficially owns an interest in a general partner and (H) any performance-related fees (other than an asset-based fee) that such Proponent or any Stockholder Associated Person of such Proponent is entitled to based on any increase or decrease in the value of stock of the Corporation or Derivatives thereof, if any, as of the date of such notice. The information specified in </w:t>
      </w:r>
      <w:r>
        <w:rPr>
          <w:rFonts w:ascii="Arial" w:cs="Arial" w:eastAsia="Arial" w:hAnsi="Arial"/>
          <w:sz w:val="16"/>
          <w:szCs w:val="16"/>
          <w:u w:val="single" w:color="auto"/>
          <w:color w:val="auto"/>
        </w:rPr>
        <w:t>Section 2.2(d)(i)</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Section 2.2(d)(iii)</w:t>
      </w:r>
      <w:r>
        <w:rPr>
          <w:rFonts w:ascii="Arial" w:cs="Arial" w:eastAsia="Arial" w:hAnsi="Arial"/>
          <w:sz w:val="16"/>
          <w:szCs w:val="16"/>
          <w:color w:val="auto"/>
        </w:rPr>
        <w:t xml:space="preserve"> is referred to herein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3" w:lineRule="exact"/>
        <w:rPr>
          <w:sz w:val="20"/>
          <w:szCs w:val="20"/>
          <w:color w:val="auto"/>
        </w:rPr>
      </w:pPr>
    </w:p>
    <w:p>
      <w:pPr>
        <w:ind w:left="4" w:right="40" w:firstLine="948"/>
        <w:spacing w:after="0" w:line="277" w:lineRule="auto"/>
        <w:tabs>
          <w:tab w:leader="none" w:pos="12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each Proponent’s or its Stockholder Associated Person’s immediate family sharing the same household;</w:t>
      </w:r>
    </w:p>
    <w:p>
      <w:pPr>
        <w:spacing w:after="0" w:line="62" w:lineRule="exact"/>
        <w:rPr>
          <w:rFonts w:ascii="Arial" w:cs="Arial" w:eastAsia="Arial" w:hAnsi="Arial"/>
          <w:sz w:val="18"/>
          <w:szCs w:val="18"/>
          <w:color w:val="auto"/>
        </w:rPr>
      </w:pPr>
    </w:p>
    <w:p>
      <w:pPr>
        <w:ind w:left="4" w:right="320" w:firstLine="948"/>
        <w:spacing w:after="0" w:line="277" w:lineRule="auto"/>
        <w:tabs>
          <w:tab w:leader="none" w:pos="121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representation to the Corporation that each Proponent is a holder of record of stock of the Corporation entitled to vote at the meeting and intends to appear in person or by proxy at the meeting to propose the Stockholder Business;</w:t>
      </w:r>
    </w:p>
    <w:p>
      <w:pPr>
        <w:spacing w:after="0" w:line="62" w:lineRule="exact"/>
        <w:rPr>
          <w:rFonts w:ascii="Arial" w:cs="Arial" w:eastAsia="Arial" w:hAnsi="Arial"/>
          <w:sz w:val="18"/>
          <w:szCs w:val="18"/>
          <w:color w:val="auto"/>
        </w:rPr>
      </w:pPr>
    </w:p>
    <w:p>
      <w:pPr>
        <w:ind w:left="4" w:right="20" w:firstLine="948"/>
        <w:spacing w:after="0" w:line="257" w:lineRule="auto"/>
        <w:tabs>
          <w:tab w:leader="none" w:pos="12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of Stockholders, the text of the proposal (including the text of any resolutions proposed for consideration and, if such business includes a proposal to amend these By-laws, the language of the proposed amendment) and the reasons for conducting such Stockholder Business at the meeting and any substantial interest (within the meaning of Item 5 of Schedule 14A under the Exchange Act) in such business of such stockholder and the beneficial owner (within the meaning of Rule 13d-3 promulgated under the Exchange Act);</w:t>
      </w:r>
    </w:p>
    <w:p>
      <w:pPr>
        <w:spacing w:after="0" w:line="79" w:lineRule="exact"/>
        <w:rPr>
          <w:rFonts w:ascii="Arial" w:cs="Arial" w:eastAsia="Arial" w:hAnsi="Arial"/>
          <w:sz w:val="18"/>
          <w:szCs w:val="18"/>
          <w:color w:val="auto"/>
        </w:rPr>
      </w:pPr>
    </w:p>
    <w:p>
      <w:pPr>
        <w:ind w:left="1304" w:hanging="352"/>
        <w:spacing w:after="0"/>
        <w:tabs>
          <w:tab w:leader="none" w:pos="130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material interest of each Proponent and any Stockholder Associated Person of such Proponent in the Stockholder Business;</w:t>
      </w:r>
    </w:p>
    <w:p>
      <w:pPr>
        <w:spacing w:after="0" w:line="140" w:lineRule="exact"/>
        <w:rPr>
          <w:rFonts w:ascii="Arial" w:cs="Arial" w:eastAsia="Arial" w:hAnsi="Arial"/>
          <w:sz w:val="16"/>
          <w:szCs w:val="16"/>
          <w:color w:val="auto"/>
        </w:rPr>
      </w:pPr>
    </w:p>
    <w:p>
      <w:pPr>
        <w:ind w:left="4" w:right="80" w:firstLine="948"/>
        <w:spacing w:after="0" w:line="291" w:lineRule="auto"/>
        <w:tabs>
          <w:tab w:leader="none" w:pos="13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 representation to the Corporation as to whether each Proponent intends (A) to deliver a proxy statement and form of proxy to holders of at least the percentage of the Corporation’s outstanding capital stock required to approve or adopt the Stockholder Business or</w:t>
      </w:r>
    </w:p>
    <w:p>
      <w:pPr>
        <w:ind w:left="284" w:hanging="284"/>
        <w:spacing w:after="0"/>
        <w:tabs>
          <w:tab w:leader="none" w:pos="28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otherwise to solicit proxies from the Stockholders in support of such Stockholder Business;</w:t>
      </w:r>
    </w:p>
    <w:p>
      <w:pPr>
        <w:spacing w:after="0" w:line="102" w:lineRule="exact"/>
        <w:rPr>
          <w:rFonts w:ascii="Arial" w:cs="Arial" w:eastAsia="Arial" w:hAnsi="Arial"/>
          <w:sz w:val="18"/>
          <w:szCs w:val="18"/>
          <w:color w:val="auto"/>
        </w:rPr>
      </w:pPr>
    </w:p>
    <w:p>
      <w:pPr>
        <w:ind w:left="4" w:right="80" w:firstLine="948"/>
        <w:spacing w:after="0" w:line="277" w:lineRule="auto"/>
        <w:tabs>
          <w:tab w:leader="none" w:pos="12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Proponents or Stockholder Associated Persons of the Proponents were participants in a solicitation subject to Section 14 of the Exchange Act; and</w:t>
      </w:r>
    </w:p>
    <w:p>
      <w:pPr>
        <w:spacing w:after="0" w:line="62" w:lineRule="exact"/>
        <w:rPr>
          <w:rFonts w:ascii="Arial" w:cs="Arial" w:eastAsia="Arial" w:hAnsi="Arial"/>
          <w:sz w:val="18"/>
          <w:szCs w:val="18"/>
          <w:color w:val="auto"/>
        </w:rPr>
      </w:pPr>
    </w:p>
    <w:p>
      <w:pPr>
        <w:ind w:left="4" w:right="740" w:firstLine="948"/>
        <w:spacing w:after="0" w:line="277" w:lineRule="auto"/>
        <w:tabs>
          <w:tab w:leader="none" w:pos="121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the Proponents shall provide any other information reasonably requested by the Corporation.</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178" w:name="page179"/>
    <w:bookmarkEnd w:id="17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Proponents shall also provide any other information reasonably requested by the Corporation within ten business days after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103" w:lineRule="exact"/>
        <w:rPr>
          <w:sz w:val="20"/>
          <w:szCs w:val="20"/>
          <w:color w:val="auto"/>
        </w:rPr>
      </w:pPr>
    </w:p>
    <w:p>
      <w:pPr>
        <w:ind w:right="80" w:firstLine="987"/>
        <w:spacing w:after="0" w:line="272" w:lineRule="auto"/>
        <w:tabs>
          <w:tab w:leader="none" w:pos="121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 addition, the Proponents shall further update and supplement the information provided to the Corporation in the Notice of Business or upon the Corporation’s request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as needed, so that such information shall be true and correct as of the record date for the meeting and as of the date that is the later of five business days before the meeting or any adjournment or postponement thereof. Such update and supplement must be delivered personally or mailed to, and received at, the Office of the Corporation, addressed to the Secretary, by no later than five business days after the record date for the meeting (in the case of the update and supplement required to be made as of the record date), and not later than two business days before the date for the meeting (in the case of the update and supplement required to be made as of five business days before the meeting or any adjournment or postponement thereof).</w:t>
      </w:r>
    </w:p>
    <w:p>
      <w:pPr>
        <w:spacing w:after="0" w:line="69" w:lineRule="exact"/>
        <w:rPr>
          <w:rFonts w:ascii="Arial" w:cs="Arial" w:eastAsia="Arial" w:hAnsi="Arial"/>
          <w:sz w:val="17"/>
          <w:szCs w:val="17"/>
          <w:color w:val="auto"/>
        </w:rPr>
      </w:pPr>
    </w:p>
    <w:p>
      <w:pPr>
        <w:ind w:right="40" w:firstLine="987"/>
        <w:spacing w:after="0" w:line="259" w:lineRule="auto"/>
        <w:tabs>
          <w:tab w:leader="none" w:pos="12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person presiding over the meeting of Stockholders shall, if the facts warrant, determine and declare to the meeting of Stockholders that business was not properly brought before the meeting of Stockholders in accordance with the procedures set forth in this </w:t>
      </w:r>
      <w:r>
        <w:rPr>
          <w:rFonts w:ascii="Arial" w:cs="Arial" w:eastAsia="Arial" w:hAnsi="Arial"/>
          <w:sz w:val="18"/>
          <w:szCs w:val="18"/>
          <w:u w:val="single" w:color="auto"/>
          <w:color w:val="auto"/>
        </w:rPr>
        <w:t>Section 2.2</w:t>
      </w:r>
      <w:r>
        <w:rPr>
          <w:rFonts w:ascii="Arial" w:cs="Arial" w:eastAsia="Arial" w:hAnsi="Arial"/>
          <w:sz w:val="18"/>
          <w:szCs w:val="18"/>
          <w:color w:val="auto"/>
        </w:rPr>
        <w:t>, and if he or she should so determine, he or she shall so declare to the meeting of Stockholders and any such business not properly brought before the meeting of Stockholders shall not be transacted.</w:t>
      </w:r>
    </w:p>
    <w:p>
      <w:pPr>
        <w:spacing w:after="0" w:line="78" w:lineRule="exact"/>
        <w:rPr>
          <w:rFonts w:ascii="Arial" w:cs="Arial" w:eastAsia="Arial" w:hAnsi="Arial"/>
          <w:sz w:val="18"/>
          <w:szCs w:val="18"/>
          <w:color w:val="auto"/>
        </w:rPr>
      </w:pPr>
    </w:p>
    <w:p>
      <w:pPr>
        <w:ind w:firstLine="987"/>
        <w:spacing w:after="0" w:line="273"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If each Proponent (or a qualified representative of such Proponent) does not appear at the meeting of Stockholders to present the Stockholder Business, such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such writing or electronic transmission, at the meeting of Stockholders.</w:t>
      </w:r>
    </w:p>
    <w:p>
      <w:pPr>
        <w:spacing w:after="0" w:line="69" w:lineRule="exact"/>
        <w:rPr>
          <w:rFonts w:ascii="Arial" w:cs="Arial" w:eastAsia="Arial" w:hAnsi="Arial"/>
          <w:sz w:val="17"/>
          <w:szCs w:val="17"/>
          <w:color w:val="auto"/>
        </w:rPr>
      </w:pPr>
    </w:p>
    <w:p>
      <w:pPr>
        <w:ind w:right="440" w:firstLine="987"/>
        <w:spacing w:after="0" w:line="263" w:lineRule="auto"/>
        <w:tabs>
          <w:tab w:leader="none" w:pos="12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75" w:lineRule="exact"/>
        <w:rPr>
          <w:rFonts w:ascii="Arial" w:cs="Arial" w:eastAsia="Arial" w:hAnsi="Arial"/>
          <w:sz w:val="18"/>
          <w:szCs w:val="18"/>
          <w:color w:val="auto"/>
        </w:rPr>
      </w:pPr>
    </w:p>
    <w:p>
      <w:pPr>
        <w:ind w:firstLine="987"/>
        <w:spacing w:after="0" w:line="263" w:lineRule="auto"/>
        <w:tabs>
          <w:tab w:leader="none" w:pos="12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means, with respect to any Stockholder, (i) any other beneficial owner of stock of the Corporation that is owned by such Stockholder and (ii) any person that directly, or indirectly through one or more intermediaries, controls, or is controlled by, or is under common control with, such Stockholder or such beneficial owner.</w:t>
      </w:r>
    </w:p>
    <w:p>
      <w:pPr>
        <w:spacing w:after="0" w:line="75" w:lineRule="exact"/>
        <w:rPr>
          <w:rFonts w:ascii="Arial" w:cs="Arial" w:eastAsia="Arial" w:hAnsi="Arial"/>
          <w:sz w:val="18"/>
          <w:szCs w:val="18"/>
          <w:color w:val="auto"/>
        </w:rPr>
      </w:pPr>
    </w:p>
    <w:p>
      <w:pPr>
        <w:ind w:firstLine="987"/>
        <w:spacing w:after="0" w:line="279"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notice requirements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satisfied with respect to Stockholder proposals that have been properly brought under Rule 14a-8 of the Exchange Act and that are included in a proxy statement that has been prepared by the Corporation to solicit proxies for an annual meeting of Stockholders. Further, nothing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to affect any rights of the holders of any series of preferred stock of the Corporation pursuant to any applicable provision of the Certificate of Incorporation.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9" w:name="page180"/>
    <w:bookmarkEnd w:id="179"/>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may be called only in the manner set forth in the Certificate of Incorporation. Notice of every special meeting of Stockholders shall state the purpose or purposes of such meeting. Except as otherwise required by law, the business conducted at a special meeting of Stockholders shall be limited to matters relating to the purpose or purposes stated in the Corporation’s notice of meeting, and the Board shall have exclusive authority to determine the business included in such notice. The Chairman, a Vice Chairman, the chief executive officer or the Board may postpone, reschedule or cancel any special meeting of Stockholders previously called.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Record Date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987"/>
        <w:spacing w:after="0" w:line="286" w:lineRule="auto"/>
        <w:tabs>
          <w:tab w:leader="none" w:pos="123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any meeting of Stockholders or any adjournment thereof, unless otherwise required by the Certificate of Incorporation or applicable law, the Board may fix a record date (the “</w:t>
      </w:r>
      <w:r>
        <w:rPr>
          <w:rFonts w:ascii="Arial" w:cs="Arial" w:eastAsia="Arial" w:hAnsi="Arial"/>
          <w:sz w:val="16"/>
          <w:szCs w:val="16"/>
          <w:u w:val="single" w:color="auto"/>
          <w:color w:val="auto"/>
        </w:rPr>
        <w:t>Notice Record Date</w:t>
      </w:r>
      <w:r>
        <w:rPr>
          <w:rFonts w:ascii="Arial" w:cs="Arial" w:eastAsia="Arial" w:hAnsi="Arial"/>
          <w:sz w:val="16"/>
          <w:szCs w:val="16"/>
          <w:color w:val="auto"/>
        </w:rPr>
        <w:t>”), which record date shall not precede the date on which the resolution fixing the record date is adopted by the Board and shall not be more than 60 days or less than ten days before the date of such meeting. The Notice Record Date shall also be the record date for determining the Stockholders entitled to vote at such meeting unless the Board determines, at the time it fixes such Notice Record Date, that a later date on or before the date of such meeting shall be the date for making such determination (the “</w:t>
      </w:r>
      <w:r>
        <w:rPr>
          <w:rFonts w:ascii="Arial" w:cs="Arial" w:eastAsia="Arial" w:hAnsi="Arial"/>
          <w:sz w:val="16"/>
          <w:szCs w:val="16"/>
          <w:u w:val="single" w:color="auto"/>
          <w:color w:val="auto"/>
        </w:rPr>
        <w:t>Voting Record Date</w:t>
      </w:r>
      <w:r>
        <w:rPr>
          <w:rFonts w:ascii="Arial" w:cs="Arial" w:eastAsia="Arial" w:hAnsi="Arial"/>
          <w:sz w:val="16"/>
          <w:szCs w:val="16"/>
          <w:color w:val="auto"/>
        </w:rPr>
        <w:t>”). For the purposes of determining the Stockholders entitled to consent to corporate action without a meeting of Stockholders in accordance with Section 228 of the General Corporation Law, unless otherwise required by the Certificate of Incorporation or applicable law, the Board may fix a record date, which record date shall not precede the date on which the resolution fixing the record date is adopted by the Board and shall not be more than ten days after the date on which the resolution fixing the record date is adopted by the Board. For the purposes of determining the Stockholders entitled to (i) receive payment of any dividend or other distribution or allotment of any rights, (ii) exercise any rights in respect of any change, conversion or exchange of stock of the Corporation or (iii) take any other lawful action, unless otherwise required by the Certificate of Incorporation or applicable law, the Board may fix a record date, which record date shall not precede the date on which the resolution fixing the record date is adopted by the Board and shall not be more than 60 days prior to such action.</w:t>
      </w:r>
    </w:p>
    <w:p>
      <w:pPr>
        <w:spacing w:after="0" w:line="65" w:lineRule="exact"/>
        <w:rPr>
          <w:rFonts w:ascii="Arial" w:cs="Arial" w:eastAsia="Arial" w:hAnsi="Arial"/>
          <w:sz w:val="16"/>
          <w:szCs w:val="16"/>
          <w:color w:val="auto"/>
        </w:rPr>
      </w:pPr>
    </w:p>
    <w:p>
      <w:pPr>
        <w:ind w:left="1240" w:hanging="253"/>
        <w:spacing w:after="0"/>
        <w:tabs>
          <w:tab w:leader="none" w:pos="12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no such record date is fixed by the Board:</w:t>
      </w:r>
    </w:p>
    <w:p>
      <w:pPr>
        <w:spacing w:after="0" w:line="117" w:lineRule="exact"/>
        <w:rPr>
          <w:rFonts w:ascii="Arial" w:cs="Arial" w:eastAsia="Arial" w:hAnsi="Arial"/>
          <w:sz w:val="18"/>
          <w:szCs w:val="18"/>
          <w:color w:val="auto"/>
        </w:rPr>
      </w:pPr>
    </w:p>
    <w:p>
      <w:pPr>
        <w:ind w:left="440" w:right="20" w:firstLine="948"/>
        <w:spacing w:after="0" w:line="263" w:lineRule="auto"/>
        <w:tabs>
          <w:tab w:leader="none" w:pos="160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5" w:lineRule="exact"/>
        <w:rPr>
          <w:rFonts w:ascii="Arial" w:cs="Arial" w:eastAsia="Arial" w:hAnsi="Arial"/>
          <w:sz w:val="18"/>
          <w:szCs w:val="18"/>
          <w:color w:val="auto"/>
        </w:rPr>
      </w:pPr>
    </w:p>
    <w:p>
      <w:pPr>
        <w:ind w:left="440" w:firstLine="948"/>
        <w:spacing w:after="0" w:line="255" w:lineRule="auto"/>
        <w:tabs>
          <w:tab w:leader="none" w:pos="165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without a meeting of Stockholders (unless otherwise provided in the Certificate of Incorporation or applicable law), when no prior action by the Board is required by applicable law, shall be the first date on which a signed consent setting forth the action taken or proposed to be taken is delivered to the Corporation in accordance with applicable law, and if prior action by the Board is required by applicable law, the record date for determining Stockholders entitled to consent to corporate action in writing without a meeting of Stockholders shall be at the close of business on the day on which the Board adopts the resolution taking such prior action; 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0" w:name="page181"/>
    <w:bookmarkEnd w:id="180"/>
    <w:p>
      <w:pPr>
        <w:ind w:left="440" w:right="60" w:firstLine="948"/>
        <w:spacing w:after="0" w:line="259" w:lineRule="auto"/>
        <w:tabs>
          <w:tab w:leader="none" w:pos="1707" w:val="left"/>
        </w:tabs>
        <w:numPr>
          <w:ilvl w:val="1"/>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record date for determining Stockholders entitled to (i) receive payment of any dividend or other distribution or allotment of any rights, (ii) exercise any rights in respect of any change, conversion or exchange of stock of the Corporation or (iii) take any other lawful action, unless otherwise required by the Certificate of Incorporation or applicable law, shall be at the close of business on the day on which the Board adopts the resolutions relating thereto.</w:t>
      </w:r>
    </w:p>
    <w:p>
      <w:pPr>
        <w:spacing w:after="0" w:line="78" w:lineRule="exact"/>
        <w:rPr>
          <w:rFonts w:ascii="Arial" w:cs="Arial" w:eastAsia="Arial" w:hAnsi="Arial"/>
          <w:sz w:val="18"/>
          <w:szCs w:val="18"/>
          <w:color w:val="auto"/>
        </w:rPr>
      </w:pPr>
    </w:p>
    <w:p>
      <w:pPr>
        <w:ind w:left="440" w:right="120" w:firstLine="419"/>
        <w:spacing w:after="0" w:line="259" w:lineRule="auto"/>
        <w:tabs>
          <w:tab w:leader="none" w:pos="11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when a determination of Stockholders of record entitled to notice of, or to vote at, any meeting of Stockholders has been made as provided in this </w:t>
      </w:r>
      <w:r>
        <w:rPr>
          <w:rFonts w:ascii="Arial" w:cs="Arial" w:eastAsia="Arial" w:hAnsi="Arial"/>
          <w:sz w:val="18"/>
          <w:szCs w:val="18"/>
          <w:u w:val="single" w:color="auto"/>
          <w:color w:val="auto"/>
        </w:rPr>
        <w:t>Section 2.4</w:t>
      </w:r>
      <w:r>
        <w:rPr>
          <w:rFonts w:ascii="Arial" w:cs="Arial" w:eastAsia="Arial" w:hAnsi="Arial"/>
          <w:sz w:val="18"/>
          <w:szCs w:val="18"/>
          <w:color w:val="auto"/>
        </w:rPr>
        <w:t>, such determination shall apply to any adjournment thereof, unless the Board fixes a new Voting Record Date for the adjourned meeting of Stockholders, in which case the Board shall also fix such Voting Record Date or a date earlier than such date as the new Notice Record Date for such adjourned meeting.</w:t>
      </w:r>
    </w:p>
    <w:p>
      <w:pPr>
        <w:spacing w:after="0" w:line="79"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of Stockholders, a notice of the meeting in form of a writing or electronic transmission shall be given stating: (a) the place, if any, date and hour of such meeting; (b) the means of remote communication, if any, by which Stockholders and proxy holders may be deemed to be present in person and vote at such meeting; (c) the Voting Record Date, if such date is different from the Notice Record Date; and, (d) in the case of a special meeting of Stockholders, the purpose or purposes for which such meeting is called. Unless otherwise provided by these By-laws or applicable law, the notice of any meeting of Stockholders shall be given, not less than ten days nor more than</w:t>
      </w:r>
    </w:p>
    <w:p>
      <w:pPr>
        <w:spacing w:after="0" w:line="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60 days before the date of such meeting, to each Stockholder entitled to vote at such meeting as of the Notice Record Date. If mailed, such notice shall be deemed to be given when deposited in the U.S. mail, with postage prepaid, and directed to the Stockholder at his, her or its address as it appears on the records of the Corporation. Without limiting the manner by which notices of meetings otherwise may be given effectively to stockholders, any such notice may be given by electronic mail or other electronic transmission in the manner provided in Section 232 of the General Corporation Law. An affidavit of the Secretary, an Assistant Secretary or the transfer agent of the Corporation that the notice required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has been given shall, in the absence of fraud, be prima facie evidence of the facts stated therein. If a meeting of Stockholders is adjourned to another time or place, notice need not be given of the adjourned meeting of Stockholders if the time and place, if any, thereof and the means of remote communications, if any, by which stockholders and proxy holders may be deemed to be present in person and vote at such adjourned meeting are announced at the meeting of Stockholders at which the adjournment is taken. Any business that might have been transacted at the meeting of Stockholders as originally called may be transacted at the adjourned meeting of Stockholders. If, however, the adjournment is for more than 30 days, a notice of the adjourned meeting of Stockholders shall be given to each Stockholder of record entitled to vote at such meeting. If, after the adjournment, a new Voting Record Date is fixed for the adjourned meeting of Stockholders, the Board shall fix a new Notice Record Date in accordance with </w:t>
      </w:r>
      <w:r>
        <w:rPr>
          <w:rFonts w:ascii="Arial" w:cs="Arial" w:eastAsia="Arial" w:hAnsi="Arial"/>
          <w:sz w:val="16"/>
          <w:szCs w:val="16"/>
          <w:u w:val="single" w:color="auto"/>
          <w:color w:val="auto"/>
        </w:rPr>
        <w:t>Section 2.4(b)(iii)</w:t>
      </w:r>
      <w:r>
        <w:rPr>
          <w:rFonts w:ascii="Arial" w:cs="Arial" w:eastAsia="Arial" w:hAnsi="Arial"/>
          <w:sz w:val="16"/>
          <w:szCs w:val="16"/>
          <w:color w:val="auto"/>
        </w:rPr>
        <w:t xml:space="preserve"> and shall give notice of such adjourned meeting to each Stockholder entitled to vote at such meeting as of the Notice Record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1" w:name="page182"/>
    <w:bookmarkEnd w:id="181"/>
    <w:p>
      <w:pPr>
        <w:ind w:right="6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the giving of any notice to Stockholders is required to be given by applicable law, the Certificate of Incorporation or these By-laws, a written waiver, signed by the person entitled to notice, or a waiver electronic transmission by the person entitled to notice, whether before or after the event as to which such notice is required, shall be deemed equivalent to notice. Attendance by a Stockholder at a meeting of Stockholders shall constitute a waiver of notice of such meeting except when the Stockholder attends such meeting for the express purpose of objecting, at the beginning of such meeting, to the transaction of any business on the ground that such meeting has not been lawfully called or convened. Any Stockholder so waiving notice of such meeting shall be bound by the proceedings of any such meeting in all respects as if due notice thereof had been given. Neither the business to be transacted at, nor the purposes of, any regular or special meeting of Stockholders need be specified in any written waiver of notice or any waiver by electronic transmission unless so required by the Certificate of Incorporation or these By-laws.</w:t>
      </w:r>
    </w:p>
    <w:p>
      <w:pPr>
        <w:spacing w:after="0" w:line="5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Corporation shall prepare and make available, at least ten days before every meeting of Stockholders, a complete, alphabetical list of the Stockholders entitled to vote at the meeting of Stockholders (provided, however, that if the record date for determining the stockholders entitled to vote is less than ten days before the date of the meeting, the list shall reflect the stockholders entitled to vote as of the tenth day before the meeting date), and showing the address of each Stockholder and the number of shares registered in the name of each Stockholder. The Corporation shall not be required to include electronic mail addresses or other electronic contact information on such list. Such list may be examined by any Stockholder or such Stockholder’s agent or attorney, at such Stockholder’s expense, for any purpose germane to the meeting of Stockholders, for a period of at least ten days prior to such meeting, during ordinary business hours at the principal place of business of the Corporation or on a reasonably accessible electronic network as provided by applicable law. If the meeting of Stockholders is to be held at a place, the list shall also be produced and kept at the time and place of such meeting during the whole time thereof and may be examined by any Stockholder who is present. If the meeting of Stockholders is held solely by means of remote communication, the list shall also be open for examination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6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Quorum of Stockholders; Adjournment</w:t>
      </w:r>
      <w:r>
        <w:rPr>
          <w:rFonts w:ascii="Arial" w:cs="Arial" w:eastAsia="Arial" w:hAnsi="Arial"/>
          <w:sz w:val="17"/>
          <w:szCs w:val="17"/>
          <w:color w:val="auto"/>
        </w:rPr>
        <w:t xml:space="preserve">. Except as otherwise provided by law, the Certificate of Incorporation or these By-laws, at each meeting of Stockholders, the presence, in person, or represented by proxy, of the holders of a majority of the voting power of all issued and outstanding shares of stock of the Corporation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present in person or represented by proxy. In the absence of a quorum, the holders of a majority in voting power of the shares of stock of the Corporation present in person or represented by proxy at any meeting of Stockholders, including an adjourned meeting of Stockholders, and entitled to vote at the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limit the right of the Corporation to vote stock, including, but not limited to its own stock, held by it in a fiduciary capacity.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2" w:name="page183"/>
    <w:bookmarkEnd w:id="18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Arial" w:cs="Arial" w:eastAsia="Arial" w:hAnsi="Arial"/>
          <w:sz w:val="17"/>
          <w:szCs w:val="17"/>
          <w:u w:val="single" w:color="auto"/>
          <w:color w:val="auto"/>
        </w:rPr>
        <w:t>Voting; Proxies</w:t>
      </w:r>
      <w:r>
        <w:rPr>
          <w:rFonts w:ascii="Arial" w:cs="Arial" w:eastAsia="Arial" w:hAnsi="Arial"/>
          <w:sz w:val="17"/>
          <w:szCs w:val="17"/>
          <w:color w:val="auto"/>
        </w:rPr>
        <w:t>. Unless otherwise provided by the General Corporation Law and except as specifically provided in Section 5.1(i)(1) of the Certificate of Incorporation, each Stockholder entitled to vote at any meeting of Stockholders shall be entitled to one vote for each share of stock of the Corporation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the holders of a majority in voting power of the issued and outstanding shares of capital stock of the Corporation present in person or represented by proxy and entitled to vote thereon. At all meetings of Stockholders for the election of Directors, a plurality of the votes cast shall be sufficient to elect Directors. Each Stockholder entitled to vote at a meeting of Stockholders or to express consent or dissent to corporate action in writing without a meeting of the Corporation may authorize another person or persons to act for such Stockholder by proxy, but no such proxy shall be voted or acted upon after three years from its date, unless the proxy expressly provides for a longer period. A duly executed proxy shall be irrevocable if it states that it is irrevocable and if, and only so long as, it is coupled with an interest sufficient in law to support an irrevocable power. A Stockholder may revoke any proxy that is not irrevocable by attending the meeting of Stockholders and voting in person or by delivering to the Secretary a revocation of the proxy or by delivering a new proxy bearing a later date.</w:t>
      </w:r>
    </w:p>
    <w:p>
      <w:pPr>
        <w:spacing w:after="0" w:line="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at Meetings of Stockholders</w:t>
      </w:r>
      <w:r>
        <w:rPr>
          <w:rFonts w:ascii="Arial" w:cs="Arial" w:eastAsia="Arial" w:hAnsi="Arial"/>
          <w:sz w:val="16"/>
          <w:szCs w:val="16"/>
          <w:color w:val="auto"/>
        </w:rPr>
        <w:t>. The Corporation, in advance of any meeting of Stockholders, shall appoint one or more inspectors, who may be employees of the Corporation, to act at such meeting and make a written report thereof. The Corporation may designate one or more persons as alternate inspectors to replace any inspector who fails to act. If no inspector or alternate is able to act at a meeting of Stockholders, the person presiding at such meeting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of Stockholders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such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of Stockholders shall be determined by the person presiding at such meeting and shall be announced at such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3" w:name="page184"/>
    <w:bookmarkEnd w:id="183"/>
    <w:p>
      <w:pPr>
        <w:ind w:left="4" w:right="6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Arial" w:cs="Arial" w:eastAsia="Arial" w:hAnsi="Arial"/>
          <w:sz w:val="16"/>
          <w:szCs w:val="16"/>
          <w:u w:val="single" w:color="auto"/>
          <w:color w:val="auto"/>
        </w:rPr>
        <w:t>Conduct of Meetings; Adjournment</w:t>
      </w:r>
      <w:r>
        <w:rPr>
          <w:rFonts w:ascii="Arial" w:cs="Arial" w:eastAsia="Arial" w:hAnsi="Arial"/>
          <w:sz w:val="16"/>
          <w:szCs w:val="16"/>
          <w:color w:val="auto"/>
        </w:rPr>
        <w:t>. The Board may adopt such rules and procedures for the conduct of Stockholder meetings as it deems appropriate. At each meeting of Stockholders, the Chairman or, in the absence of the Chairman, the Vice Chairman or a designee appointed by the Chairman shall preside over each such meeting. Except to the extent inconsistent with the rules and procedures as adopted by the Board, the person presiding over the meeting of Stockholders shall have the right and authority to convene, adjourn and reconvene such meeting from time to time to prescribe such additional rules and procedures and to do all such acts as, in the judgment of such person, are appropriate for the proper conduct of such meeting. Such rules and procedures, whether adopted by the Board or prescribed by the person presiding over the meeting of Stockholders, may include</w:t>
      </w:r>
    </w:p>
    <w:p>
      <w:pPr>
        <w:spacing w:after="0" w:line="4" w:lineRule="exact"/>
        <w:rPr>
          <w:sz w:val="20"/>
          <w:szCs w:val="20"/>
          <w:color w:val="auto"/>
        </w:rPr>
      </w:pPr>
    </w:p>
    <w:p>
      <w:pPr>
        <w:ind w:left="4" w:hanging="4"/>
        <w:spacing w:after="0" w:line="285" w:lineRule="auto"/>
        <w:tabs>
          <w:tab w:leader="none" w:pos="24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such meeting, (b) rules and procedures for maintaining order at such meeting and the safety of those present, (c) limitations on attendance at or participation in such meeting to Stockholders of record of the Corporation, their duly authorized and constituted proxies or such other persons as the person presiding over such meeting shall determine, (d) restrictions on entry to such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such meeting, may determine and declare to the meeting of Stockholders that a matter or business was not properly brought before such meeting and if such presiding person should so determine, he or she shall so declare to such meeting and any such matter or business not properly brought before such meeting shall not be transacted or considered. Unless and to the extent determined by the Board or the person presiding over the meeting of Stockholders, meetings of Stockholders shall not be required to be held in accordance with the rules of parliamentary procedure. The Secretary or, in the absence of the Secretary, one of the Assistant Secretaries or a designee appointed by the Chairman shall act as secretary of the meeting of Stockholders. To the extent permitted by applicable law, meetings of Stockholders may be conducted by remote communications, including by webcast.</w:t>
      </w:r>
    </w:p>
    <w:p>
      <w:pPr>
        <w:spacing w:after="0" w:line="66"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Order of Business</w:t>
      </w:r>
      <w:r>
        <w:rPr>
          <w:rFonts w:ascii="Arial" w:cs="Arial" w:eastAsia="Arial" w:hAnsi="Arial"/>
          <w:sz w:val="18"/>
          <w:szCs w:val="18"/>
          <w:color w:val="auto"/>
        </w:rPr>
        <w:t>. The order of business at all meetings of Stockholders shall be as determined by the person presiding over the meeting of Stockholders.</w:t>
      </w:r>
    </w:p>
    <w:p>
      <w:pPr>
        <w:spacing w:after="0" w:line="62"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Consent of Stockholders Without a Meeting</w:t>
      </w:r>
      <w:r>
        <w:rPr>
          <w:rFonts w:ascii="Arial" w:cs="Arial" w:eastAsia="Arial" w:hAnsi="Arial"/>
          <w:sz w:val="17"/>
          <w:szCs w:val="17"/>
          <w:color w:val="auto"/>
        </w:rPr>
        <w:t>. Unless otherwise restricted by the Certificate of Incorporation, or these By-laws, any action required or permitted to be taken at any annual or special meeting of Stockholders may be taken without a meeting, without prior notice and without a vote, if a consent or consents, setting forth the action to be so taken, shall be signed by the holders of outstanding stock having not less than the minimum number of votes that would be necessary to authorize or take such action at a meeting of Stockholders at which all shares entitled to vote thereon were present and voted and shall be delivered to the Corporation in accordance with Section 228 of the General Corporation Law. A consent must be set forth in writing or in an electronic transmission, and no consent shall be effective to take the corporate action referred to therein unless consents signed by a sufficient number of holders to take action are delivered to the Corporation in the manner required by Section 228 of the General Corporation Law within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Corporation. Unless otherwise provided, any such consent shall be revocable prior to its becoming effective. Prompt notice of the taking of the corporate action without a meeting of Stockholders by less than unanimous consent shall be given to those Stockholders who have not consented and who, if the action had been taken at a meeting of Stockholders, would have been entitled to notice of the meeting of Stockholders if the record date for such meeting had been the date that consents signed by a sufficient number of holders to take the action were delivered to the Corporation as provided in Section 228 of the General Corporation Law.</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84" w:name="page185"/>
    <w:bookmarkEnd w:id="184"/>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the Certificate of Incorporation or the General Corporation Law,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of Directors; Term of Office</w:t>
      </w:r>
      <w:r>
        <w:rPr>
          <w:rFonts w:ascii="Arial" w:cs="Arial" w:eastAsia="Arial" w:hAnsi="Arial"/>
          <w:sz w:val="18"/>
          <w:szCs w:val="18"/>
          <w:color w:val="auto"/>
        </w:rPr>
        <w:t>. Except as otherwise provided for in the Certificate of Incorporation or fixed pursuant to the provisions of Section 5.2 of the Certificate of Incorporation relating to the rights of the holders of any series of Preferred Stock to elect additional Directors, the total number of Directors constituting the entire Board shall, (a) as of the date of the Certificate of Incorporation, initially be seven and (b) thereafter, shall be fixed exclusively by one or more resolutions adopted from time to time by the Board. Directors shall be elected by the stockholders at their annual meeting, and each director so elected shall hold office until the next annual meeting of stockholders and until his or her successor is elected and qualified, subject to such director’s earlier death, resignation, disqualification or removal. The Board of Directors shall elect from its ranks a Chairman of the Board of Directors, who shall have the powers and perform such duties as provided in these Bylaws and as the Board of Directors may from time to time prescribe.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Nominations of Directors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87"/>
        <w:spacing w:after="0" w:line="263"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each Director shall serve until his or her successor is duly elected and qualified or until his or her earlier death, resignation, disqualification, or removal. No decrease in the authorized number of Directors constituting the Board shall shorten the term of any incumbent Director.</w:t>
      </w:r>
    </w:p>
    <w:p>
      <w:pPr>
        <w:spacing w:after="0" w:line="75"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3.3(k)</w:t>
      </w:r>
      <w:r>
        <w:rPr>
          <w:rFonts w:ascii="Arial" w:cs="Arial" w:eastAsia="Arial" w:hAnsi="Arial"/>
          <w:sz w:val="18"/>
          <w:szCs w:val="18"/>
          <w:color w:val="auto"/>
        </w:rPr>
        <w:t xml:space="preserve">, only persons who are nominated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are eligible for election as Directors.</w:t>
      </w:r>
    </w:p>
    <w:p>
      <w:pPr>
        <w:spacing w:after="0" w:line="62" w:lineRule="exact"/>
        <w:rPr>
          <w:rFonts w:ascii="Arial" w:cs="Arial" w:eastAsia="Arial" w:hAnsi="Arial"/>
          <w:sz w:val="18"/>
          <w:szCs w:val="18"/>
          <w:color w:val="auto"/>
        </w:rPr>
      </w:pPr>
    </w:p>
    <w:p>
      <w:pPr>
        <w:ind w:right="20" w:firstLine="987"/>
        <w:spacing w:after="0" w:line="254"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may only be made at a meeting of Stockholders properly called for the election of Directors and only (i) by or at the direction of the Board or any committee thereof or (ii) by a Stockholder who (A) was a Stockholder of record of the Corporation when the notice required by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is delivered to the Secretary and at the time of such meeting, (B) is entitled to vote for the election of Directors at such meeting and (C) complies with the notice and other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3.3(k)</w:t>
      </w:r>
      <w:r>
        <w:rPr>
          <w:rFonts w:ascii="Arial" w:cs="Arial" w:eastAsia="Arial" w:hAnsi="Arial"/>
          <w:sz w:val="18"/>
          <w:szCs w:val="18"/>
          <w:color w:val="auto"/>
        </w:rPr>
        <w:t xml:space="preserve">, clause (ii) of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the exclusive means by which a Stockholder may nominate a person for election to the Board. Persons nominated in accordance with clause (ii) of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are referred to as “</w:t>
      </w:r>
      <w:r>
        <w:rPr>
          <w:rFonts w:ascii="Arial" w:cs="Arial" w:eastAsia="Arial" w:hAnsi="Arial"/>
          <w:sz w:val="18"/>
          <w:szCs w:val="18"/>
          <w:u w:val="single" w:color="auto"/>
          <w:color w:val="auto"/>
        </w:rPr>
        <w:t>Stockholder Nominees</w:t>
      </w:r>
      <w:r>
        <w:rPr>
          <w:rFonts w:ascii="Arial" w:cs="Arial" w:eastAsia="Arial" w:hAnsi="Arial"/>
          <w:sz w:val="18"/>
          <w:szCs w:val="18"/>
          <w:color w:val="auto"/>
        </w:rPr>
        <w:t>.” A Stockholder nominating persons for election to the Board is referred to as the “</w:t>
      </w:r>
      <w:r>
        <w:rPr>
          <w:rFonts w:ascii="Arial" w:cs="Arial" w:eastAsia="Arial" w:hAnsi="Arial"/>
          <w:sz w:val="18"/>
          <w:szCs w:val="18"/>
          <w:u w:val="single" w:color="auto"/>
          <w:color w:val="auto"/>
        </w:rPr>
        <w:t>Nominating Stockholder</w:t>
      </w:r>
      <w:r>
        <w:rPr>
          <w:rFonts w:ascii="Arial" w:cs="Arial" w:eastAsia="Arial" w:hAnsi="Arial"/>
          <w:sz w:val="18"/>
          <w:szCs w:val="18"/>
          <w:color w:val="auto"/>
        </w:rPr>
        <w: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185" w:name="page186"/>
    <w:bookmarkEnd w:id="185"/>
    <w:p>
      <w:pPr>
        <w:jc w:val="both"/>
        <w:ind w:right="120" w:firstLine="987"/>
        <w:spacing w:after="0" w:line="286" w:lineRule="auto"/>
        <w:tabs>
          <w:tab w:leader="none" w:pos="1246" w:val="left"/>
        </w:tabs>
        <w:numPr>
          <w:ilvl w:val="0"/>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7"/>
          <w:szCs w:val="17"/>
          <w:u w:val="single" w:color="auto"/>
          <w:color w:val="auto"/>
        </w:rPr>
        <w:t>Section 3.3(k)</w:t>
      </w:r>
      <w:r>
        <w:rPr>
          <w:rFonts w:ascii="Arial" w:cs="Arial" w:eastAsia="Arial" w:hAnsi="Arial"/>
          <w:sz w:val="17"/>
          <w:szCs w:val="17"/>
          <w:color w:val="auto"/>
        </w:rPr>
        <w:t>, all nominations of Stockholder Nominees must be made by timely written notice given by or on behalf of a Stockholder of record of the Corporation (the “</w:t>
      </w:r>
      <w:r>
        <w:rPr>
          <w:rFonts w:ascii="Arial" w:cs="Arial" w:eastAsia="Arial" w:hAnsi="Arial"/>
          <w:sz w:val="17"/>
          <w:szCs w:val="17"/>
          <w:u w:val="single" w:color="auto"/>
          <w:color w:val="auto"/>
        </w:rPr>
        <w:t>Notice of Nomination</w:t>
      </w:r>
      <w:r>
        <w:rPr>
          <w:rFonts w:ascii="Arial" w:cs="Arial" w:eastAsia="Arial" w:hAnsi="Arial"/>
          <w:sz w:val="17"/>
          <w:szCs w:val="17"/>
          <w:color w:val="auto"/>
        </w:rPr>
        <w:t>”). To be timely, the Notice of Nomination must be delivered personally or mailed to, and received at, the Office of the Corporation, addressed to the attention of the Secretary, by the following dates:</w:t>
      </w:r>
    </w:p>
    <w:p>
      <w:pPr>
        <w:spacing w:after="0" w:line="57" w:lineRule="exact"/>
        <w:rPr>
          <w:rFonts w:ascii="Arial" w:cs="Arial" w:eastAsia="Arial" w:hAnsi="Arial"/>
          <w:sz w:val="17"/>
          <w:szCs w:val="17"/>
          <w:color w:val="auto"/>
        </w:rPr>
      </w:pPr>
    </w:p>
    <w:p>
      <w:pPr>
        <w:ind w:left="440" w:right="40" w:firstLine="948"/>
        <w:spacing w:after="0" w:line="254" w:lineRule="auto"/>
        <w:tabs>
          <w:tab w:leader="none" w:pos="160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in the case of the nomination of a Stockholder Nominee for election to the Board at an annual meeting of Stockholders, no earlier than 120 days and no later than 90 days before the first anniversary of the date of the prior year’s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the annual meeting of Stockholders is advanced by more than 30 days, or delayed by more than 60 days, from the first anniversary of the prior year’s annual meeting of Stockholders or (B) no annual meeting of Stockholders was held during the prior year, the notice by the Stockholder to be timely must be received (1) no earlier than 120 days before such annual meeting and (2) no later than the later of 90 days before such annual meeting and the tenth day after the day on which the notice of such annual meeting was made by mail or Public Disclosure; and</w:t>
      </w:r>
    </w:p>
    <w:p>
      <w:pPr>
        <w:spacing w:after="0" w:line="86" w:lineRule="exact"/>
        <w:rPr>
          <w:rFonts w:ascii="Arial" w:cs="Arial" w:eastAsia="Arial" w:hAnsi="Arial"/>
          <w:sz w:val="18"/>
          <w:szCs w:val="18"/>
          <w:color w:val="auto"/>
        </w:rPr>
      </w:pPr>
    </w:p>
    <w:p>
      <w:pPr>
        <w:jc w:val="both"/>
        <w:ind w:left="440" w:right="80" w:firstLine="948"/>
        <w:spacing w:after="0" w:line="263" w:lineRule="auto"/>
        <w:tabs>
          <w:tab w:leader="none" w:pos="16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 the case of the nomination of a Stockholder Nominee for election to the Board at a special meeting of Stockholders, no earlier than 120 days before and no later than the later of 90 days before such special meeting and the tenth day after the day on which the notice of such special meeting was made by mail or Public Disclosure.</w:t>
      </w:r>
    </w:p>
    <w:p>
      <w:pPr>
        <w:spacing w:after="0" w:line="75" w:lineRule="exact"/>
        <w:rPr>
          <w:rFonts w:ascii="Arial" w:cs="Arial" w:eastAsia="Arial" w:hAnsi="Arial"/>
          <w:sz w:val="18"/>
          <w:szCs w:val="18"/>
          <w:color w:val="auto"/>
        </w:rPr>
      </w:pPr>
    </w:p>
    <w:p>
      <w:pPr>
        <w:ind w:right="200" w:firstLine="987"/>
        <w:spacing w:after="0" w:line="296" w:lineRule="auto"/>
        <w:tabs>
          <w:tab w:leader="none" w:pos="123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Notwithstanding anything to the contrary, if the number of Directors to be elected to the Board at a meeting of Stockholders is increased and there is no Public Disclosure by the Corporation naming the nominees for the additional directorships at least 100 days before the first anniversary of the preceding year’s annual meeting of Stockholders,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53" w:lineRule="exact"/>
        <w:rPr>
          <w:rFonts w:ascii="Arial" w:cs="Arial" w:eastAsia="Arial" w:hAnsi="Arial"/>
          <w:sz w:val="16"/>
          <w:szCs w:val="16"/>
          <w:color w:val="auto"/>
        </w:rPr>
      </w:pPr>
    </w:p>
    <w:p>
      <w:pPr>
        <w:ind w:right="280" w:firstLine="987"/>
        <w:spacing w:after="0" w:line="308" w:lineRule="auto"/>
        <w:tabs>
          <w:tab w:leader="none" w:pos="121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no event shall an adjournment or postponement, or Public Disclosure of an adjournment or postponement, of an annual or special meeting of Stockholders commence a new time period (or extend any time period) for the giving of the Notice of Nomination.</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Stockholder Information with respect to each Nominating Stockholder and Stockholder Associated Person of such Nominating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Stockholder;</w:t>
      </w:r>
    </w:p>
    <w:p>
      <w:pPr>
        <w:spacing w:after="0" w:line="102" w:lineRule="exact"/>
        <w:rPr>
          <w:rFonts w:ascii="Arial" w:cs="Arial" w:eastAsia="Arial" w:hAnsi="Arial"/>
          <w:sz w:val="16"/>
          <w:szCs w:val="16"/>
          <w:color w:val="auto"/>
        </w:rPr>
      </w:pPr>
    </w:p>
    <w:p>
      <w:pPr>
        <w:ind w:left="440" w:right="80" w:firstLine="948"/>
        <w:spacing w:after="0" w:line="308" w:lineRule="auto"/>
        <w:tabs>
          <w:tab w:leader="none" w:pos="165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representation to the Corporation that each Nominating Stockholder is a holder of record of stock of the Corporation entitled to vote at the meeting of Stockholders and intends to appear in person or by proxy at such meeting to propose such nomination;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6" w:name="page187"/>
    <w:bookmarkEnd w:id="186"/>
    <w:p>
      <w:pPr>
        <w:ind w:left="440" w:right="180" w:firstLine="948"/>
        <w:spacing w:after="0" w:line="259" w:lineRule="auto"/>
        <w:tabs>
          <w:tab w:leader="none" w:pos="1707"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information regarding each Stockholder Nominee and Stockholder Associated Person of the Nominating Stockholder nominating such Stockholder Nominee that would be required to be disclosed in a solicitation of proxies subject to Section 14 of the Exchange Act, the written consent of such Stockholder Nominee to being named in a proxy statement as a nominee and to serve if elected and a completed signed questionnaire, representation and agreement required by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80" w:firstLine="948"/>
        <w:spacing w:after="0" w:line="293" w:lineRule="auto"/>
        <w:tabs>
          <w:tab w:leader="none" w:pos="169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of such Nominating Stockholder or their respective associates, or others acting in concert therewith, including all information that would be required to be disclosed pursuant to Rule 404 promulgated under Regulation S-K if such Nominating Stockholder, Stockholder Associated Person of such Nominating Stockholder or any person acting in concert therewith were the “registrant” for purposes of such rule and the Stockholder Nominee nominated by such Stockholder Nominee were a director or executive of such registrant;</w:t>
      </w:r>
    </w:p>
    <w:p>
      <w:pPr>
        <w:spacing w:after="0" w:line="56" w:lineRule="exact"/>
        <w:rPr>
          <w:rFonts w:ascii="Arial" w:cs="Arial" w:eastAsia="Arial" w:hAnsi="Arial"/>
          <w:sz w:val="16"/>
          <w:szCs w:val="16"/>
          <w:color w:val="auto"/>
        </w:rPr>
      </w:pPr>
    </w:p>
    <w:p>
      <w:pPr>
        <w:ind w:left="440" w:right="220" w:firstLine="948"/>
        <w:spacing w:after="0" w:line="277" w:lineRule="auto"/>
        <w:tabs>
          <w:tab w:leader="none" w:pos="164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the Nominating Stockholder’s or its Stockholder Associated Person’s immediate family sharing the same household;</w:t>
      </w:r>
    </w:p>
    <w:p>
      <w:pPr>
        <w:spacing w:after="0" w:line="62" w:lineRule="exact"/>
        <w:rPr>
          <w:rFonts w:ascii="Arial" w:cs="Arial" w:eastAsia="Arial" w:hAnsi="Arial"/>
          <w:sz w:val="18"/>
          <w:szCs w:val="18"/>
          <w:color w:val="auto"/>
        </w:rPr>
      </w:pPr>
    </w:p>
    <w:p>
      <w:pPr>
        <w:ind w:left="440" w:firstLine="948"/>
        <w:spacing w:after="0" w:line="286" w:lineRule="auto"/>
        <w:tabs>
          <w:tab w:leader="none" w:pos="1697"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 representation to the Corporation as to whether each Nominating Stockholder intends (A) to deliver a proxy statement and form of proxy to holders of at least the percentage of the Corporation’s outstanding capital stock required to approve the nomination of such Nominating Stockholder’s Stockholder Nominees or (B) otherwise to solicit proxies from Stockholders in support of such nomination;</w:t>
      </w:r>
    </w:p>
    <w:p>
      <w:pPr>
        <w:spacing w:after="0" w:line="57" w:lineRule="exact"/>
        <w:rPr>
          <w:rFonts w:ascii="Arial" w:cs="Arial" w:eastAsia="Arial" w:hAnsi="Arial"/>
          <w:sz w:val="17"/>
          <w:szCs w:val="17"/>
          <w:color w:val="auto"/>
        </w:rPr>
      </w:pPr>
    </w:p>
    <w:p>
      <w:pPr>
        <w:ind w:left="440" w:right="780" w:firstLine="948"/>
        <w:spacing w:after="0" w:line="342" w:lineRule="auto"/>
        <w:tabs>
          <w:tab w:leader="none" w:pos="174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other information that would be required to be filed with the SEC if each Nominating Stockholder and Stockholder Associated Persons of such Nominating Stockholder were participants in a solicitation subject to Section 14 of the Exchange Act; and</w:t>
      </w:r>
    </w:p>
    <w:p>
      <w:pPr>
        <w:spacing w:after="0" w:line="15" w:lineRule="exact"/>
        <w:rPr>
          <w:rFonts w:ascii="Arial" w:cs="Arial" w:eastAsia="Arial" w:hAnsi="Arial"/>
          <w:sz w:val="16"/>
          <w:szCs w:val="16"/>
          <w:color w:val="auto"/>
        </w:rPr>
      </w:pPr>
    </w:p>
    <w:p>
      <w:pPr>
        <w:ind w:left="440" w:right="440" w:firstLine="948"/>
        <w:spacing w:after="0" w:line="277" w:lineRule="auto"/>
        <w:tabs>
          <w:tab w:leader="none" w:pos="179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each Nominating Stockholder shall provide any other information reasonably requested by the Corporation.</w:t>
      </w:r>
    </w:p>
    <w:p>
      <w:pPr>
        <w:spacing w:after="0" w:line="62"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Nominating Stockholders shall also provide any other information reasonably requested by the Corporation within ten business days after such request.</w:t>
      </w:r>
    </w:p>
    <w:p>
      <w:pPr>
        <w:spacing w:after="0" w:line="62" w:lineRule="exact"/>
        <w:rPr>
          <w:rFonts w:ascii="Arial" w:cs="Arial" w:eastAsia="Arial" w:hAnsi="Arial"/>
          <w:sz w:val="18"/>
          <w:szCs w:val="18"/>
          <w:color w:val="auto"/>
        </w:rPr>
      </w:pPr>
    </w:p>
    <w:p>
      <w:pPr>
        <w:ind w:right="20" w:firstLine="987"/>
        <w:spacing w:after="0" w:line="272" w:lineRule="auto"/>
        <w:tabs>
          <w:tab w:leader="none" w:pos="120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In addition, the Nominating Stockholders shall further update and supplement the information provided to the Corporation in the Notice of Nomination or upon the Corporation’s request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as needed, so that such information shall be true and correct as of the record date for the meeting of Stockholders and as of the date that is five business days before such meeting or any adjournment or postponement thereof. Such update and supplement must be delivered personally or mailed to, and received at, the Office of the Corporation, addressed to the Secretary, by no later than five business days after the record date for the meeting of Stockholders (in the case of the update and supplement required to be made as of the record date), and not later than two business days before the date for such meeting (in the case of the update and supplement required to be made as of five business days before the meeting or any adjournment or postponement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7" w:name="page188"/>
    <w:bookmarkEnd w:id="187"/>
    <w:p>
      <w:pPr>
        <w:ind w:right="260" w:firstLine="987"/>
        <w:spacing w:after="0" w:line="263" w:lineRule="auto"/>
        <w:tabs>
          <w:tab w:leader="none" w:pos="12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person presiding over the meeting of Stockholders shall, if the facts warrant, determine and declare to such meeting, that the nomination of Directors was not made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and, if he or she should so determine, he or she shall so declare to such meeting and the defective nomination shall be disregarded.</w:t>
      </w:r>
    </w:p>
    <w:p>
      <w:pPr>
        <w:spacing w:after="0" w:line="75" w:lineRule="exact"/>
        <w:rPr>
          <w:rFonts w:ascii="Arial" w:cs="Arial" w:eastAsia="Arial" w:hAnsi="Arial"/>
          <w:sz w:val="18"/>
          <w:szCs w:val="18"/>
          <w:color w:val="auto"/>
        </w:rPr>
      </w:pPr>
    </w:p>
    <w:p>
      <w:pPr>
        <w:ind w:right="80" w:firstLine="987"/>
        <w:spacing w:after="0" w:line="254" w:lineRule="auto"/>
        <w:tabs>
          <w:tab w:leader="none" w:pos="12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a Nominating Stockholder (or a qualified representative of such Stockholder) does not appear at the applicable Stockholder meeting to nominate its Stockholder Nominees, such nomination shall be disregarded and such business shall not be transacted, notwithstanding that proxies in respect of such vote may have been received by the Corporation. For purposes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6" w:lineRule="exact"/>
        <w:rPr>
          <w:rFonts w:ascii="Arial" w:cs="Arial" w:eastAsia="Arial" w:hAnsi="Arial"/>
          <w:sz w:val="18"/>
          <w:szCs w:val="18"/>
          <w:color w:val="auto"/>
        </w:rPr>
      </w:pPr>
    </w:p>
    <w:p>
      <w:pPr>
        <w:ind w:right="560" w:firstLine="987"/>
        <w:spacing w:after="0" w:line="277" w:lineRule="auto"/>
        <w:tabs>
          <w:tab w:leader="none" w:pos="12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deemed to affect any rights of the holders of any series of preferred stock of the Corporation pursuant to any applicable provision of the Certificate of Incorporation.</w:t>
      </w:r>
    </w:p>
    <w:p>
      <w:pPr>
        <w:spacing w:after="0" w:line="6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Nominee and Director Qualifications</w:t>
      </w:r>
      <w:r>
        <w:rPr>
          <w:rFonts w:ascii="Arial" w:cs="Arial" w:eastAsia="Arial" w:hAnsi="Arial"/>
          <w:sz w:val="16"/>
          <w:szCs w:val="16"/>
          <w:color w:val="auto"/>
        </w:rPr>
        <w:t>.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8" w:name="page189"/>
    <w:bookmarkEnd w:id="188"/>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Arial" w:cs="Arial" w:eastAsia="Arial" w:hAnsi="Arial"/>
          <w:sz w:val="16"/>
          <w:szCs w:val="16"/>
          <w:u w:val="single" w:color="auto"/>
          <w:color w:val="auto"/>
        </w:rPr>
        <w:t>Resignation</w:t>
      </w:r>
      <w:r>
        <w:rPr>
          <w:rFonts w:ascii="Arial" w:cs="Arial" w:eastAsia="Arial" w:hAnsi="Arial"/>
          <w:sz w:val="16"/>
          <w:szCs w:val="16"/>
          <w:color w:val="auto"/>
        </w:rPr>
        <w:t>.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5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preclude any Director from serving the Corporation or its subsidiaries in any other capacity and receiving proper compensation therefor.</w:t>
      </w:r>
    </w:p>
    <w:p>
      <w:pPr>
        <w:spacing w:after="0" w:line="5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may be determined from time to time by the Board or its Chairman.</w:t>
      </w:r>
    </w:p>
    <w:p>
      <w:pPr>
        <w:spacing w:after="0" w:line="6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Board may be held at such times and at such places within or without the State of Delaware as may be determined by the Chairman or the Vice Chairman on at least 24 hours’ notice to each Director given by one of the means specified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other than by mail or on at least three days’ notice if given by mail.</w:t>
      </w:r>
    </w:p>
    <w:p>
      <w:pPr>
        <w:spacing w:after="0" w:line="7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xml:space="preserve">. Board or Board committee meetings may be held by means of telephone conference or other communications equipment by means of which all persons participating in such meeting can hear each other. Participation by a Director in a Board or Board committee meeting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constitute presence in person at such meeting.</w:t>
      </w:r>
    </w:p>
    <w:p>
      <w:pPr>
        <w:spacing w:after="0" w:line="7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Adjourned Meetings</w:t>
      </w:r>
      <w:r>
        <w:rPr>
          <w:rFonts w:ascii="Arial" w:cs="Arial" w:eastAsia="Arial" w:hAnsi="Arial"/>
          <w:sz w:val="17"/>
          <w:szCs w:val="17"/>
          <w:color w:val="auto"/>
        </w:rPr>
        <w:t xml:space="preserve">. A majority of the Directors present at any meeting of the Board, including an adjourned meeting of the Board, whether or not a quorum is present, may adjourn and reconvene such meeting to another time and place. At least 24 hours’ notice of any adjourned meeting of the Board shall be given to each Director whether or not present at the time of the adjournment, if such notice shall be given by one of the means specified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other than by mail or at least three days’ notice if by mail. Any business may be transacted at an adjourned meeting of the Board that might have been transacted at the meeting of the Board as originally called.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89" w:name="page190"/>
    <w:bookmarkEnd w:id="189"/>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Arial" w:cs="Arial" w:eastAsia="Arial" w:hAnsi="Arial"/>
          <w:sz w:val="18"/>
          <w:szCs w:val="18"/>
          <w:u w:val="single" w:color="auto"/>
          <w:color w:val="auto"/>
        </w:rPr>
        <w:t>Notice Procedure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3.12</w:t>
      </w:r>
      <w:r>
        <w:rPr>
          <w:rFonts w:ascii="Arial" w:cs="Arial" w:eastAsia="Arial" w:hAnsi="Arial"/>
          <w:sz w:val="18"/>
          <w:szCs w:val="18"/>
          <w:color w:val="auto"/>
        </w:rPr>
        <w:t>,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w:t>
      </w:r>
    </w:p>
    <w:p>
      <w:pPr>
        <w:spacing w:after="0" w:line="7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to Directors by applicable law, the Certificate of Incorporation or these By-laws, a written waiver, signed by the Director entitled to the notice, or a waiver by electronic transmission by the Director entitled to notice, whether before or after such notice is required, shall be deemed equivalent to notice. Attendance by a Director at a meeting of the Board shall constitute a waiver of notice of such meeting except when the Director attends a meeting of the Board for the express purpose of objecting, at the beginning of such meeting, to the transaction of any business on the ground that such meeting was not lawfully called or convened. Neither the business to be transacted at, nor the purpose of, any regular or special Board or Board committee meeting need be specified in any waiver of notice.</w:t>
      </w:r>
    </w:p>
    <w:p>
      <w:pPr>
        <w:spacing w:after="0" w:line="56"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Organization</w:t>
      </w:r>
      <w:r>
        <w:rPr>
          <w:rFonts w:ascii="Arial" w:cs="Arial" w:eastAsia="Arial" w:hAnsi="Arial"/>
          <w:sz w:val="18"/>
          <w:szCs w:val="18"/>
          <w:i w:val="1"/>
          <w:iCs w:val="1"/>
          <w:color w:val="auto"/>
        </w:rPr>
        <w:t>.</w:t>
      </w:r>
      <w:r>
        <w:rPr>
          <w:rFonts w:ascii="Arial" w:cs="Arial" w:eastAsia="Arial" w:hAnsi="Arial"/>
          <w:sz w:val="18"/>
          <w:szCs w:val="18"/>
          <w:color w:val="auto"/>
        </w:rPr>
        <w:t xml:space="preserve"> At each meeting of the Board, the Chairman, or in the absence of the Chairman, a Vice Chairman, or if a Vice Chairman has not been appointed or is absent, a Director or Officer appointed by the Chairman,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such meeting may appoint any person to act as secretary of such meeting.</w:t>
      </w:r>
    </w:p>
    <w:p>
      <w:pPr>
        <w:spacing w:after="0" w:line="8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total number of Directors of the Board shall be necessary and sufficient to constitute a quorum for the transaction of business at any meeting of the Board.</w:t>
      </w:r>
    </w:p>
    <w:p>
      <w:pPr>
        <w:spacing w:after="0" w:line="62"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Voting</w:t>
      </w:r>
      <w:r>
        <w:rPr>
          <w:rFonts w:ascii="Arial" w:cs="Arial" w:eastAsia="Arial" w:hAnsi="Arial"/>
          <w:sz w:val="16"/>
          <w:szCs w:val="16"/>
          <w:color w:val="auto"/>
        </w:rPr>
        <w:t xml:space="preserve">. Except as otherwise expressly required by these By-laws or the Certificate of Incorporation, the vote of a majority of the Directors present at a meeting of the Board at which a quorum is present shall be the act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one or more Directors recuses himself or herself from an act, the act of a majority of the remaining Directors present at such meeting shall be the act of the Board.</w:t>
      </w:r>
    </w:p>
    <w:p>
      <w:pPr>
        <w:spacing w:after="0" w:line="4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these By-laws or the Certificate of Incorporation, any action required or permitted to be taken at any meeting of the Board or of any committee thereof may be taken without a meeting of the Board or the committee, if all Directors or members of such committee, as the case may be, consent thereto in writing or by electronic transmission, and, after an action is taken, the consent or consents relating thereto shall be filed with the minutes of proceedings of the Board or committee thereof, in the same paper or electronic form as the minutes are maintained.</w:t>
      </w:r>
    </w:p>
    <w:p>
      <w:pPr>
        <w:spacing w:after="0" w:line="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Chairman, Vice Chairman and Lead Independent Director</w:t>
      </w:r>
      <w:r>
        <w:rPr>
          <w:rFonts w:ascii="Arial" w:cs="Arial" w:eastAsia="Arial" w:hAnsi="Arial"/>
          <w:sz w:val="17"/>
          <w:szCs w:val="17"/>
          <w:b w:val="1"/>
          <w:bCs w:val="1"/>
          <w:color w:val="auto"/>
        </w:rPr>
        <w:t>.</w:t>
      </w:r>
      <w:r>
        <w:rPr>
          <w:rFonts w:ascii="Arial" w:cs="Arial" w:eastAsia="Arial" w:hAnsi="Arial"/>
          <w:sz w:val="17"/>
          <w:szCs w:val="17"/>
          <w:color w:val="auto"/>
        </w:rPr>
        <w:t xml:space="preserve"> The Board of Directors may appoint from its members a Chairman. The Board of Directors may, in its sole discretion, from time to time appoint one or more Vice Chairman, each of whom in such capacity shall report directly to the Chairperson. The Chairman, if appointed and when present, shall preside at all meetings of Stockholders and the Board. The Chairman shall perform other duties commonly incident to the office and shall also perform such other duties and have such other powers as the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90" w:name="page191"/>
    <w:bookmarkEnd w:id="19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shall designate from time to time. The Chairman, or if the Chairman is not an independent director, one of the independent directors, may be designated by the Board as lead independent director to serve as such until replaced by the Board (“</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The Lead Independent Director will perform such other duties as may be established or delegated by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21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Committees of the Board</w:t>
      </w:r>
      <w:r>
        <w:rPr>
          <w:rFonts w:ascii="Arial" w:cs="Arial" w:eastAsia="Arial" w:hAnsi="Arial"/>
          <w:sz w:val="17"/>
          <w:szCs w:val="17"/>
          <w:color w:val="auto"/>
        </w:rPr>
        <w:t xml:space="preserve">. The Board may, by resolution, designate one or more committees of the Board, including, without limitation, an audit committee, a compensation committee, an investment committee and an executive committee, and each such committee shall consist of one or more of the Directors of the Corporation. The Board may, by resolution, adopt (a) an overall governance policy, which may include a delegation of authority from the Board to any such committee and/or any officer of the Corporation, and/or (b) a charter for any such committee. The Board may designate one or more Directors as alternate members of any committee of the Board, who may replace any absent or disqualified member at any meeting of such committee. If a member of a committee of the Board shall be absent from any meeting of such committee, or disqualified from voting thereat, the remaining member or members present at such meeting and not disqualified from voting, whether or not such member or members constitute a quorum, may, by a unanimous vote, appoint another member of the Board to act at such meeting in the place of any such absent or disqualified member. Any such committee of the Board, to the extent permitted by applicable law, and to the extent provided by resolution of the Board designating such committee, in an overall governance policy and/or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of the Board at any time, with or without cause. Unless the Board provides otherwise, at all meetings of a committee of the Board, a majority of the then authorized members of such committee shall constitute a quorum for the transaction of business, and the vote of a majority of the members of such committee present at any meeting of such committee at which there is a quorum shall be the act of such committee. Each committee of the Board shall keep regular minutes of its meetings. Unless the Board provides otherwise, each committee of the Board designated by the Board may make, alter and repeal rules and procedures for the conduct of its business. In the absence of such rules and procedures, each committee of the Board shall conduct its business in the same manner as the Board conducts its business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1" w:name="page192"/>
    <w:bookmarkEnd w:id="191"/>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Positions; Election</w:t>
      </w:r>
      <w:r>
        <w:rPr>
          <w:rFonts w:ascii="Arial" w:cs="Arial" w:eastAsia="Arial" w:hAnsi="Arial"/>
          <w:sz w:val="17"/>
          <w:szCs w:val="17"/>
          <w:color w:val="auto"/>
        </w:rPr>
        <w:t>. The Board may from time to time elect officers of the Corporation, which may include a Chief Executive Officer, a President, a Chief Financial Officer, one or more Vice Presidents, a Secretary, a Treasurer and any other officers as it may deem proper. The Board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7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Term of Office</w:t>
      </w:r>
      <w:r>
        <w:rPr>
          <w:rFonts w:ascii="Arial" w:cs="Arial" w:eastAsia="Arial" w:hAnsi="Arial"/>
          <w:sz w:val="17"/>
          <w:szCs w:val="17"/>
          <w:color w:val="auto"/>
        </w:rPr>
        <w:t>. Each officer of the Corporation shall hold office for such term as may be determined by the Board or, except with respect to his or her own office, the Chief Executive Officer, or until such officer’s successor is elected and qualified or until such officer’s earlier death, resignation or removal. Any officer of the Corporation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of the Corporation shall be without prejudice to the contract rights of the Corporation, if any. Any officer of the Corporation may be removed at any time with or without cause by the Board or, in the case of appointed officers of the Corporation, by any elected officer of the Corporation upon whom such power of removal shall have been conferred by the Board. Any vacancy occurring in any office of the Corporation may be filled by the Board or, in the case of appointed officers of the Corporation, by any elected officer of the Corporation upon whom such power of appointment shall have been conferred by the Board. The election or appointment of an officer of the Corporation shall not of itself create contract rights.</w:t>
      </w:r>
    </w:p>
    <w:p>
      <w:pPr>
        <w:spacing w:after="0" w:line="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have general supervision over, and direction of, the business and affairs of the Corporation, subject, however, to the control of the Board and of any duly authorized committee of the Board. The Chief 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 The Board may appoint Co-Chief Executive Officers who shall share the powers, rights and obligations set forth herein or otherwise determined by the Board.</w:t>
      </w:r>
    </w:p>
    <w:p>
      <w:pPr>
        <w:spacing w:after="0" w:line="5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President</w:t>
      </w:r>
      <w:r>
        <w:rPr>
          <w:rFonts w:ascii="Arial" w:cs="Arial" w:eastAsia="Arial" w:hAnsi="Arial"/>
          <w:sz w:val="17"/>
          <w:szCs w:val="17"/>
          <w:i w:val="1"/>
          <w:iCs w:val="1"/>
          <w:color w:val="auto"/>
        </w:rPr>
        <w:t>.</w:t>
      </w:r>
      <w:r>
        <w:rPr>
          <w:rFonts w:ascii="Arial" w:cs="Arial" w:eastAsia="Arial" w:hAnsi="Arial"/>
          <w:sz w:val="17"/>
          <w:szCs w:val="17"/>
          <w:color w:val="auto"/>
        </w:rPr>
        <w:t xml:space="preserve"> The President shall have duties incident to the office of president of a corporation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92" w:name="page193"/>
    <w:bookmarkEnd w:id="192"/>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(including Executive Vice Presidents and Senior Vice Presidents) shall have the duties incident to the office of vice president of a corporation and any other duties that may from time to time be assigned to such Vice President by the Chief Executive Officer, the President or the Board.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 To the extent that the Chief Financial Officer has been appointed and the Treasurer has not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of the Treasurer and any Assistant Treasurer, and each controller and assistant controller,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w:t>
      </w:r>
    </w:p>
    <w:p>
      <w:pPr>
        <w:spacing w:after="0" w:line="71"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Secretary</w:t>
      </w:r>
      <w:r>
        <w:rPr>
          <w:rFonts w:ascii="Arial" w:cs="Arial" w:eastAsia="Arial" w:hAnsi="Arial"/>
          <w:sz w:val="16"/>
          <w:szCs w:val="16"/>
          <w:i w:val="1"/>
          <w:iCs w:val="1"/>
          <w:color w:val="auto"/>
        </w:rPr>
        <w:t>.</w:t>
      </w:r>
      <w:r>
        <w:rPr>
          <w:rFonts w:ascii="Arial" w:cs="Arial" w:eastAsia="Arial" w:hAnsi="Arial"/>
          <w:sz w:val="16"/>
          <w:szCs w:val="16"/>
          <w:color w:val="auto"/>
        </w:rPr>
        <w:t xml:space="preserve">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such Assistant Secretary. The Board may give general authority to any other officer of the Corporation to affix the seal of the Corporation and to attest the same by such officer’s signature. The Secretary or an Assistant Secretary may also attest all instruments signed by the Chairman, the Vice Chairman the Chief Executive Officer, the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3" w:name="page194"/>
    <w:bookmarkEnd w:id="193"/>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of the Corporation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6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Assistant Secretaries and Assistant Treasurers</w:t>
      </w:r>
      <w:r>
        <w:rPr>
          <w:rFonts w:ascii="Arial" w:cs="Arial" w:eastAsia="Arial" w:hAnsi="Arial"/>
          <w:sz w:val="17"/>
          <w:szCs w:val="17"/>
          <w:color w:val="auto"/>
        </w:rPr>
        <w:t>. Each Assistant Secretary and each Assistant Treasurer shall perform such duties as shall be assigned to it by the Secretary or the Treasurer, respectively, or by the Board, the Chief Executive Officer or the President.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Certificates Representing Shares</w:t>
      </w:r>
      <w:r>
        <w:rPr>
          <w:rFonts w:ascii="Arial" w:cs="Arial" w:eastAsia="Arial" w:hAnsi="Arial"/>
          <w:sz w:val="17"/>
          <w:szCs w:val="17"/>
          <w:color w:val="auto"/>
        </w:rPr>
        <w:t>. The shares of stock of the Corporation may be represented by certificates or be uncertificated shares evidenced by a book-entry system maintained by the registrar of such stock, or a combination of both. If shares of stock of the Corporation are represented by certificates, such certificates shall be in the form approved by the Board. The certificates representing shares of stock of the Corporation shall be signed by, or in the name of, the Corporation by the Chief Executive Officer, the President or any Vice President, the Chief Financial Officer and by the Secretary, any Assistant Secretary, the Treasurer or any Assistant Treasurer. Any or all such signatures may be facsimiles. Although any officer, transfer agent or registrar of the Corporation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6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theretofore issued by it, alleged to have been lost, stolen or destroyed, and the Corporation may require the owner of the allegedly lost, stolen or destroyed certificate or his, her or its legal representative to give the Corporation a bond sufficient to indemnify the Corporation against any claim that may be made against it on account of the alleged loss, theft or destruction of any such certificate or the issuance of such new certificate or uncertificated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94" w:name="page195"/>
    <w:bookmarkEnd w:id="194"/>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Form of Records</w:t>
      </w:r>
      <w:r>
        <w:rPr>
          <w:rFonts w:ascii="Arial" w:cs="Arial" w:eastAsia="Arial" w:hAnsi="Arial"/>
          <w:sz w:val="18"/>
          <w:szCs w:val="18"/>
          <w:color w:val="auto"/>
        </w:rPr>
        <w:t xml:space="preserve">. Any records maintained by the Corporation in the regular course of its business, including its stock ledger, books of account and minute books, may be maintained on any information storage device or method;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79"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end on December 31 of each year unless otherwise determined by the Board.</w:t>
      </w:r>
    </w:p>
    <w:p>
      <w:pPr>
        <w:spacing w:after="0" w:line="129"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adopted, altered, amended or repealed in accordance with the Certificate of Incorporation and the General Corporation Law.</w:t>
      </w:r>
    </w:p>
    <w:p>
      <w:pPr>
        <w:spacing w:after="0" w:line="6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Conflict with Applicable Law or Certificate of Incorporation</w:t>
      </w:r>
      <w:r>
        <w:rPr>
          <w:rFonts w:ascii="Arial" w:cs="Arial" w:eastAsia="Arial" w:hAnsi="Arial"/>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Directors and Executive Officers</w:t>
      </w:r>
      <w:r>
        <w:rPr>
          <w:rFonts w:ascii="Arial" w:cs="Arial" w:eastAsia="Arial" w:hAnsi="Arial"/>
          <w:sz w:val="18"/>
          <w:szCs w:val="18"/>
          <w:color w:val="auto"/>
        </w:rPr>
        <w:t xml:space="preserve">. The Corporation shall indemnify its Directors and executive officers (for the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“executive officers” shall have the meaning defined in Rule 3b-7 promulgated under the Exchange Act) to the extent not prohibited by the General Corporation Law or any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Corporation may modify the extent of such indemnification by individual contracts with its Directors and executive officers;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(a) such indemnification is expressly required to be made by applicable law, (b) the proceeding was authorized by the Board, (c) such indemnification is provided by the Corporation, in its sole discretion, pursuant to the powers vested in the Corporation under the General Corporation Law or any other applicable law or (d) such indemnification is required to be made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Other Officers, Employees and Other Agents</w:t>
      </w:r>
      <w:r>
        <w:rPr>
          <w:rFonts w:ascii="Arial" w:cs="Arial" w:eastAsia="Arial" w:hAnsi="Arial"/>
          <w:sz w:val="18"/>
          <w:szCs w:val="18"/>
          <w:color w:val="auto"/>
        </w:rPr>
        <w:t xml:space="preserve">. The Corporation shall have the power to indemnify its officers (other than executive officers who shall be indemnified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employees and other agents as set forth in the General Corporation Law or any other applicable law. The Board shall have the power to delegate the determination of whether indemnification shall be given to any such person (except executive officers) to such officers of the Corporation or other persons as the Board shall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95" w:name="page196"/>
    <w:bookmarkEnd w:id="195"/>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Expenses</w:t>
      </w:r>
      <w:r>
        <w:rPr>
          <w:rFonts w:ascii="Arial" w:cs="Arial" w:eastAsia="Arial" w:hAnsi="Arial"/>
          <w:sz w:val="16"/>
          <w:szCs w:val="16"/>
          <w:color w:val="auto"/>
        </w:rPr>
        <w:t>. The Corporation shall advance to any person who was or is a party or is threatened to be made a party to any threatened, 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(each,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prior to the final disposition of such action, suit or proceeding, promptly following request therefor, all expenses incurred by any indemnitee in connection with such action, suit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General Corporation Law requires an advancement of expenses incurred by an indemnitee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adjudication</w:t>
      </w:r>
      <w:r>
        <w:rPr>
          <w:rFonts w:ascii="Arial" w:cs="Arial" w:eastAsia="Arial" w:hAnsi="Arial"/>
          <w:sz w:val="16"/>
          <w:szCs w:val="16"/>
          <w:color w:val="auto"/>
        </w:rPr>
        <w:t xml:space="preserve">”) that such indemnitee is not entitled to be indemnified for such expenses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otherwise.</w:t>
      </w:r>
    </w:p>
    <w:p>
      <w:pPr>
        <w:spacing w:after="0" w:line="6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Without the necessity of entering into an express contract, all rights to indemnification and advances to indemnitees under these By-laws shall be deemed to be contractual rights and be effective to the same extent and as if provided for in a contract between the Corporation and such indemnitee. Any right to indemnification or advances granted by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an indemnitee shall be enforceable by or on behalf of the person holding such right in the Court of Chancery of the State of Delaware if (a) the claim for indemnification or advances is denied, in whole or in part, or (b)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an indemnitee to enforce a right to indemnification or to an advancement of expenses hereunder, the burden of proving that the indemnitee is not entitled to be indemnified, or to such advancement of expenses,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shall be on the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96" w:name="page197"/>
    <w:bookmarkEnd w:id="196"/>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conferred on any person by these By-laws shall not be exclusive of any other right which such person may have or hereafter acquire under any applicable statute, provision of the Certificate of Incorporation, these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53"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conferred on any person by these By-laws shall continue as to a person who has ceased to be a director, officer, employee or other agent and shall inure to the benefit of the heirs, executors and administrators of such a person.</w:t>
      </w:r>
    </w:p>
    <w:p>
      <w:pPr>
        <w:spacing w:after="0" w:line="62"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To the fullest extent permitted by the General Corporation Law or any other applicable law, the Corporation, upon approval by the Board, may purchase insurance on behalf of any person required or permitted to be indemnified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3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Any amendment, repeal or modification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only be prospective only and shall not affect the rights under these By-laws in effect at the time of the alleged occurrence of any action or omission that is the cause of any proceeding against any agent of the Corporation.</w:t>
      </w:r>
    </w:p>
    <w:p>
      <w:pPr>
        <w:spacing w:after="0" w:line="7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Saving Clause</w:t>
      </w:r>
      <w:r>
        <w:rPr>
          <w:rFonts w:ascii="Arial" w:cs="Arial" w:eastAsia="Arial" w:hAnsi="Arial"/>
          <w:sz w:val="17"/>
          <w:szCs w:val="17"/>
          <w:color w:val="auto"/>
        </w:rPr>
        <w:t xml:space="preserve">. If these By-laws or any portion hereof shall be invalidated on any ground by any court of competent jurisdiction, then the Corporation shall nevertheless indemnify each indemnitee to the full extent not prohibited by any applicable portion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that shall not have been invalidated, or by any other applicable law. If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invalid due to the application of the indemnification provisions of another jurisdiction, then the Corporation shall indemnify each indemnitee to the full extent under any other applicable law.</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following definitions shall apply:</w:t>
      </w:r>
    </w:p>
    <w:p>
      <w:pPr>
        <w:spacing w:after="0" w:line="117" w:lineRule="exact"/>
        <w:rPr>
          <w:sz w:val="20"/>
          <w:szCs w:val="20"/>
          <w:color w:val="auto"/>
        </w:rPr>
      </w:pPr>
    </w:p>
    <w:p>
      <w:pPr>
        <w:ind w:right="120" w:firstLine="987"/>
        <w:spacing w:after="0" w:line="263"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color w:val="auto"/>
        </w:rPr>
      </w:pPr>
    </w:p>
    <w:p>
      <w:pPr>
        <w:ind w:right="200" w:firstLine="987"/>
        <w:spacing w:after="0" w:line="342"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197" w:name="page198"/>
    <w:bookmarkEnd w:id="197"/>
    <w:p>
      <w:pPr>
        <w:ind w:left="-20" w:firstLine="987"/>
        <w:spacing w:after="0" w:line="293" w:lineRule="auto"/>
        <w:tabs>
          <w:tab w:leader="none" w:pos="1216"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the resulting or surviving Corporation as he or she would have with respect to such constituent Corporation if its separate existence had continued;</w:t>
      </w:r>
    </w:p>
    <w:p>
      <w:pPr>
        <w:spacing w:after="0" w:line="56" w:lineRule="exact"/>
        <w:rPr>
          <w:rFonts w:ascii="Arial" w:cs="Arial" w:eastAsia="Arial" w:hAnsi="Arial"/>
          <w:sz w:val="16"/>
          <w:szCs w:val="16"/>
          <w:color w:val="auto"/>
        </w:rPr>
      </w:pPr>
    </w:p>
    <w:p>
      <w:pPr>
        <w:ind w:left="-20" w:right="40" w:firstLine="987"/>
        <w:spacing w:after="0" w:line="263" w:lineRule="auto"/>
        <w:tabs>
          <w:tab w:leader="none" w:pos="122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and</w:t>
      </w:r>
    </w:p>
    <w:p>
      <w:pPr>
        <w:spacing w:after="0" w:line="75" w:lineRule="exact"/>
        <w:rPr>
          <w:rFonts w:ascii="Arial" w:cs="Arial" w:eastAsia="Arial" w:hAnsi="Arial"/>
          <w:sz w:val="18"/>
          <w:szCs w:val="18"/>
          <w:color w:val="auto"/>
        </w:rPr>
      </w:pPr>
    </w:p>
    <w:p>
      <w:pPr>
        <w:ind w:left="-20" w:firstLine="987"/>
        <w:spacing w:after="0" w:line="255" w:lineRule="auto"/>
        <w:tabs>
          <w:tab w:leader="none" w:pos="121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 references to (A) “other enterprises” shall include employee benefit plans, (B) “fines” shall include any excise taxes assessed on a person with respect to an employee benefit plan and (C)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(ii)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198" w:name="page199"/>
    <w:bookmarkEnd w:id="19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ADOPTION OF BY-LAWS</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undersigned hereby certifies that [he][she] is the duly elected, qualified and acting Secretary of Opal Fuels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that the foregoing By-laws, comprising [twenty five] pages, were adopted as the Corporation’s By-laws on [•], 2021, by the Board of Directors of the Corporation.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hereunto set his hand this[•] day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0860"/>
          </w:cols>
          <w:pgMar w:left="440" w:top="270" w:right="5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Post-Closing Company LLC Agreement</w:t>
      </w:r>
    </w:p>
    <w:p>
      <w:pPr>
        <w:sectPr>
          <w:pgSz w:w="11900" w:h="16838" w:orient="portrait"/>
          <w:cols w:equalWidth="0" w:num="1">
            <w:col w:w="9019"/>
          </w:cols>
          <w:pgMar w:left="1440" w:top="270"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OPAL FUELS LLC</w:t>
      </w:r>
      <w:r>
        <w:rPr>
          <w:rFonts w:ascii="Arial" w:cs="Arial" w:eastAsia="Arial" w:hAnsi="Arial"/>
          <w:sz w:val="15"/>
          <w:szCs w:val="15"/>
          <w:b w:val="1"/>
          <w:bCs w:val="1"/>
          <w:color w:val="auto"/>
        </w:rPr>
        <w:t>1</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as of [•], 2022</w:t>
      </w:r>
    </w:p>
    <w:p>
      <w:pPr>
        <w:spacing w:after="0" w:line="229"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THE LIMITED LIABILITY COMPANY UNITS OF OPAL FUELS LLC HAVE NOT BEEN REGISTERED UNDER THE U.S.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OPERATING AGREEMENT; AND (III) ANY OTHER TERMS AND CONDITIONS AGREED TO IN WRITING BETWEEN THE COMPANY AND THE APPLICABLE MEMBER. THE UNITS MAY NOT BE TRANSFERRED OF RECORD EXCEPT IN COMPLIANCE WITH SUCH LAWS, THIS THIRD AMENDED AND RESTATED OPERATING AGREEMENT, AND ANY OTHER TERMS AND CONDITIONS AGREED TO IN WRITING BY THE COMPANY AND THE APPLICABLE MEMBER. THEREFORE, PURCHASERS AND OTHER TRANSFEREES OF SUCH UNITS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60" w:hanging="424"/>
        <w:spacing w:after="0" w:line="259" w:lineRule="auto"/>
        <w:tabs>
          <w:tab w:leader="none" w:pos="424" w:val="left"/>
        </w:tabs>
        <w:numPr>
          <w:ilvl w:val="0"/>
          <w:numId w:val="205"/>
        </w:numPr>
        <w:rPr>
          <w:rFonts w:ascii="Arial" w:cs="Arial" w:eastAsia="Arial" w:hAnsi="Arial"/>
          <w:sz w:val="15"/>
          <w:szCs w:val="15"/>
          <w:color w:val="auto"/>
        </w:rPr>
      </w:pPr>
      <w:r>
        <w:rPr>
          <w:rFonts w:ascii="Arial" w:cs="Arial" w:eastAsia="Arial" w:hAnsi="Arial"/>
          <w:sz w:val="18"/>
          <w:szCs w:val="18"/>
          <w:color w:val="auto"/>
        </w:rPr>
        <w:t>ACT and the Company acknowledge advice provided by the Company’s accountants to the effect that a board-managed structure may be advantageous. The parties agree to evaluate any further advice on this topic from the Company’s accountants, and, if recommended by the parties’ advisors on the basis of a material benefit to the post-closing company, pursue and make good faith efforts to implement a shift from a member-managed to manager-managed structure.</w:t>
      </w:r>
    </w:p>
    <w:p>
      <w:pPr>
        <w:sectPr>
          <w:pgSz w:w="11900" w:h="16838" w:orient="portrait"/>
          <w:cols w:equalWidth="0" w:num="1">
            <w:col w:w="11024"/>
          </w:cols>
          <w:pgMar w:left="436" w:top="270" w:right="4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LLC</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THIS SECOND AMENDED AND RESTATED LIMITED LIABILITY COMPANY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Opal Fuels LLC</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as of [•],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the Members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each other person who is or at any time becomes a Member in accordance with the terms of this Agreement and the Act (as defined below).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was formed as a limited liability company pursuant to the Act upon the filing of the Certificate (as defined below)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 of the Secretary of State of the State of Delaware on December 30, 2020 under the name ACCELER8 Holdings LLC;</w:t>
      </w:r>
    </w:p>
    <w:p>
      <w:pPr>
        <w:spacing w:after="0" w:line="140"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entered into a Limited Liability Company Agreement dated as of December 30, 2020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certain of the Members;</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Agreement was amended and restated in its entirety by that certain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Opal Fuels LLC, effective as of November 29, 2021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Members have agreed to amend and restate the Existing Agreement in its entirety as set forth herein;</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effectiveness of this Agreement, in accordance with the Business Combination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 2021 (the “</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by and among ArcLight Clean Transition Corp. II (which pursuant to the transactions contemplated under the Business Combination Agreement, will have changed its name to Opal Fuels Inc., the “</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the Company, and Opal HoldCo LLC, the Managing Member has acquired equity interests of the Company, in exchange for the consideration described in the Business Combination Agreement, and the Managing Member has become the sole managing member of the Company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w:t>
      </w:r>
    </w:p>
    <w:p>
      <w:pPr>
        <w:spacing w:after="0" w:line="154" w:lineRule="exact"/>
        <w:rPr>
          <w:sz w:val="20"/>
          <w:szCs w:val="20"/>
          <w:color w:val="auto"/>
        </w:rPr>
      </w:pPr>
    </w:p>
    <w:p>
      <w:pPr>
        <w:ind w:right="30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Business Combination, (i) the Class A Interests outstanding prior to the effectiveness of this Agreement were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cancelled and certain of the holders thereof received the number of Class B Units set forth opposite such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in accordance with Section 2.5 of the Business Combination Agreement, and (ii) the Managing Member received the number of Class A Units set forth opposite the Managing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in accordance with Section 2.5 of the Business Combination Agreement; and</w:t>
      </w:r>
    </w:p>
    <w:p>
      <w:pPr>
        <w:spacing w:after="0" w:line="151"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Business Combination Agreement, (i) the Members have agreed to amend and restate the Existing Agreement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set forth herein and (ii) the Managing Member, by its execution and delivery of this Agreement, is hereby admitted to the Company as a Member and shall have the rights and obligations of the Managing Member as provided in this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right="44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agreements of the parties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Members and the Managing Member hereby agree to amend and restate the Existing Agreement to read in its entirety as follows: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Capitalized terms used herein without definition have the following meanings (such meanings being equally applicable to both the singular and plural form of the terms defined):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it may be amended from time to time.</w:t>
      </w:r>
    </w:p>
    <w:p>
      <w:pPr>
        <w:spacing w:after="0" w:line="23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Balance</w:t>
      </w:r>
      <w:r>
        <w:rPr>
          <w:rFonts w:ascii="Arial" w:cs="Arial" w:eastAsia="Arial" w:hAnsi="Arial"/>
          <w:sz w:val="17"/>
          <w:szCs w:val="17"/>
          <w:color w:val="auto"/>
        </w:rPr>
        <w:t>” means, with respect to each Member, the balance in such Member’s Capital Account adjusted (i) by 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1.704-2(i)(5), and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Assumed Tax Rate</w:t>
      </w:r>
      <w:r>
        <w:rPr>
          <w:rFonts w:ascii="Arial" w:cs="Arial" w:eastAsia="Arial" w:hAnsi="Arial"/>
          <w:sz w:val="17"/>
          <w:szCs w:val="17"/>
          <w:color w:val="auto"/>
        </w:rPr>
        <w:t>” means the highest effective marginal combined U.S. federal, state and local income tax rate (including, without limitation, the tax imposed under Section 1411 of the Code on net investment income) for a Fiscal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but not taking into account any deduction under Section 199A of the Code or any similar state or local law), as determined in good faith by the Managing Member. For the avoidance of doubt, the Assumed Tax Rate shall be the same for all Members.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03" w:name="page204"/>
    <w:bookmarkEnd w:id="20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Appraiser FMV</w:t>
      </w:r>
      <w:r>
        <w:rPr>
          <w:rFonts w:ascii="Arial" w:cs="Arial" w:eastAsia="Arial" w:hAnsi="Arial"/>
          <w:sz w:val="18"/>
          <w:szCs w:val="18"/>
          <w:color w:val="auto"/>
        </w:rPr>
        <w:t>” means the fair market value of a share of Class A Common Stock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8"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Managing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separate capital account maintained for each Member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xml:space="preserve">’ means, with respect to any Member, the aggregate amount of money contributed to the Company and the initial Carrying Value of any property (other than money), net of any liabilities assumed by the Company upon contribution or to which such property is subject, contributed to the Company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Carrying Value</w:t>
      </w:r>
      <w:r>
        <w:rPr>
          <w:rFonts w:ascii="Arial" w:cs="Arial" w:eastAsia="Arial" w:hAnsi="Arial"/>
          <w:sz w:val="18"/>
          <w:szCs w:val="18"/>
          <w:color w:val="auto"/>
        </w:rPr>
        <w:t>” means, with respect to any Company asset, the asset’s adjusted basis for U.S. federal income tax purposes, except that the initial carrying value of assets contributed to the Company shall be their respective gross fair market values on the date of contribution as determined by the Managing Member in its reasonable discretion, and the Carrying Values of all Company assets shall be adjusted to equal their respective fair market values, in accordance with the rules set forth in Treasury Regulations Section 1.704-1(b)(2)(iv)(f), except as otherwise provided herein, as of: (a) the date of the acquisition of any additional limited liability company interest in the Company by any new or existing Member in exchange for more than a de minimis Capital Contribution or the issuance by the Company of a noncompensatory option (other than an option for a de minimis interest in the Company); (b) the date of the distribution of more than a de minimis amount of Company assets to a Member as consideration for an interest in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04" w:name="page205"/>
    <w:bookmarkEnd w:id="204"/>
    <w:p>
      <w:pPr>
        <w:ind w:left="4" w:hanging="4"/>
        <w:spacing w:after="0" w:line="282" w:lineRule="auto"/>
        <w:tabs>
          <w:tab w:leader="none" w:pos="249"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liquidation of the Company within the meaning of Treasury Regulations Section 1.704-1(b)(2)(ii)(g); (d)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(e) the acquisition of an interest in the Company upon the exercise of a noncompensatory option in accordance with Treasury Regulations Section 1.704-1(b)(2)(iv)(s); (f) the deemed Conversion (as defined below) of any Earnout Units (as defined below) into Class B Units in accordance with principles similar to those set forth in Treasury Regulations Section 1.704-1(b)(2)(iv)(s); (g) on the Effective Date in connection with the closing of the transactions contemplated by the Business Combination Agreement; and (h) any other date specified in the Treasury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adjustments pursuant to clauses (a), (b), and (d) above shall be made only if such adjustments are deemed necessary or appropriate by the Managing Member in its reasonable discretion to reflect the relative economic interests of the Members; and </w:t>
      </w:r>
      <w:r>
        <w:rPr>
          <w:rFonts w:ascii="Arial" w:cs="Arial" w:eastAsia="Arial" w:hAnsi="Arial"/>
          <w:sz w:val="16"/>
          <w:szCs w:val="16"/>
          <w:i w:val="1"/>
          <w:iCs w:val="1"/>
          <w:color w:val="auto"/>
        </w:rPr>
        <w:t>provided further</w:t>
      </w:r>
      <w:r>
        <w:rPr>
          <w:rFonts w:ascii="Arial" w:cs="Arial" w:eastAsia="Arial" w:hAnsi="Arial"/>
          <w:sz w:val="16"/>
          <w:szCs w:val="16"/>
          <w:color w:val="auto"/>
        </w:rPr>
        <w:t>, if any noncompensatory option is outstanding, Carrying Values shall be adjusted in accordance with Treasury Regulations Sections 1.704-1(b)(2)(iv)(f)(1) and 1.704-1(b)(2)(iv)(h)(2). If any Earnout Units are outstanding upon the occurrence of an event described in this paragraph (a) through (h) (other than, if applicable, the Earnout Units undergoing a Conversion that gives rise to the occurrence of such event), the Company shall adjust the Carrying Values of its properties in accordance with principles similar to those set forth in Treasury Regulations Section 1.704-1(b)(2)(iv)(h)(2), as though such Earnout Units were noncompensatory options. The Carrying Value of any Company asset distributed to any Member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rather than the amount of depreciation determined for U.S. federal income tax purposes, and depreciation shall be calculated by reference to Carrying Value rather than tax basis once Carrying Value differs from tax basis. The Carrying Value of Company assets shall be increased (or decreased) to reflect any adjustments to the adjusted basis of such assets pursuant to</w:t>
      </w:r>
    </w:p>
    <w:p>
      <w:pPr>
        <w:spacing w:after="0" w:line="11" w:lineRule="exact"/>
        <w:rPr>
          <w:rFonts w:ascii="Arial" w:cs="Arial" w:eastAsia="Arial" w:hAnsi="Arial"/>
          <w:sz w:val="16"/>
          <w:szCs w:val="16"/>
          <w:color w:val="auto"/>
        </w:rPr>
      </w:pPr>
    </w:p>
    <w:p>
      <w:pPr>
        <w:ind w:left="4" w:right="1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Section 734(b) of the Code, but only to the extent that such adjustments are taken into account in determining Capital Accounts pursuant to Treasury Regulations Section 1.704-1(b)(2)(iv)(m); </w:t>
      </w:r>
      <w:r>
        <w:rPr>
          <w:rFonts w:ascii="Arial" w:cs="Arial" w:eastAsia="Arial" w:hAnsi="Arial"/>
          <w:sz w:val="17"/>
          <w:szCs w:val="17"/>
          <w:i w:val="1"/>
          <w:iCs w:val="1"/>
          <w:color w:val="auto"/>
        </w:rPr>
        <w:t>provided</w:t>
      </w:r>
      <w:r>
        <w:rPr>
          <w:rFonts w:ascii="Arial" w:cs="Arial" w:eastAsia="Arial" w:hAnsi="Arial"/>
          <w:sz w:val="17"/>
          <w:szCs w:val="17"/>
          <w:color w:val="auto"/>
        </w:rPr>
        <w:t>, however, that Carrying Values shall not be adjusted pursuant to this sentence to the extent that the Managing Member reasonably determines that an adjustment pursuant to the first sentence of this definition is necessary or appropriate in connection with the transaction that would otherwise result in an adjustment pursuant to this sentence.</w:t>
      </w:r>
    </w:p>
    <w:p>
      <w:pPr>
        <w:spacing w:after="0" w:line="176"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Class A 5-Day VWAP</w:t>
      </w:r>
      <w:r>
        <w:rPr>
          <w:rFonts w:ascii="Arial" w:cs="Arial" w:eastAsia="Arial" w:hAnsi="Arial"/>
          <w:sz w:val="18"/>
          <w:szCs w:val="18"/>
          <w:color w:val="auto"/>
        </w:rPr>
        <w:t>” means the arithmetic average of the VWAP for each of the five consecutive Trading Days ending on the Trading Day immediately prior to the Exchange Notice Date (in the case of an Unrestricted Exchange) or the Exchange Date (in the case of any other Exchange).</w:t>
      </w:r>
    </w:p>
    <w:p>
      <w:pPr>
        <w:spacing w:after="0" w:line="184" w:lineRule="exact"/>
        <w:rPr>
          <w:sz w:val="20"/>
          <w:szCs w:val="20"/>
          <w:color w:val="auto"/>
        </w:rPr>
      </w:pPr>
    </w:p>
    <w:p>
      <w:pPr>
        <w:jc w:val="right"/>
        <w:ind w:right="5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 Exchange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11.01(c)</w:t>
      </w:r>
      <w:r>
        <w:rPr>
          <w:rFonts w:ascii="Arial" w:cs="Arial" w:eastAsia="Arial" w:hAnsi="Arial"/>
          <w:sz w:val="17"/>
          <w:szCs w:val="17"/>
          <w:color w:val="auto"/>
        </w:rPr>
        <w:t>.</w:t>
      </w:r>
    </w:p>
    <w:p>
      <w:pPr>
        <w:spacing w:after="0" w:line="16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05" w:name="page206"/>
    <w:bookmarkEnd w:id="205"/>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Cash Exchange Payment</w:t>
      </w:r>
      <w:r>
        <w:rPr>
          <w:rFonts w:ascii="Arial" w:cs="Arial" w:eastAsia="Arial" w:hAnsi="Arial"/>
          <w:sz w:val="18"/>
          <w:szCs w:val="18"/>
          <w:color w:val="auto"/>
        </w:rPr>
        <w:t xml:space="preserve">” means with respect to a particular Exchange for which the Managing Member has elected to make a Cash Exchange Payment in accordance with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62" w:lineRule="exact"/>
        <w:rPr>
          <w:sz w:val="20"/>
          <w:szCs w:val="20"/>
          <w:color w:val="auto"/>
        </w:rPr>
      </w:pPr>
    </w:p>
    <w:p>
      <w:pPr>
        <w:ind w:right="300" w:firstLine="436"/>
        <w:spacing w:after="0" w:line="257"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shares of Class A Common Stock trade on a National Securities Exchange or automated or electronic quotation system, an amount of cash equal to the product of: (x)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(y) the Cash Exchange Class A 5-Day VWAP; or</w:t>
      </w:r>
    </w:p>
    <w:p>
      <w:pPr>
        <w:spacing w:after="0" w:line="79" w:lineRule="exact"/>
        <w:rPr>
          <w:rFonts w:ascii="Arial" w:cs="Arial" w:eastAsia="Arial" w:hAnsi="Arial"/>
          <w:sz w:val="18"/>
          <w:szCs w:val="18"/>
          <w:color w:val="auto"/>
        </w:rPr>
      </w:pPr>
    </w:p>
    <w:p>
      <w:pPr>
        <w:ind w:firstLine="436"/>
        <w:spacing w:after="0" w:line="254"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shares of Class A Common Stock are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9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as filed in the office of the Secretary of State of the State of Delaware on December 30, 2020.</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has the meaning set forth in the Tax Receivable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event that constitutes both a Corporation Offer and a Change of Control of the Managing Member shall be considered a Corporation Offer for purposes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hereof.</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means the classes or series of Units into which the limited liability company interests in the Company may be classified or divided from time to time by the Managing Member pursuant to the provisions of this Agreement. As of the date of this Agreement the only authorized Classes are the Series A Preferred Units, the Series A-1 Preferred Units, Class A Units and Class B Units. For all purposes hereunder and under the Act, only such Classes expressly established under this Agreement, including by the Managing Member in accordance with this Agreement, shall be deemed to be a class of limited liability company interests in the Company. For the avoidance of doubt, to the extent that the Managing Member holds limited liability company interests of any Class, the Managing Member shall not be deemed to hold a separate Class of such interests from any other Member because it is the Managing Member.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of the Managing Member, par value $0.0001 per share.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Percentage Interest</w:t>
      </w:r>
      <w:r>
        <w:rPr>
          <w:rFonts w:ascii="Arial" w:cs="Arial" w:eastAsia="Arial" w:hAnsi="Arial"/>
          <w:sz w:val="18"/>
          <w:szCs w:val="18"/>
          <w:color w:val="auto"/>
        </w:rPr>
        <w:t>” means, with respect to any Member, the quotient obtained by dividing the aggregate number of Class A Units then owned by such Member by the aggregate number of Class A Units then owned by all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06" w:name="page207"/>
    <w:bookmarkEnd w:id="206"/>
    <w:p>
      <w:pPr>
        <w:ind w:right="1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Class A/B Percentage Interest</w:t>
      </w:r>
      <w:r>
        <w:rPr>
          <w:rFonts w:ascii="Arial" w:cs="Arial" w:eastAsia="Arial" w:hAnsi="Arial"/>
          <w:sz w:val="16"/>
          <w:szCs w:val="16"/>
          <w:color w:val="auto"/>
        </w:rPr>
        <w:t>” means, with respect to any Member, the quotient obtained by dividing the aggregate number of Class A Units and Class B Units then owned by such Member by the aggregate number of Class A Units and Class B Units then owned by all Members.</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Units</w:t>
      </w:r>
      <w:r>
        <w:rPr>
          <w:rFonts w:ascii="Arial" w:cs="Arial" w:eastAsia="Arial" w:hAnsi="Arial"/>
          <w:sz w:val="18"/>
          <w:szCs w:val="18"/>
          <w:color w:val="auto"/>
        </w:rPr>
        <w:t>” means the Units of limited liability company interest in the Company designated as the “Class A Units” herein and having the rights pertaining thereto as are set forth in this Agreement.</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 Capital Account Amount</w:t>
      </w:r>
      <w:r>
        <w:rPr>
          <w:rFonts w:ascii="Arial" w:cs="Arial" w:eastAsia="Arial" w:hAnsi="Arial"/>
          <w:sz w:val="18"/>
          <w:szCs w:val="18"/>
          <w:color w:val="auto"/>
        </w:rPr>
        <w:t>” means, from time to time, the Capital Account a Member would have if such Member held a single Class A Unit.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Class B common stock of the Managing Member, par value $0.0001 per share.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Percentage Interest</w:t>
      </w:r>
      <w:r>
        <w:rPr>
          <w:rFonts w:ascii="Arial" w:cs="Arial" w:eastAsia="Arial" w:hAnsi="Arial"/>
          <w:sz w:val="18"/>
          <w:szCs w:val="18"/>
          <w:color w:val="auto"/>
        </w:rPr>
        <w:t>” means, with respect to any Member, the quotient obtained by dividing the aggregate number of Class B Units then owned by such Member by the aggregate number of Class B Units then owned by all Members.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Units</w:t>
      </w:r>
      <w:r>
        <w:rPr>
          <w:rFonts w:ascii="Arial" w:cs="Arial" w:eastAsia="Arial" w:hAnsi="Arial"/>
          <w:sz w:val="18"/>
          <w:szCs w:val="18"/>
          <w:color w:val="auto"/>
        </w:rPr>
        <w:t>” means the Units of limited liability company interest in the Company designated as the “Class B Units” herein and having the rights pertaining thereto as are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means the Class C common stock of the Managing Member,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D Common Stock</w:t>
      </w:r>
      <w:r>
        <w:rPr>
          <w:rFonts w:ascii="Arial" w:cs="Arial" w:eastAsia="Arial" w:hAnsi="Arial"/>
          <w:sz w:val="18"/>
          <w:szCs w:val="18"/>
          <w:color w:val="auto"/>
        </w:rPr>
        <w:t>” means the Class D common stock of the Managing Member,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Minimum Gain</w:t>
      </w:r>
      <w:r>
        <w:rPr>
          <w:rFonts w:ascii="Arial" w:cs="Arial" w:eastAsia="Arial" w:hAnsi="Arial"/>
          <w:sz w:val="18"/>
          <w:szCs w:val="18"/>
          <w:color w:val="auto"/>
        </w:rPr>
        <w:t>” has the meaning ascribed to the term “partnership minimum gain” set forth in Treasury Regulations Sections 1.704-2(b)(2) and 1.704-2(d).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207" w:name="page208"/>
    <w:bookmarkEnd w:id="207"/>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Covered Transaction</w:t>
      </w:r>
      <w:r>
        <w:rPr>
          <w:rFonts w:ascii="Arial" w:cs="Arial" w:eastAsia="Arial" w:hAnsi="Arial"/>
          <w:sz w:val="18"/>
          <w:szCs w:val="18"/>
          <w:color w:val="auto"/>
        </w:rPr>
        <w:t>” means any liquidation, dissolution or winding up of the Company (whether occurring through one transaction or a series of related transactions, and whether voluntary or involuntary) and any other sale, redemption or Transfer of Units.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Individual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Disabling Event</w:t>
      </w:r>
      <w:r>
        <w:rPr>
          <w:rFonts w:ascii="Arial" w:cs="Arial" w:eastAsia="Arial" w:hAnsi="Arial"/>
          <w:sz w:val="18"/>
          <w:szCs w:val="18"/>
          <w:color w:val="auto"/>
        </w:rPr>
        <w:t>” means the Managing Member ceasing to be the Managing Member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Blackout Period</w:t>
      </w:r>
      <w:r>
        <w:rPr>
          <w:rFonts w:ascii="Arial" w:cs="Arial" w:eastAsia="Arial" w:hAnsi="Arial"/>
          <w:sz w:val="18"/>
          <w:szCs w:val="18"/>
          <w:color w:val="auto"/>
        </w:rPr>
        <w:t xml:space="preserve">” means (a) any “black out” or similar period under the Managing Member’s policies covering trading in the Managing Member’s securities to which the applicable Exchanging Member is subject (or will be subject at such time as it owns shares of Class A Common Stock or Class C Common Stock), which period restricts the ability of such Exchanging Member to immediately resell shares of Class A Common Stock or Class C Common Stock to be delivered to such Exchanging Member in connection with a Stock Exchange Payment and (b) the period of time commencing on (A) the date of the declaration of a dividend by the Managing Member and ending on the first day following (B) the record date determined by the Managing Member with respect to such dividend declared pursuant to clause (A), which period of time shall be no longer than ten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Exchange Blackout Period with respect to clause (b) of this definition occur more than four times per calendar year.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08" w:name="page209"/>
    <w:bookmarkEnd w:id="20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xml:space="preserve">” means, in the case of any Unrestricted Exchange, the date that is five Business Days after the date the Exchange Notice is given pursuant to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unless the Exchanging Member submits a written request to extend such date and the Managing Member in its sole discretion agrees in writing to such extension, and in any other case, the Quarterly Exchange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Exchange Date for any Exchange with respect to which the Managing Member elects to make a Stock Exchange Payment would otherwise fall within any Exchange Blackout Period, then the Exchange Date shall occur on the next Business Day following the end of such Exchange Blackout Period.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 Date</w:t>
      </w:r>
      <w:r>
        <w:rPr>
          <w:rFonts w:ascii="Arial" w:cs="Arial" w:eastAsia="Arial" w:hAnsi="Arial"/>
          <w:sz w:val="18"/>
          <w:szCs w:val="18"/>
          <w:color w:val="auto"/>
        </w:rPr>
        <w:t xml:space="preserve">” means, with respect to an Exchange, the date the applicable Exchange Notice is delivered in accordance with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xml:space="preserve">” means, at any time, the number of shares of Class A Common Stock or Class C Common Stock for which an Exchanged Unit is entitled to be exchanged at such time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Effective Date, the Exchange Rate shall be one-for-one, subject to adjustment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Exchanged Units</w:t>
      </w:r>
      <w:r>
        <w:rPr>
          <w:rFonts w:ascii="Arial" w:cs="Arial" w:eastAsia="Arial" w:hAnsi="Arial"/>
          <w:sz w:val="18"/>
          <w:szCs w:val="18"/>
          <w:color w:val="auto"/>
        </w:rPr>
        <w:t>” means any Class B Units to be Exchanged for the Cash Exchange Payment or Stock Exchange Payment, as applicable, on the applicable Exchange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Exchanging Member</w:t>
      </w:r>
      <w:r>
        <w:rPr>
          <w:rFonts w:ascii="Arial" w:cs="Arial" w:eastAsia="Arial" w:hAnsi="Arial"/>
          <w:sz w:val="17"/>
          <w:szCs w:val="17"/>
          <w:color w:val="auto"/>
        </w:rPr>
        <w:t xml:space="preserve">” means, with respect to any Exchange, the Holder exchanging Units pursuant to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of this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unless otherwise determined by the Managing Member in its sole discretion in accordance with </w:t>
      </w:r>
      <w:r>
        <w:rPr>
          <w:rFonts w:ascii="Arial" w:cs="Arial" w:eastAsia="Arial" w:hAnsi="Arial"/>
          <w:sz w:val="18"/>
          <w:szCs w:val="18"/>
          <w:u w:val="single" w:color="auto"/>
          <w:color w:val="auto"/>
        </w:rPr>
        <w:t>Section 12.12</w:t>
      </w:r>
      <w:r>
        <w:rPr>
          <w:rFonts w:ascii="Arial" w:cs="Arial" w:eastAsia="Arial" w:hAnsi="Arial"/>
          <w:sz w:val="18"/>
          <w:szCs w:val="18"/>
          <w:color w:val="auto"/>
        </w:rPr>
        <w:t>, any twelve-month period commencing on January 1 and ending on December 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09" w:name="page210"/>
    <w:bookmarkEnd w:id="209"/>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Managing Member, (b) any additional or substitute Managing Member, (c) any Person who is or was a Partnership Representative, officer or director of the Managing Member or any additional or substitute Managing Member, (d) any Person that is required to be indemnified by the Managing Member as an “indemnitee” in accordance with the certificate of incorporation and/or bylaws of the Managing Member as in effect from time to time, (e) any officer or director of the Managing Member or any additional or substitute Managing Member who is or was serving at the request of the Managing Member or any additional or substitute Managing Member as an officer, director, employee, member, Member, Partnership Representative, agent, fiduciary or trustee of another Person; provided, that a Person shall not be an Indemnitee by reason of providing, on a fee-for-services basis, trustee, fiduciary or custodial services, (f) any Officer, (g) any other Person the Managing Member in its sole discretion designates as an “Indemnitee” for purposes of this Agreement, (h) any former officer, director or manager of the Company pursuant to Section 5.15 of the Business Combination Agreement and (i) any heir, executor or administrator with respect to Persons named in clauses (a) through (h).</w:t>
      </w:r>
    </w:p>
    <w:p>
      <w:pPr>
        <w:spacing w:after="0" w:line="166"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means Opal Fuels Inc., a corporation incorporated under the laws of the State of Delaware, or any successor Managing Member admitted to the Company in accordance with the terms of this Agreement, in its capacity as the managing member of the Company.</w:t>
      </w:r>
    </w:p>
    <w:p>
      <w:pPr>
        <w:spacing w:after="0" w:line="12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the Managing Member is incorporated or formed, as applicable, as in effect and amended from time to time.</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xml:space="preserve">” means, at any time, each person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in each case for so long as he, she or it remains a Member of the Company as provided hereunder.</w:t>
      </w:r>
    </w:p>
    <w:p>
      <w:pPr>
        <w:spacing w:after="0" w:line="166" w:lineRule="exact"/>
        <w:rPr>
          <w:sz w:val="20"/>
          <w:szCs w:val="20"/>
          <w:color w:val="auto"/>
        </w:rPr>
      </w:pPr>
    </w:p>
    <w:p>
      <w:pPr>
        <w:ind w:right="8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Debt Minimum Gain</w:t>
      </w:r>
      <w:r>
        <w:rPr>
          <w:rFonts w:ascii="Arial" w:cs="Arial" w:eastAsia="Arial" w:hAnsi="Arial"/>
          <w:sz w:val="18"/>
          <w:szCs w:val="18"/>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1.704-2(b)(3)) determined in accordance with Treasury Regulations Section 1.704-2(i)(3).</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 Required 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 securities exchange that has registered with the SEC under Section 6 of the Exchange Act.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any of The Nasdaq Global Select Market, The Nasdaq Global Market and The Nasdaq Capital Market.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10" w:name="page211"/>
    <w:bookmarkEnd w:id="210"/>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means each Person designated as an officer of the Company by the Managing Member pursuant to and in accordance with the provisions of </w:t>
      </w:r>
      <w:r>
        <w:rPr>
          <w:rFonts w:ascii="Arial" w:cs="Arial" w:eastAsia="Arial" w:hAnsi="Arial"/>
          <w:sz w:val="18"/>
          <w:szCs w:val="18"/>
          <w:u w:val="single" w:color="auto"/>
          <w:color w:val="auto"/>
        </w:rPr>
        <w:t>Section 3.04</w:t>
      </w:r>
      <w:r>
        <w:rPr>
          <w:rFonts w:ascii="Arial" w:cs="Arial" w:eastAsia="Arial" w:hAnsi="Arial"/>
          <w:sz w:val="18"/>
          <w:szCs w:val="18"/>
          <w:color w:val="auto"/>
        </w:rPr>
        <w:t>, subject to any resolutions of the Managing Member appointing such Person as an officer of the Company or relating to such appointment.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the Members of the Company as of immediately prior to the Effective Time (as defined in the Business Combination Agreement) of the Business Combination.</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 Representative</w:t>
      </w:r>
      <w:r>
        <w:rPr>
          <w:rFonts w:ascii="Arial" w:cs="Arial" w:eastAsia="Arial" w:hAnsi="Arial"/>
          <w:sz w:val="18"/>
          <w:szCs w:val="18"/>
          <w:color w:val="auto"/>
        </w:rPr>
        <w:t>” means Opal Holdco LLC or such other Person as may be appointed from time to time by holders of a majority of Units held by Original Members who hold Units at the time of determination.</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one Class B Unit, on the one hand, and one share of Class B Common Stock or one share of Class D Common Stock, on the other hand.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xml:space="preserve">” has means any Person acting as “tax matters partner” or the “partnership representative”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24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Vesting ACT Shares</w:t>
      </w:r>
      <w:r>
        <w:rPr>
          <w:rFonts w:ascii="Arial" w:cs="Arial" w:eastAsia="Arial" w:hAnsi="Arial"/>
          <w:sz w:val="18"/>
          <w:szCs w:val="18"/>
          <w:color w:val="auto"/>
        </w:rPr>
        <w:t>” means certain shares of Class A Common Stock, originated from the conversion of Class B ordinary shares of ArcLight Clean Transition Corp. II in the ACT Share Conversion (as such term is defined in the Business Combination Agreement), which (following the Effective Date) are subject to vesting and forfeiture in accordance with the terms of that certain Sponsor Letter Agreement, dated December 2, 2021, by and among the Company, the Managing Members and the other parties named therein.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Exchange Event</w:t>
      </w:r>
      <w:r>
        <w:rPr>
          <w:rFonts w:ascii="Arial" w:cs="Arial" w:eastAsia="Arial" w:hAnsi="Arial"/>
          <w:sz w:val="16"/>
          <w:szCs w:val="16"/>
          <w:color w:val="auto"/>
        </w:rPr>
        <w:t>” means any of the following events, which has occurred or is occurring, or is otherwise satisfied, as of the Exchange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1244" w:hanging="253"/>
        <w:spacing w:after="0"/>
        <w:tabs>
          <w:tab w:leader="none" w:pos="124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Exchange is part of one or more Exchanges by a Member and any related persons (within the meaning of Section 267(b) or 707(b)</w:t>
      </w:r>
    </w:p>
    <w:p>
      <w:pPr>
        <w:spacing w:after="0" w:line="46" w:lineRule="exact"/>
        <w:rPr>
          <w:rFonts w:ascii="Arial" w:cs="Arial" w:eastAsia="Arial" w:hAnsi="Arial"/>
          <w:sz w:val="16"/>
          <w:szCs w:val="16"/>
          <w:color w:val="auto"/>
        </w:rPr>
      </w:pPr>
    </w:p>
    <w:p>
      <w:pPr>
        <w:ind w:left="4" w:right="500" w:hanging="4"/>
        <w:spacing w:after="0" w:line="260" w:lineRule="auto"/>
        <w:tabs>
          <w:tab w:leader="none" w:pos="2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the Code) that is part of a “block transfer” within the meaning of Treasury Regulations Section 1.7704-1(e)(2) (for this purpose, treating the Managing Member as a “general partner” within the meaning of Treasury Regulations Section 1.7704-1(k)(1));</w:t>
      </w:r>
    </w:p>
    <w:p>
      <w:pPr>
        <w:spacing w:after="0" w:line="77" w:lineRule="exact"/>
        <w:rPr>
          <w:rFonts w:ascii="Arial" w:cs="Arial" w:eastAsia="Arial" w:hAnsi="Arial"/>
          <w:sz w:val="18"/>
          <w:szCs w:val="18"/>
          <w:color w:val="auto"/>
        </w:rPr>
      </w:pPr>
    </w:p>
    <w:p>
      <w:pPr>
        <w:ind w:left="4" w:right="240" w:firstLine="987"/>
        <w:spacing w:after="0" w:line="311" w:lineRule="auto"/>
        <w:tabs>
          <w:tab w:leader="none" w:pos="125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the Exchange is in connection with a Corporation Offer or a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Exchange pursuant to this clause (b) shall be effective immediately prior to the consummation of the closing of such Corporation Offer or such Change of Control date (and, for the avoidance of doubt, shall not be effective if such Corporation Offer is not consummated or such Change of Control does not occur); or</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1" w:name="page212"/>
    <w:bookmarkEnd w:id="211"/>
    <w:p>
      <w:pPr>
        <w:ind w:firstLine="987"/>
        <w:spacing w:after="0" w:line="311" w:lineRule="auto"/>
        <w:tabs>
          <w:tab w:leader="none" w:pos="12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Primary Indemnification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Safe Harbor</w:t>
      </w:r>
      <w:r>
        <w:rPr>
          <w:rFonts w:ascii="Arial" w:cs="Arial" w:eastAsia="Arial" w:hAnsi="Arial"/>
          <w:sz w:val="17"/>
          <w:szCs w:val="17"/>
          <w:color w:val="auto"/>
        </w:rPr>
        <w:t>” means the “private placement” safe harbor set forth in Treasury Regulations Section 1.7704-1(h)(1).</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xml:space="preserve">” means, for each Fiscal Year or other period, the taxable income or loss of the Company, or particular items thereof, determined in accordance with the accounting method used by the Company for U.S. federal income tax purposes with the following adjustments: (a) all items of income, gain, loss or deduction allocated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not be taken into account in computing such taxable income or loss (but the amounts of items to be specially allocated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determined by applying rules analogous to those set forth in this definition of “Profits” and “Losses”); (b) any income of the Company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U.S. federal income tax depreciation, amortization or other cost recovery deduction is zero, the Managing Member may use any reasonable method for purposes of determining depreciation, amortization or other cost recovery deductions in calculating Profits and Losses); (f) to the extent that an adjustment to the adjusted tax basis of any Company asset pursuant to Section 734(b) of the Code is required pursuant to Treasury Regulations</w:t>
      </w:r>
    </w:p>
    <w:p>
      <w:pPr>
        <w:ind w:right="60"/>
        <w:spacing w:after="0" w:line="252" w:lineRule="auto"/>
        <w:rPr>
          <w:sz w:val="20"/>
          <w:szCs w:val="20"/>
          <w:color w:val="auto"/>
        </w:rPr>
      </w:pPr>
      <w:r>
        <w:rPr>
          <w:rFonts w:ascii="Arial" w:cs="Arial" w:eastAsia="Arial" w:hAnsi="Arial"/>
          <w:sz w:val="18"/>
          <w:szCs w:val="18"/>
          <w:color w:val="auto"/>
        </w:rPr>
        <w:t>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Company not deductible in computing taxable income or loss, not properly capitalizable and not otherwise taken into account in computing Profits and Losses pursuant to this definition shall be treated as deductible items.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2" w:name="page213"/>
    <w:bookmarkEnd w:id="212"/>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Quarterly Exchange Date</w:t>
      </w:r>
      <w:r>
        <w:rPr>
          <w:rFonts w:ascii="Arial" w:cs="Arial" w:eastAsia="Arial" w:hAnsi="Arial"/>
          <w:sz w:val="17"/>
          <w:szCs w:val="17"/>
          <w:color w:val="auto"/>
        </w:rPr>
        <w:t>” means either (a) for each fiscal quarter, the first Business Day occurring after the 60</w:t>
      </w:r>
      <w:r>
        <w:rPr>
          <w:rFonts w:ascii="Arial" w:cs="Arial" w:eastAsia="Arial" w:hAnsi="Arial"/>
          <w:sz w:val="14"/>
          <w:szCs w:val="14"/>
          <w:color w:val="auto"/>
        </w:rPr>
        <w:t>th</w:t>
      </w:r>
      <w:r>
        <w:rPr>
          <w:rFonts w:ascii="Arial" w:cs="Arial" w:eastAsia="Arial" w:hAnsi="Arial"/>
          <w:sz w:val="17"/>
          <w:szCs w:val="17"/>
          <w:color w:val="auto"/>
        </w:rPr>
        <w:t xml:space="preserve"> day after the expiration of the applicable Quarterly Exchange Notice Period or (b) such other date as the Managing Member shall determine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date is at least 60 days after the expiration of the Quarterly Exchange Notice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Managing Member shall use commercially reasonable efforts to ensure that at least one Quarterly Exchange Date occurs each fiscal quarter.</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Quarterly Exchange Notice Period</w:t>
      </w:r>
      <w:r>
        <w:rPr>
          <w:rFonts w:ascii="Arial" w:cs="Arial" w:eastAsia="Arial" w:hAnsi="Arial"/>
          <w:sz w:val="17"/>
          <w:szCs w:val="17"/>
          <w:color w:val="auto"/>
        </w:rPr>
        <w:t xml:space="preserve">” means, for each fiscal quarter, the period commencing on the third Business Day after the day on which the Managing Member releases its earnings for the prior fiscal period, beginning with the first such date that falls on or after the waiver or expiration of any contractual lock-up period relating to the shares of the Managing Member that may be applicable to a Member (or such other date within such quarter as the Managing Member shall determine in its sole discretion) and ending five Business Days thereafter. Notwithstanding the foregoing, the Managing Member may change the definition of “Quarterly Exchange Notice Period” with respect to any Quarterly Exchange Notice Period scheduled to occur in a calendar quarter subsequent to the then-current calendar quarter if (a) the revised definition provides for a Quarterly Exchange Notice Period occurring at least once in each calendar quarter, (b) the first Quarterly Exchange Notice Period pursuant to the revised definition will occur no less than ten Business Days from the date the written notice of such change is sent to each Member (other than the Managing Member) and (c) the revised definition, together with the revised Quarterly Exchange Date resulting therefrom, do not materially adversely affect the ability of the Holders to exercise their Exchange rights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11.01(d)</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Sections 6221 through 6241 of the Code, as in effect for taxable years of the Company beginning after December 31, 2017, together with any subsequent amendments thereto, Treasury Regulations promulgated thereunder, and published administrative interpretations thereof, and any comparable provisions of state or local tax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Secondary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3" w:name="page214"/>
    <w:bookmarkEnd w:id="213"/>
    <w:p>
      <w:pPr>
        <w:ind w:right="1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Stock Exchange Payment</w:t>
      </w:r>
      <w:r>
        <w:rPr>
          <w:rFonts w:ascii="Arial" w:cs="Arial" w:eastAsia="Arial" w:hAnsi="Arial"/>
          <w:sz w:val="16"/>
          <w:szCs w:val="16"/>
          <w:color w:val="auto"/>
        </w:rPr>
        <w:t>” means, with respect to the portion of any Exchange for which a Cash Exchange Notice is not delivered by the Managing Member, on behalf of the Company, a number of shares of Class A Common Stock (to the extent the Exchanging Member has surrendered shares of Class B Common Stock) or Class C Common Stock (to the extent that the Exchanging Member has surrendered shares of Class D Common Stock), in each case equal to the product of the number of Exchanged Units multiplied by the Exchange Rate. For the avoidance of doubt, in the event that the Exchanging Member has surrendered shares of (a) Class B Common Stock, the Exchanging Member shall be entitled to receive shares of Class A Common Stock and (b) Class D Common Stock, the Exchanging Member shall be entitled to receive shares of Class C Common Stock.</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joint venture or other business entity of which (i) if a corporation, at least 50%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joint venture or other business entity (other than a corporation), at least 50% of the partnership, joint venture or other similar ownership interest thereof (whether voting or economic) is at the time owned or controlled, directly or indirectly, by that Person or one or more Subsidiaries of that Person or a combination thereof. For purposes hereof, a Person or Persons shall be deemed to have at least 50% ownership interest in a limited liability company, partnership, association or other business entity (other than a corporation) if such Person or Persons shall be allocated at least 50%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Estimation Period</w:t>
      </w:r>
      <w:r>
        <w:rPr>
          <w:rFonts w:ascii="Arial" w:cs="Arial" w:eastAsia="Arial" w:hAnsi="Arial"/>
          <w:sz w:val="18"/>
          <w:szCs w:val="18"/>
          <w:color w:val="auto"/>
        </w:rPr>
        <w:t>” shall mean each period from January 1 through March 31, from April 1 through May 31, from June 1 through August 31, and from September 1 through December 31 of each taxable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14" w:name="page215"/>
    <w:bookmarkEnd w:id="214"/>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or about the date hereof among the Company, [AGENT], Managing Member and the other parties from time to time party thereto, as amended from time to time.</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(b) a sale, lease, exchange or other transfer of all or substantially all of the assets of the Managing Member, whether in a single transaction or a series of related transactions, (c) a reclassification, recapitalization or change of the outstanding shares of Class A Common Stock or Class C Common Stock (other than a change in par value, or from par value to no par value, or as a result of a stock split, stock dividend or similar subdivision), (d) the adoption of any plan of liquidation or dissolution of the Managing Member, or (e) a direct or indirect Transfer of all or any portion of the Managing Member’s interest in the Company, other than a Transfer effected in accordance with </w:t>
      </w:r>
      <w:r>
        <w:rPr>
          <w:rFonts w:ascii="Arial" w:cs="Arial" w:eastAsia="Arial" w:hAnsi="Arial"/>
          <w:sz w:val="16"/>
          <w:szCs w:val="16"/>
          <w:u w:val="single" w:color="auto"/>
          <w:color w:val="auto"/>
        </w:rPr>
        <w:t>Section 3.07(a)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3.07(b)</w:t>
      </w:r>
      <w:r>
        <w:rPr>
          <w:rFonts w:ascii="Arial" w:cs="Arial" w:eastAsia="Arial" w:hAnsi="Arial"/>
          <w:sz w:val="16"/>
          <w:szCs w:val="16"/>
          <w:color w:val="auto"/>
        </w:rPr>
        <w:t>.</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Nasdaq Stock Market or such other principal United States securities exchange on which the shares of Class A Common Stock are listed, quoted or admitted to trading and is open for the transaction of business (unless such trading shall have been suspended for the entire day).</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without limitation,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means any Person that is a permitted transferee of a Member’s interest in the Company, or part thereof.</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including temporary and proposed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means the Class A Units and any other Class of Units that is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15" w:name="page216"/>
    <w:bookmarkEnd w:id="21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Unrestricted Exchanges</w:t>
      </w:r>
      <w:r>
        <w:rPr>
          <w:rFonts w:ascii="Arial" w:cs="Arial" w:eastAsia="Arial" w:hAnsi="Arial"/>
          <w:sz w:val="18"/>
          <w:szCs w:val="18"/>
          <w:color w:val="auto"/>
        </w:rPr>
        <w:t>” means any Exchange that is in connection with a Permitted Exchange Event or that occurs during a period in which the Company meets the requirements of the Private Placement Safe Harbor.</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w:t>
      </w:r>
      <w:r>
        <w:rPr>
          <w:rFonts w:ascii="Arial" w:cs="Arial" w:eastAsia="Arial" w:hAnsi="Arial"/>
          <w:sz w:val="17"/>
          <w:szCs w:val="17"/>
          <w:color w:val="auto"/>
        </w:rPr>
        <w:t>” means the daily per share volume-weighted average price of shares of Class A Common Stock on the Nasdaq Stock Market or such other principal United States securities exchange on which the shares of Class A Common Stock are listed, quoted or admitted to trading, as displayed under the heading “Bloomberg VWAP” on the Bloomberg page designated for the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TERM, PURPOSE AND POWERS</w:t>
      </w:r>
    </w:p>
    <w:p>
      <w:pPr>
        <w:spacing w:after="0" w:line="20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b w:val="1"/>
          <w:bCs w:val="1"/>
          <w:color w:val="auto"/>
        </w:rPr>
        <w:t>Formation.</w:t>
      </w:r>
      <w:r>
        <w:rPr>
          <w:rFonts w:ascii="Arial" w:cs="Arial" w:eastAsia="Arial" w:hAnsi="Arial"/>
          <w:sz w:val="17"/>
          <w:szCs w:val="17"/>
          <w:color w:val="auto"/>
        </w:rPr>
        <w:t xml:space="preserve"> The Company was formed as a limited liability company under the provisions of the Act by the filing of the Certificate on December 30. 2020.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in its sole discretion deems it advisable, the operation of the Company as a limited liability company, or entity in which the Members have limited liability, in all jurisdictions where the Company proposes to operate and (c) all other filings required to be made by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The execution, delivery and filing of the Certificate and each amendment thereto is hereby ratified, approved and confirmed by the Members.</w:t>
      </w:r>
    </w:p>
    <w:p>
      <w:pPr>
        <w:spacing w:after="0" w:line="69"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name of the Company shall be, and the business of the Company shall be conducted under the name of “Opal Fuels LLC” and all Company business shall be conducted in that name or in such other names that comply with applicable law as the Managing Member in its sole discretion may select from time to time. Subject to the Act, the Managing Member in its sole discretion may change the name of the Company (and amend this Agreement to reflect such change) at any time and from time to time without the consent of any other Person. Prompt notification of any such change shall be given to all Members.</w:t>
      </w:r>
    </w:p>
    <w:p>
      <w:pPr>
        <w:spacing w:after="0" w:line="7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Term.</w:t>
      </w:r>
      <w:r>
        <w:rPr>
          <w:rFonts w:ascii="Arial" w:cs="Arial" w:eastAsia="Arial" w:hAnsi="Arial"/>
          <w:sz w:val="18"/>
          <w:szCs w:val="18"/>
          <w:color w:val="auto"/>
        </w:rPr>
        <w:t xml:space="preserve"> The term of the Company commenced on the date of the filing of the Certificate, and the term shall continue until the dissolution of the Company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 The existence of the Company shall continue until cancellation of the Certificate in the manner required by the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16" w:name="page217"/>
    <w:bookmarkEnd w:id="216"/>
    <w:p>
      <w:pPr>
        <w:jc w:val="both"/>
        <w:ind w:right="2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2.04 </w:t>
      </w:r>
      <w:r>
        <w:rPr>
          <w:rFonts w:ascii="Arial" w:cs="Arial" w:eastAsia="Arial" w:hAnsi="Arial"/>
          <w:sz w:val="17"/>
          <w:szCs w:val="17"/>
          <w:b w:val="1"/>
          <w:bCs w:val="1"/>
          <w:color w:val="auto"/>
        </w:rPr>
        <w:t>Offices.</w:t>
      </w:r>
      <w:r>
        <w:rPr>
          <w:rFonts w:ascii="Arial" w:cs="Arial" w:eastAsia="Arial" w:hAnsi="Arial"/>
          <w:sz w:val="17"/>
          <w:szCs w:val="17"/>
          <w:color w:val="auto"/>
        </w:rPr>
        <w:t xml:space="preserve"> The Company may have offices at such places either within or outside the State of Delaware as the Managing Member from time to time may select in its sole discretion. As of the date hereof, the principal place of business and office of the Company is located at c/o OPAL Fuels LLC, One North Lexington Avenue, Suite 1450, White Plains, NY 10601, Attention: Office of General Counsel.</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Agent for Service of Process; Existence and Good Standing; Foreign Qualification.</w:t>
      </w:r>
    </w:p>
    <w:p>
      <w:pPr>
        <w:spacing w:after="0" w:line="121" w:lineRule="exact"/>
        <w:rPr>
          <w:sz w:val="20"/>
          <w:szCs w:val="20"/>
          <w:color w:val="auto"/>
        </w:rPr>
      </w:pPr>
    </w:p>
    <w:p>
      <w:pPr>
        <w:ind w:right="80" w:firstLine="987"/>
        <w:spacing w:after="0" w:line="263" w:lineRule="auto"/>
        <w:tabs>
          <w:tab w:leader="none" w:pos="12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registered office of the Company in the State of Delaware shall be located at CORPORATION TRUST CENTER 1209 ORANGE ST, WILMINGTON, DE 19801. The name of the registered agent of the Company for service of process on the Company in the State of Delaware at such address shall be THE CORPORATION TRUST COMPANY.</w:t>
      </w:r>
    </w:p>
    <w:p>
      <w:pPr>
        <w:spacing w:after="0" w:line="75" w:lineRule="exact"/>
        <w:rPr>
          <w:rFonts w:ascii="Arial" w:cs="Arial" w:eastAsia="Arial" w:hAnsi="Arial"/>
          <w:sz w:val="18"/>
          <w:szCs w:val="18"/>
          <w:color w:val="auto"/>
        </w:rPr>
      </w:pPr>
    </w:p>
    <w:p>
      <w:pPr>
        <w:ind w:right="20" w:firstLine="987"/>
        <w:spacing w:after="0" w:line="289" w:lineRule="auto"/>
        <w:tabs>
          <w:tab w:leader="none" w:pos="124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54"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b w:val="1"/>
          <w:bCs w:val="1"/>
          <w:color w:val="auto"/>
        </w:rPr>
        <w:t>Business Purpose.</w:t>
      </w:r>
      <w:r>
        <w:rPr>
          <w:rFonts w:ascii="Arial" w:cs="Arial" w:eastAsia="Arial" w:hAnsi="Arial"/>
          <w:sz w:val="18"/>
          <w:szCs w:val="18"/>
          <w:color w:val="auto"/>
        </w:rPr>
        <w:t xml:space="preserve"> The Company was formed for the object and purpose of, and the nature and character of the business to be conducted by the Company is, engaging in any lawful act or activity for which limited liability companies may be formed under the Act.</w:t>
      </w:r>
    </w:p>
    <w:p>
      <w:pPr>
        <w:spacing w:after="0" w:line="54"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b w:val="1"/>
          <w:bCs w:val="1"/>
          <w:color w:val="auto"/>
        </w:rPr>
        <w:t>Powers of the Company.</w:t>
      </w:r>
      <w:r>
        <w:rPr>
          <w:rFonts w:ascii="Arial" w:cs="Arial" w:eastAsia="Arial" w:hAnsi="Arial"/>
          <w:sz w:val="17"/>
          <w:szCs w:val="17"/>
          <w:color w:val="auto"/>
        </w:rPr>
        <w:t xml:space="preserve"> Subject to the limitations set forth in this Agreement, the Company will possess and may exercise all of the powers and privileges granted to it by the Act including, without limitation,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57"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b w:val="1"/>
          <w:bCs w:val="1"/>
          <w:color w:val="auto"/>
        </w:rPr>
        <w:t>Members; Reclassification; Admission of New Members.</w:t>
      </w:r>
      <w:r>
        <w:rPr>
          <w:rFonts w:ascii="Arial" w:cs="Arial" w:eastAsia="Arial" w:hAnsi="Arial"/>
          <w:sz w:val="16"/>
          <w:szCs w:val="16"/>
          <w:color w:val="auto"/>
        </w:rPr>
        <w:t xml:space="preserve"> Each of the Persons listed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as the same may be amended from time to time in accordance with this Agreement, by virtue of its execution this Agreement, are admitted as Members of the Company.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17" w:name="page218"/>
    <w:bookmarkEnd w:id="2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rights, duties and liabilities of the Members shall be as provided in the Act, except as is otherwise expressly provided herein, and the Members consent to the variation of such rights, duties and liabilities as provided herein. Subject to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with respect to substitute Members, a Person may be admitted from time to time as a new Member with the written consent of the Managing Member in its sole 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hereof.</w:t>
      </w:r>
    </w:p>
    <w:p>
      <w:pPr>
        <w:spacing w:after="0" w:line="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b w:val="1"/>
          <w:bCs w:val="1"/>
          <w:color w:val="auto"/>
        </w:rPr>
        <w:t>Resignation.</w:t>
      </w:r>
      <w:r>
        <w:rPr>
          <w:rFonts w:ascii="Arial" w:cs="Arial" w:eastAsia="Arial" w:hAnsi="Arial"/>
          <w:sz w:val="18"/>
          <w:szCs w:val="18"/>
          <w:color w:val="auto"/>
        </w:rPr>
        <w:t xml:space="preserve"> No Member shall have the right to resign as a member of the Company other than following the Transfer of all Units owned by such Member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54"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Representations of Members.</w:t>
      </w:r>
      <w:r>
        <w:rPr>
          <w:rFonts w:ascii="Arial" w:cs="Arial" w:eastAsia="Arial" w:hAnsi="Arial"/>
          <w:sz w:val="16"/>
          <w:szCs w:val="16"/>
          <w:color w:val="auto"/>
        </w:rPr>
        <w:t xml:space="preserve"> Each Member severally (and not jointly) represents and warrants to the Company and each other Member as of the date of such Member’s admittance to the Company and as of each subsequent date that such Member acquires any additional Units that:</w:t>
      </w:r>
    </w:p>
    <w:p>
      <w:pPr>
        <w:spacing w:after="0" w:line="8" w:lineRule="exact"/>
        <w:rPr>
          <w:sz w:val="20"/>
          <w:szCs w:val="20"/>
          <w:color w:val="auto"/>
        </w:rPr>
      </w:pPr>
    </w:p>
    <w:p>
      <w:pPr>
        <w:ind w:left="1240" w:hanging="253"/>
        <w:spacing w:after="0"/>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Organization; Authority</w:t>
      </w:r>
    </w:p>
    <w:p>
      <w:pPr>
        <w:spacing w:after="0" w:line="121" w:lineRule="exact"/>
        <w:rPr>
          <w:rFonts w:ascii="Arial" w:cs="Arial" w:eastAsia="Arial" w:hAnsi="Arial"/>
          <w:sz w:val="18"/>
          <w:szCs w:val="18"/>
          <w:color w:val="auto"/>
        </w:rPr>
      </w:pPr>
    </w:p>
    <w:p>
      <w:pPr>
        <w:ind w:left="440" w:right="180" w:firstLine="948"/>
        <w:spacing w:after="0" w:line="293" w:lineRule="auto"/>
        <w:tabs>
          <w:tab w:leader="none" w:pos="160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To the extent it is not a natural person, (x) it is duly formed, validly existing and in good standing (if applicable) under the Laws of the jurisdiction of its formation, and if required by Law is duly qualified to conduct business and is in good standing in the jurisdiction of its principal place of business (if not formed in such jurisdiction), and (y)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Member have been duly taken.</w:t>
      </w:r>
    </w:p>
    <w:p>
      <w:pPr>
        <w:spacing w:after="0" w:line="56" w:lineRule="exact"/>
        <w:rPr>
          <w:rFonts w:ascii="Arial" w:cs="Arial" w:eastAsia="Arial" w:hAnsi="Arial"/>
          <w:sz w:val="16"/>
          <w:szCs w:val="16"/>
          <w:color w:val="auto"/>
        </w:rPr>
      </w:pPr>
    </w:p>
    <w:p>
      <w:pPr>
        <w:ind w:left="440" w:right="200" w:firstLine="948"/>
        <w:spacing w:after="0" w:line="263" w:lineRule="auto"/>
        <w:tabs>
          <w:tab w:leader="none" w:pos="16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It has duly executed and delivered this Agreement, and this Agreement is enforceable against such Member in accordance with its terms, subject to bankruptcy, moratorium, insolvency and other Laws generally affecting creditors’ rights and general principles of equity (whether applied in a proceeding in a court of law or equity).</w:t>
      </w:r>
    </w:p>
    <w:p>
      <w:pPr>
        <w:spacing w:after="0" w:line="71" w:lineRule="exact"/>
        <w:rPr>
          <w:rFonts w:ascii="Arial" w:cs="Arial" w:eastAsia="Arial" w:hAnsi="Arial"/>
          <w:sz w:val="18"/>
          <w:szCs w:val="18"/>
          <w:color w:val="auto"/>
        </w:rPr>
      </w:pPr>
    </w:p>
    <w:p>
      <w:pPr>
        <w:ind w:right="280" w:firstLine="987"/>
        <w:spacing w:after="0" w:line="289" w:lineRule="auto"/>
        <w:tabs>
          <w:tab w:leader="none" w:pos="1246" w:val="left"/>
        </w:tabs>
        <w:numPr>
          <w:ilvl w:val="0"/>
          <w:numId w:val="212"/>
        </w:numPr>
        <w:rPr>
          <w:rFonts w:ascii="Arial" w:cs="Arial" w:eastAsia="Arial" w:hAnsi="Arial"/>
          <w:sz w:val="17"/>
          <w:szCs w:val="17"/>
          <w:color w:val="auto"/>
        </w:rPr>
      </w:pPr>
      <w:r>
        <w:rPr>
          <w:rFonts w:ascii="Arial" w:cs="Arial" w:eastAsia="Arial" w:hAnsi="Arial"/>
          <w:sz w:val="17"/>
          <w:szCs w:val="17"/>
          <w:b w:val="1"/>
          <w:bCs w:val="1"/>
          <w:color w:val="auto"/>
        </w:rPr>
        <w:t xml:space="preserve">Non-Contravention. </w:t>
      </w:r>
      <w:r>
        <w:rPr>
          <w:rFonts w:ascii="Arial" w:cs="Arial" w:eastAsia="Arial" w:hAnsi="Arial"/>
          <w:sz w:val="17"/>
          <w:szCs w:val="17"/>
          <w:color w:val="auto"/>
        </w:rPr>
        <w:t>Its authorization, execution, delivery, and performance of this Agreement does not breach or conflict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default under (x) such Member’s charter or other governing documents to the extent it is not a natural person, (y) any material obligation under any other material agreement to which that Member is a party or by which it is bound or (z) applicable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8" w:name="page219"/>
    <w:bookmarkEnd w:id="218"/>
    <w:p>
      <w:pPr>
        <w:ind w:right="60" w:firstLine="987"/>
        <w:spacing w:after="0" w:line="303" w:lineRule="auto"/>
        <w:tabs>
          <w:tab w:leader="none" w:pos="1236"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Inquiry. </w:t>
      </w:r>
      <w:r>
        <w:rPr>
          <w:rFonts w:ascii="Arial" w:cs="Arial" w:eastAsia="Arial" w:hAnsi="Arial"/>
          <w:sz w:val="16"/>
          <w:szCs w:val="16"/>
          <w:color w:val="auto"/>
        </w:rPr>
        <w:t>To the extent such Member has acquired Units directly from the Company, it has had, prior to the execution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and received all such information about the Company and the Units as it has requested.</w:t>
      </w:r>
    </w:p>
    <w:p>
      <w:pPr>
        <w:spacing w:after="0" w:line="42" w:lineRule="exact"/>
        <w:rPr>
          <w:rFonts w:ascii="Arial" w:cs="Arial" w:eastAsia="Arial" w:hAnsi="Arial"/>
          <w:sz w:val="16"/>
          <w:szCs w:val="16"/>
          <w:color w:val="auto"/>
        </w:rPr>
      </w:pPr>
    </w:p>
    <w:p>
      <w:pPr>
        <w:ind w:firstLine="987"/>
        <w:spacing w:after="0" w:line="303" w:lineRule="auto"/>
        <w:tabs>
          <w:tab w:leader="none" w:pos="1246"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Purpose of Investment. </w:t>
      </w:r>
      <w:r>
        <w:rPr>
          <w:rFonts w:ascii="Arial" w:cs="Arial" w:eastAsia="Arial" w:hAnsi="Arial"/>
          <w:sz w:val="16"/>
          <w:szCs w:val="16"/>
          <w:color w:val="auto"/>
        </w:rPr>
        <w:t>It is acquiring and holding its Units solely for investment purposes, for its own account and not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42" w:lineRule="exact"/>
        <w:rPr>
          <w:rFonts w:ascii="Arial" w:cs="Arial" w:eastAsia="Arial" w:hAnsi="Arial"/>
          <w:sz w:val="16"/>
          <w:szCs w:val="16"/>
          <w:color w:val="auto"/>
        </w:rPr>
      </w:pPr>
    </w:p>
    <w:p>
      <w:pPr>
        <w:ind w:right="100" w:firstLine="987"/>
        <w:spacing w:after="0" w:line="254" w:lineRule="auto"/>
        <w:tabs>
          <w:tab w:leader="none" w:pos="123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It understands the Units are being Transferred in a transaction not involving a public offering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Securities Act and the Units will comprise “</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within the meaning of Rule 144(a)(3) under the Securities Act which shall not be sold, pledged, hypothecated or otherwise Transferred except in accordance with the terms of this Agreement and applicable Law. It agrees that, if in the future it decides to offer, resell, pledge or otherwise Transfer any portion of its Units, such Units may be offered, resold, pledged or otherwise Transferred only pursuant to an effective registration statement under the Securities Act or an applicable exemption from registration and/or qualification under the Securities Act and applicable state securities Laws, and as a condition precedent to any such Transfer, it may be required to deliver to the Company an opinion of counsel satisfactory to the Company, and agrees, absent registration or an exemption with respect to its Units, not to resell any such Units.</w:t>
      </w:r>
    </w:p>
    <w:p>
      <w:pPr>
        <w:spacing w:after="0" w:line="83" w:lineRule="exact"/>
        <w:rPr>
          <w:rFonts w:ascii="Arial" w:cs="Arial" w:eastAsia="Arial" w:hAnsi="Arial"/>
          <w:sz w:val="18"/>
          <w:szCs w:val="18"/>
          <w:color w:val="auto"/>
        </w:rPr>
      </w:pPr>
    </w:p>
    <w:p>
      <w:pPr>
        <w:ind w:right="20" w:firstLine="987"/>
        <w:spacing w:after="0" w:line="272" w:lineRule="auto"/>
        <w:tabs>
          <w:tab w:leader="none" w:pos="1216"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 xml:space="preserve">Investor Status. </w:t>
      </w:r>
      <w:r>
        <w:rPr>
          <w:rFonts w:ascii="Arial" w:cs="Arial" w:eastAsia="Arial" w:hAnsi="Arial"/>
          <w:sz w:val="17"/>
          <w:szCs w:val="17"/>
          <w:color w:val="auto"/>
        </w:rPr>
        <w:t>It (i) has adequate means of providing for its current needs and possible contingencies, is able to bear the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risks of its investment for an indefinite period of time and has a sufficient net worth to sustain a loss of its entire investment in the Company in the event such loss should occur, (ii) is sophisticated in financial matters and has such knowledge and experience in financial and business matters as to be capable of evaluating the merits and risks of an investment in the Company, (iii) is, or is controlled by,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that term is defined in Rule 501(a) of Regulation D, promulgated under the Securities Act, and acknowledges the issuance of Units under this Agreement is being made in reliance on a private placement exemption to “</w:t>
      </w:r>
      <w:r>
        <w:rPr>
          <w:rFonts w:ascii="Arial" w:cs="Arial" w:eastAsia="Arial" w:hAnsi="Arial"/>
          <w:sz w:val="17"/>
          <w:szCs w:val="17"/>
          <w:b w:val="1"/>
          <w:bCs w:val="1"/>
          <w:i w:val="1"/>
          <w:iCs w:val="1"/>
          <w:color w:val="auto"/>
        </w:rPr>
        <w:t>accredited investors</w:t>
      </w:r>
      <w:r>
        <w:rPr>
          <w:rFonts w:ascii="Arial" w:cs="Arial" w:eastAsia="Arial" w:hAnsi="Arial"/>
          <w:sz w:val="17"/>
          <w:szCs w:val="17"/>
          <w:color w:val="auto"/>
        </w:rPr>
        <w:t>”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Managing Member</w:t>
      </w:r>
    </w:p>
    <w:p>
      <w:pPr>
        <w:spacing w:after="0" w:line="121" w:lineRule="exact"/>
        <w:rPr>
          <w:sz w:val="20"/>
          <w:szCs w:val="20"/>
          <w:color w:val="auto"/>
        </w:rPr>
      </w:pPr>
    </w:p>
    <w:p>
      <w:pPr>
        <w:ind w:right="100" w:firstLine="987"/>
        <w:spacing w:after="0" w:line="277"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business, property and affairs of the Company shall be managed under the sole, absolute and exclusive direction of the Managing Member, which may from time to time delegate authority to Officers or to others to act on behalf of the Company.</w:t>
      </w:r>
    </w:p>
    <w:p>
      <w:pPr>
        <w:spacing w:after="0" w:line="62" w:lineRule="exact"/>
        <w:rPr>
          <w:rFonts w:ascii="Arial" w:cs="Arial" w:eastAsia="Arial" w:hAnsi="Arial"/>
          <w:sz w:val="18"/>
          <w:szCs w:val="18"/>
          <w:color w:val="auto"/>
        </w:rPr>
      </w:pPr>
    </w:p>
    <w:p>
      <w:pPr>
        <w:ind w:firstLine="987"/>
        <w:spacing w:after="0" w:line="308" w:lineRule="auto"/>
        <w:tabs>
          <w:tab w:leader="none" w:pos="124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Managing Member shall have the general power to manage or cause the management of the Company (which may be delegated to Officers of the Company), including, without limitation, the following powers:</w:t>
      </w:r>
    </w:p>
    <w:p>
      <w:pPr>
        <w:spacing w:after="0" w:line="38" w:lineRule="exact"/>
        <w:rPr>
          <w:rFonts w:ascii="Arial" w:cs="Arial" w:eastAsia="Arial" w:hAnsi="Arial"/>
          <w:sz w:val="17"/>
          <w:szCs w:val="17"/>
          <w:color w:val="auto"/>
        </w:rPr>
      </w:pPr>
    </w:p>
    <w:p>
      <w:pPr>
        <w:ind w:left="1600" w:hanging="212"/>
        <w:spacing w:after="0"/>
        <w:tabs>
          <w:tab w:leader="none" w:pos="16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117" w:lineRule="exact"/>
        <w:rPr>
          <w:rFonts w:ascii="Arial" w:cs="Arial" w:eastAsia="Arial" w:hAnsi="Arial"/>
          <w:sz w:val="18"/>
          <w:szCs w:val="18"/>
          <w:color w:val="auto"/>
        </w:rPr>
      </w:pPr>
    </w:p>
    <w:p>
      <w:pPr>
        <w:ind w:left="440" w:right="80" w:firstLine="948"/>
        <w:spacing w:after="0" w:line="277" w:lineRule="auto"/>
        <w:tabs>
          <w:tab w:leader="none" w:pos="165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62" w:lineRule="exact"/>
        <w:rPr>
          <w:rFonts w:ascii="Arial" w:cs="Arial" w:eastAsia="Arial" w:hAnsi="Arial"/>
          <w:sz w:val="18"/>
          <w:szCs w:val="18"/>
          <w:color w:val="auto"/>
        </w:rPr>
      </w:pPr>
    </w:p>
    <w:p>
      <w:pPr>
        <w:ind w:left="440" w:right="200" w:firstLine="948"/>
        <w:spacing w:after="0" w:line="277" w:lineRule="auto"/>
        <w:tabs>
          <w:tab w:leader="none" w:pos="17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Company;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develop or cause to be developed accounting procedures for the maintenance of the Company’s books of account; and</w:t>
      </w:r>
    </w:p>
    <w:p>
      <w:pPr>
        <w:spacing w:after="0" w:line="128" w:lineRule="exact"/>
        <w:rPr>
          <w:rFonts w:ascii="Arial" w:cs="Arial" w:eastAsia="Arial" w:hAnsi="Arial"/>
          <w:sz w:val="17"/>
          <w:szCs w:val="17"/>
          <w:color w:val="auto"/>
        </w:rPr>
      </w:pPr>
    </w:p>
    <w:p>
      <w:pPr>
        <w:ind w:left="1740" w:hanging="352"/>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 or by the Members in writing from time to time.</w:t>
      </w:r>
    </w:p>
    <w:p>
      <w:pPr>
        <w:spacing w:after="0" w:line="113"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Managing Member shall not be entitled to any compensation for services rendered to the Company in its capacity as Managing Member.</w:t>
      </w:r>
    </w:p>
    <w:p>
      <w:pPr>
        <w:spacing w:after="0" w:line="5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b w:val="1"/>
          <w:bCs w:val="1"/>
          <w:color w:val="auto"/>
        </w:rPr>
        <w:t>Expenses.</w:t>
      </w:r>
      <w:r>
        <w:rPr>
          <w:rFonts w:ascii="Arial" w:cs="Arial" w:eastAsia="Arial" w:hAnsi="Arial"/>
          <w:sz w:val="17"/>
          <w:szCs w:val="17"/>
          <w:color w:val="auto"/>
        </w:rPr>
        <w:t xml:space="preserve"> 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the Managing Member for (i) any costs, fees or expenses incurred by the Managing Member in connection with serving as the Managing Member and (ii) all other expenses allocable to the Company or otherwise incurred by the Managing Member in connection with operating the Company’s business (including expenses allocated to the Managing Member by its Affiliates).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220" w:name="page221"/>
    <w:bookmarkEnd w:id="220"/>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Managing Member, including, without limitation, compensation and meeting costs of any Board or similar body of the Managing Member, any salary, bonus, incentive compensation and other amounts paid to any Person including Affiliates of the Managing Member to perform services for the Company, litigation costs and damages arising from litigation, accounting and legal costs and franchise taxes. Reimbursements pursuant to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shall be in addition to any reimbursement to the Managing Member as a result of indemnification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5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b w:val="1"/>
          <w:bCs w:val="1"/>
          <w:color w:val="auto"/>
        </w:rPr>
        <w:t>Officers.</w:t>
      </w:r>
      <w:r>
        <w:rPr>
          <w:rFonts w:ascii="Arial" w:cs="Arial" w:eastAsia="Arial" w:hAnsi="Arial"/>
          <w:sz w:val="16"/>
          <w:szCs w:val="16"/>
          <w:color w:val="auto"/>
        </w:rPr>
        <w:t xml:space="preserve"> Subject to the direction and oversight of the Managing Member, the day-to-day administration of the business of the Company may be carried out by persons who may be designated as officers by the Managing Member, with titles including but not limited to “assistant secretary,” “assistant treasurer,” “chairman,” “chief executive officer,” “chief financial officer,” “chief operating officer,” “director,” “general counsel,” “general manager,” “managing director,” “president,” “principal accounting officer,” “secretary,” “senior chairman,” “senior managing director,” “treasurer,” “vice chairman,” “executive vice president” or “vice president,” and as and to the extent authorized by the Managing Member in its sole discretion. The officers of the Company shall have such titles and powers and perform such duties as shall be determined from time to time by the Managing Member and otherwise as shall customarily pertain to such offices. Any number of offices may be held by the same person. In its sole discretion, the Managing Member may choose not to fill any office for any period as it may deem advisable. All officers and other persons providing services to or for the benefit of the Company shall be subject to the supervision and direction of the Managing Member and may be removed, with or without cause, from such office by the Managing Member and the authority, duties or responsibilities of any employee, agent or officer of the Company may be suspended by the Managing Member from time to time, in each case in the sole discretion of the Managing Member. The Managing Member shall not cease to be Managing Member of the Company as a result of the delegation of any duties hereunder. No officer of the Company, in its capacity as such, shall be considered a Managing Member of the Company by agreement, as a result of the performance of its duties hereunder or otherwise.</w:t>
      </w:r>
    </w:p>
    <w:p>
      <w:pPr>
        <w:spacing w:after="0" w:line="16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b w:val="1"/>
          <w:bCs w:val="1"/>
          <w:color w:val="auto"/>
        </w:rPr>
        <w:t>Authority of Members.</w:t>
      </w:r>
      <w:r>
        <w:rPr>
          <w:rFonts w:ascii="Arial" w:cs="Arial" w:eastAsia="Arial" w:hAnsi="Arial"/>
          <w:sz w:val="17"/>
          <w:szCs w:val="17"/>
          <w:color w:val="auto"/>
        </w:rPr>
        <w:t xml:space="preserve"> No Member (other than the Managing Member), in its capacity as such, shall participate in or have any control over the business of the Company. Except as expressly provided herein, the Units do not confer any rights upon the Members to participate in the affairs of the Company described in this Agreement. Except as expressly provided herein or in any Certificate of Designations, no Member (other than the Members holding Class A Units) shall have any right to vote on any matter involving the Company, including with respect to any merger, consolidation, combination or conversion of the Company, or any other matter that a Member might otherwise have the ability to vote on or consent with respect to under the Act, at law, in equity or otherwise. Except as otherwise expressly set forth in this Agreement or any Certificate of Designations,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21" w:name="page222"/>
    <w:bookmarkEnd w:id="22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88"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b w:val="1"/>
          <w:bCs w:val="1"/>
          <w:color w:val="auto"/>
        </w:rPr>
        <w:t>Action by Written Consent or Ratification.</w:t>
      </w:r>
      <w:r>
        <w:rPr>
          <w:rFonts w:ascii="Arial" w:cs="Arial" w:eastAsia="Arial" w:hAnsi="Arial"/>
          <w:sz w:val="17"/>
          <w:szCs w:val="17"/>
          <w:color w:val="auto"/>
        </w:rPr>
        <w:t xml:space="preserve"> Any action required or permitted to be taken by the Members pursuant to this Agreement shall be taken if all Members whose consent or ratification is required consent thereto or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65"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b w:val="1"/>
          <w:bCs w:val="1"/>
          <w:color w:val="auto"/>
        </w:rPr>
        <w:t>Restrictions on Termination Transactions.</w:t>
      </w:r>
      <w:r>
        <w:rPr>
          <w:rFonts w:ascii="Arial" w:cs="Arial" w:eastAsia="Arial" w:hAnsi="Arial"/>
          <w:sz w:val="17"/>
          <w:szCs w:val="17"/>
          <w:color w:val="auto"/>
        </w:rPr>
        <w:t xml:space="preserve"> The Managing Member shall not engage in, or cause or permit, a Termination Transaction, unless either (x) the Termination Transaction has been approved by Members holding a majority of the Class B Units held by all Members (excluding the Managing Member and any Members controlled by the Managing Member) or (y) the following conditions are satisfied:</w:t>
      </w:r>
    </w:p>
    <w:p>
      <w:pPr>
        <w:spacing w:after="0" w:line="54" w:lineRule="exact"/>
        <w:rPr>
          <w:sz w:val="20"/>
          <w:szCs w:val="20"/>
          <w:color w:val="auto"/>
        </w:rPr>
      </w:pPr>
    </w:p>
    <w:p>
      <w:pPr>
        <w:ind w:firstLine="987"/>
        <w:spacing w:after="0" w:line="285" w:lineRule="auto"/>
        <w:tabs>
          <w:tab w:leader="none" w:pos="123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 connection with any such Termination Transaction, (i) each holder of Class B Units (other than the Managing Member and its wholly owned Subsidiaries) will receive, or will have the right to elect to receive, for each Class B Unit an amount of cash, securities or other property equal to the product of (x) the number of shares of Class A Common Stock or Class C Common Stock into which a Class B Unit is then exchangeable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and (y) the greatest amount of cash, securities or other property paid to a holder of one share of Class A Common Stock or Class C Common Stock, as applicable, in consideration of one share of Class A Common Stock or Class C Common Stock, as applicable, pursuant to the terms of such Termination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condition set forth in this </w:t>
      </w:r>
      <w:r>
        <w:rPr>
          <w:rFonts w:ascii="Arial" w:cs="Arial" w:eastAsia="Arial" w:hAnsi="Arial"/>
          <w:sz w:val="16"/>
          <w:szCs w:val="16"/>
          <w:u w:val="single" w:color="auto"/>
          <w:color w:val="auto"/>
        </w:rPr>
        <w:t>Section 3.07(a)(i)</w:t>
      </w:r>
      <w:r>
        <w:rPr>
          <w:rFonts w:ascii="Arial" w:cs="Arial" w:eastAsia="Arial" w:hAnsi="Arial"/>
          <w:sz w:val="16"/>
          <w:szCs w:val="16"/>
          <w:color w:val="auto"/>
        </w:rPr>
        <w:t xml:space="preserve"> shall be deemed to have been satisfied if, in connection with such Termination Transaction, a purchase, tender or exchange offer shall have been made to and accepted by the holders of a majority of the outstanding shares of Class A Common Stock and Class C Common Stock, voting a single class in accordance with the Managing Member Charter, and each holder of Class B Units (other than the Managing Member and its wholly owned subsidiaries) will receive, or will have the right to elect to receive, the greatest amount of cash, securities or other property which such holder of Class B Units would have received had such Class B Units been exchanged for shares of Class A Common Stock or Class C Common Stock in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immediately prior to the expiration of such purchase, tender or exchange offer, such holder of Class B Units had thereupon accepted such purchase, tender or exchange offer and then such Termination Transaction shall have been consummated (the fair market value, at the time of the Termination Transaction, of the amount specified herein with respect to each Class B Unit is referred to as the “</w:t>
      </w:r>
      <w:r>
        <w:rPr>
          <w:rFonts w:ascii="Arial" w:cs="Arial" w:eastAsia="Arial" w:hAnsi="Arial"/>
          <w:sz w:val="16"/>
          <w:szCs w:val="16"/>
          <w:b w:val="1"/>
          <w:bCs w:val="1"/>
          <w:i w:val="1"/>
          <w:iCs w:val="1"/>
          <w:color w:val="auto"/>
        </w:rPr>
        <w:t>Transaction Consideration</w:t>
      </w:r>
      <w:r>
        <w:rPr>
          <w:rFonts w:ascii="Arial" w:cs="Arial" w:eastAsia="Arial" w:hAnsi="Arial"/>
          <w:sz w:val="16"/>
          <w:szCs w:val="16"/>
          <w:color w:val="auto"/>
        </w:rPr>
        <w:t>”); and (ii) the Company receives an opinion from nationally recognized tax counsel to the effect that such Termination Transaction will be tax-free to each holder of Class B Units and Class A Units (including the Managing Member and its wholly owned Subsidiaries unless waived by the Managing Member) for U.S. federal income tax purposes (except to the extent of cash, marketable securities or other property received);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22" w:name="page223"/>
    <w:bookmarkEnd w:id="222"/>
    <w:p>
      <w:pPr>
        <w:ind w:left="4" w:right="180" w:firstLine="987"/>
        <w:spacing w:after="0" w:line="291" w:lineRule="auto"/>
        <w:tabs>
          <w:tab w:leader="none" w:pos="1250"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following conditions are met: (i) substantially all of the assets directly or indirectly owned by the Company prior to the announcement of the Termination Transaction are, immediately after the Termination Transaction, owned directly or indirectly by (x) the Company or</w:t>
      </w:r>
    </w:p>
    <w:p>
      <w:pPr>
        <w:ind w:left="4" w:hanging="4"/>
        <w:spacing w:after="0" w:line="281" w:lineRule="auto"/>
        <w:tabs>
          <w:tab w:leader="none" w:pos="25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another limited liability company or limited partnership organized or existing under the laws of the United States, any state thereof, the District of Columbia, or any territory thereof, which is the survivor of a merger, consolidation or combination of assets with the Company (in each case, the “</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 (ii) the Surviving Company is classified as a partnership for U.S. Federal income tax purposes; (iii) the Members (other than entities controlled by the Managing Member) that held Class B Units immediately prior to the consummation of such Termination Transaction own a percentage interest of the Surviving Company based on the proportion of the relative fair market value of the net assets of the Company to the other net assets of the Surviving Company immediately prior to the consummation of such transaction; (iv) the rights of such Members with respect to the Surviving Company are at least as favorable as those of Members holding Class B Units (including any rights under the Tax Receivable Agreement, unless such Termination Transaction constitutes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for purposes of the Tax Receivable Agreement or otherwise results in payments of cash to the TRA Parties (as defined in the Tax Receivable Agreement) equivalent to (and in lieu of) the payments that would be required to be made to such TRA Parties if such Termination Transaction did constitute a “Change of Control” for such purposes) immediately prior to the consummation of such transaction (except to the extent that any such rights are consistent with clause (v) below) and as those applicable to any other Members (not including the Managing Member); and (v) such rights include the right, to the same extent provided to holders of Class B Units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to exchange their interests in the Surviving Company (together with voting securities of the Managing Member or its successor) for:</w:t>
      </w:r>
    </w:p>
    <w:p>
      <w:pPr>
        <w:spacing w:after="0" w:line="7" w:lineRule="exact"/>
        <w:rPr>
          <w:rFonts w:ascii="Arial" w:cs="Arial" w:eastAsia="Arial" w:hAnsi="Arial"/>
          <w:sz w:val="16"/>
          <w:szCs w:val="16"/>
          <w:color w:val="auto"/>
        </w:rPr>
      </w:pPr>
    </w:p>
    <w:p>
      <w:pPr>
        <w:ind w:left="4" w:right="240"/>
        <w:spacing w:after="0" w:line="273" w:lineRule="auto"/>
        <w:rPr>
          <w:rFonts w:ascii="Arial" w:cs="Arial" w:eastAsia="Arial" w:hAnsi="Arial"/>
          <w:sz w:val="16"/>
          <w:szCs w:val="16"/>
          <w:color w:val="auto"/>
        </w:rPr>
      </w:pPr>
      <w:r>
        <w:rPr>
          <w:rFonts w:ascii="Arial" w:cs="Arial" w:eastAsia="Arial" w:hAnsi="Arial"/>
          <w:sz w:val="17"/>
          <w:szCs w:val="17"/>
          <w:color w:val="auto"/>
        </w:rPr>
        <w:t>(1) a number of publicly traded common equity securities with a fair market value, as of the date of consummation of such Termination Transaction, equal to the Transaction Consideration, subject to antidilution adjustments comparable to those set forth in Section 11.02 (the “</w:t>
      </w:r>
      <w:r>
        <w:rPr>
          <w:rFonts w:ascii="Arial" w:cs="Arial" w:eastAsia="Arial" w:hAnsi="Arial"/>
          <w:sz w:val="17"/>
          <w:szCs w:val="17"/>
          <w:b w:val="1"/>
          <w:bCs w:val="1"/>
          <w:i w:val="1"/>
          <w:iCs w:val="1"/>
          <w:color w:val="auto"/>
        </w:rPr>
        <w:t>Successor Shares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and/or (2) cash in an amount equal to the fair market value of the Successor Shares Amount at the time of such exchange, determined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manner consistent with the definition of “Cash Exchange Payment” as set forth in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w:t>
      </w:r>
    </w:p>
    <w:p>
      <w:pPr>
        <w:spacing w:after="0" w:line="68" w:lineRule="exact"/>
        <w:rPr>
          <w:rFonts w:ascii="Arial" w:cs="Arial" w:eastAsia="Arial" w:hAnsi="Arial"/>
          <w:sz w:val="16"/>
          <w:szCs w:val="16"/>
          <w:color w:val="auto"/>
        </w:rPr>
      </w:pPr>
    </w:p>
    <w:p>
      <w:pPr>
        <w:jc w:val="both"/>
        <w:ind w:left="4" w:firstLine="987"/>
        <w:spacing w:after="0" w:line="263" w:lineRule="auto"/>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Transaction permitted by </w:t>
      </w:r>
      <w:r>
        <w:rPr>
          <w:rFonts w:ascii="Arial" w:cs="Arial" w:eastAsia="Arial" w:hAnsi="Arial"/>
          <w:sz w:val="18"/>
          <w:szCs w:val="18"/>
          <w:u w:val="single" w:color="auto"/>
          <w:color w:val="auto"/>
        </w:rPr>
        <w:t>Section 3.07(b)</w:t>
      </w:r>
      <w:r>
        <w:rPr>
          <w:rFonts w:ascii="Arial" w:cs="Arial" w:eastAsia="Arial" w:hAnsi="Arial"/>
          <w:sz w:val="18"/>
          <w:szCs w:val="18"/>
          <w:color w:val="auto"/>
        </w:rPr>
        <w:t xml:space="preserve"> hereof, the relative fair market values shall be reasonably determined by the Managing Member as of the time of such transaction and, to the extent applicable, shall be no less favorable to the Members than the relative values reflected in the terms of such transaction.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23" w:name="page224"/>
    <w:bookmarkEnd w:id="2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b w:val="1"/>
          <w:bCs w:val="1"/>
          <w:color w:val="auto"/>
        </w:rPr>
        <w:t>Distributions</w:t>
      </w:r>
    </w:p>
    <w:p>
      <w:pPr>
        <w:spacing w:after="0" w:line="117" w:lineRule="exact"/>
        <w:rPr>
          <w:sz w:val="20"/>
          <w:szCs w:val="20"/>
          <w:color w:val="auto"/>
        </w:rPr>
      </w:pPr>
    </w:p>
    <w:p>
      <w:pPr>
        <w:ind w:left="4" w:right="140" w:firstLine="987"/>
        <w:spacing w:after="0" w:line="292" w:lineRule="auto"/>
        <w:tabs>
          <w:tab w:leader="none" w:pos="1240" w:val="left"/>
        </w:tabs>
        <w:numPr>
          <w:ilvl w:val="1"/>
          <w:numId w:val="218"/>
        </w:numPr>
        <w:rPr>
          <w:rFonts w:ascii="Arial" w:cs="Arial" w:eastAsia="Arial" w:hAnsi="Arial"/>
          <w:sz w:val="16"/>
          <w:szCs w:val="16"/>
          <w:color w:val="auto"/>
        </w:rPr>
      </w:pPr>
      <w:r>
        <w:rPr>
          <w:rFonts w:ascii="Arial" w:cs="Arial" w:eastAsia="Arial" w:hAnsi="Arial"/>
          <w:sz w:val="16"/>
          <w:szCs w:val="16"/>
          <w:b w:val="1"/>
          <w:bCs w:val="1"/>
          <w:color w:val="auto"/>
        </w:rPr>
        <w:t xml:space="preserve">Operating Distributions. </w:t>
      </w:r>
      <w:r>
        <w:rPr>
          <w:rFonts w:ascii="Arial" w:cs="Arial" w:eastAsia="Arial" w:hAnsi="Arial"/>
          <w:sz w:val="16"/>
          <w:szCs w:val="16"/>
          <w:color w:val="auto"/>
        </w:rPr>
        <w:t>Except as may otherwise be set forth in any Certificate of Designations, the Managing Member,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may authorize distributions (to the extent of Available Cash) by the Company to the holders of Class A Units and Class B Units at any time and from time to time.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with respect to Tax Distributions and further subject to the provisions of any Certificate of Designations, all Distributions by the Company shall be made or allocated to holders of Class A Units and Class B Units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number of such Units held by each such holder. For the avoidance of doubt, (i) the Managing Member may authorize distributions to holders of preferred Units in accordance with the terms the applicable Certificate of Designations and (ii) no holder of preferred Units shall have any right to receive any distribution pursuant to this Agreement and shall only be entitled to the rights and privileges set forth in the applicable Certificate of Designations.</w:t>
      </w:r>
    </w:p>
    <w:p>
      <w:pPr>
        <w:spacing w:after="0" w:line="53" w:lineRule="exact"/>
        <w:rPr>
          <w:rFonts w:ascii="Arial" w:cs="Arial" w:eastAsia="Arial" w:hAnsi="Arial"/>
          <w:sz w:val="16"/>
          <w:szCs w:val="16"/>
          <w:color w:val="auto"/>
        </w:rPr>
      </w:pPr>
    </w:p>
    <w:p>
      <w:pPr>
        <w:ind w:left="4" w:right="80" w:firstLine="987"/>
        <w:spacing w:after="0" w:line="289" w:lineRule="auto"/>
        <w:tabs>
          <w:tab w:leader="none" w:pos="1250" w:val="left"/>
        </w:tabs>
        <w:numPr>
          <w:ilvl w:val="1"/>
          <w:numId w:val="218"/>
        </w:numPr>
        <w:rPr>
          <w:rFonts w:ascii="Arial" w:cs="Arial" w:eastAsia="Arial" w:hAnsi="Arial"/>
          <w:sz w:val="16"/>
          <w:szCs w:val="16"/>
          <w:color w:val="auto"/>
        </w:rPr>
      </w:pPr>
      <w:r>
        <w:rPr>
          <w:rFonts w:ascii="Arial" w:cs="Arial" w:eastAsia="Arial" w:hAnsi="Arial"/>
          <w:sz w:val="16"/>
          <w:szCs w:val="16"/>
          <w:b w:val="1"/>
          <w:bCs w:val="1"/>
          <w:color w:val="auto"/>
        </w:rPr>
        <w:t xml:space="preserve">Tax Distributions (i) </w:t>
      </w:r>
      <w:r>
        <w:rPr>
          <w:rFonts w:ascii="Arial" w:cs="Arial" w:eastAsia="Arial" w:hAnsi="Arial"/>
          <w:sz w:val="16"/>
          <w:szCs w:val="16"/>
          <w:color w:val="auto"/>
        </w:rPr>
        <w:t>With respect to each Member holding Class A Units or Class B Units, the Company shall calculate the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(x)(A) the Income Amount allocated or allocable to such Member with respect to such Units for the Tax Estimation Period in question and for all preceding Tax Estimation Periods, if any, within the taxable year containing such Tax Estimation Period multiplied by (B) the Assumed Tax Rate over</w:t>
      </w:r>
    </w:p>
    <w:p>
      <w:pPr>
        <w:spacing w:after="0" w:line="1" w:lineRule="exact"/>
        <w:rPr>
          <w:rFonts w:ascii="Arial" w:cs="Arial" w:eastAsia="Arial" w:hAnsi="Arial"/>
          <w:sz w:val="16"/>
          <w:szCs w:val="16"/>
          <w:color w:val="auto"/>
        </w:rPr>
      </w:pPr>
    </w:p>
    <w:p>
      <w:pPr>
        <w:ind w:left="4" w:hanging="4"/>
        <w:spacing w:after="0" w:line="285" w:lineRule="auto"/>
        <w:tabs>
          <w:tab w:leader="none" w:pos="25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aggregate amount of all prior Tax Distributions in respect of such taxable year and any Distributions made to such Member with respect to such Units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6"/>
          <w:szCs w:val="16"/>
          <w:b w:val="1"/>
          <w:bCs w:val="1"/>
          <w:i w:val="1"/>
          <w:iCs w:val="1"/>
          <w:color w:val="auto"/>
        </w:rPr>
        <w:t>Member’s Required 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Managing Member may make adjustments in its reasonable discretion to reflect transactions occurring during the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in the case of the Managing Member, the “Member’s Required Tax Distribution” shall be increased to the extent that the payment obligations of the Managing Member under the Tax Receivable Agreement with respect to any Tax Estimation Period exceed the Managing Member’s available cash (taking into account its obligations or reserves for the payment of taxes, liabilities, expenses, and other corporate purposes). For purposes of this Agreement, the “</w:t>
      </w:r>
      <w:r>
        <w:rPr>
          <w:rFonts w:ascii="Arial" w:cs="Arial" w:eastAsia="Arial" w:hAnsi="Arial"/>
          <w:sz w:val="16"/>
          <w:szCs w:val="16"/>
          <w:b w:val="1"/>
          <w:bCs w:val="1"/>
          <w:i w:val="1"/>
          <w:iCs w:val="1"/>
          <w:color w:val="auto"/>
        </w:rPr>
        <w:t>Income Amount</w:t>
      </w:r>
      <w:r>
        <w:rPr>
          <w:rFonts w:ascii="Arial" w:cs="Arial" w:eastAsia="Arial" w:hAnsi="Arial"/>
          <w:sz w:val="16"/>
          <w:szCs w:val="16"/>
          <w:color w:val="auto"/>
        </w:rPr>
        <w:t>” for a Tax Estimation Period shall equal, with respect to any Member holding Class A Units or Class B Units, the net taxable income of the Company allocated or allocable to such Member with respect to such Units for such Tax Estimation Period (excluding any compensation paid to a Member outside of this Agreement and any Certificate of Designations, but including for the avoidance of doubt any income allocated or allocable to a Member pursuant to Section 704(c) of the Code); provided, however, that net taxable income shall be determined without regard to any special adjustment of tax items as a result of any election under Section 754 of the Code, including any adjustment pursuant to Section 734 and 743 of the Code.</w:t>
      </w:r>
    </w:p>
    <w:p>
      <w:pPr>
        <w:spacing w:after="0" w:line="61" w:lineRule="exact"/>
        <w:rPr>
          <w:rFonts w:ascii="Arial" w:cs="Arial" w:eastAsia="Arial" w:hAnsi="Arial"/>
          <w:sz w:val="16"/>
          <w:szCs w:val="16"/>
          <w:color w:val="auto"/>
        </w:rPr>
      </w:pPr>
    </w:p>
    <w:p>
      <w:pPr>
        <w:ind w:left="444" w:right="60" w:firstLine="948"/>
        <w:spacing w:after="0" w:line="296" w:lineRule="auto"/>
        <w:tabs>
          <w:tab w:leader="none" w:pos="1611" w:val="left"/>
        </w:tabs>
        <w:numPr>
          <w:ilvl w:val="2"/>
          <w:numId w:val="219"/>
        </w:numPr>
        <w:rPr>
          <w:rFonts w:ascii="Arial" w:cs="Arial" w:eastAsia="Arial" w:hAnsi="Arial"/>
          <w:sz w:val="16"/>
          <w:szCs w:val="16"/>
          <w:color w:val="auto"/>
        </w:rPr>
      </w:pPr>
      <w:r>
        <w:rPr>
          <w:rFonts w:ascii="Arial" w:cs="Arial" w:eastAsia="Arial" w:hAnsi="Arial"/>
          <w:sz w:val="16"/>
          <w:szCs w:val="16"/>
          <w:color w:val="auto"/>
        </w:rPr>
        <w:t xml:space="preserve">At least five (5) days before the quarterly due date for payment by corporations or individuals (whichever is earlier) on a calendar year under the Code, the Company shall distribute (to the extent of Available Cash) to the Members holding Class A Units or Class B Units,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based upon the number of such Units held by each such Member an amount of cash sufficient to provide each such Member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at least equal to such Member’s Required Tax Distribution (with amounts distributed pursuant to this </w:t>
      </w:r>
      <w:r>
        <w:rPr>
          <w:rFonts w:ascii="Arial" w:cs="Arial" w:eastAsia="Arial" w:hAnsi="Arial"/>
          <w:sz w:val="16"/>
          <w:szCs w:val="16"/>
          <w:u w:val="single" w:color="auto"/>
          <w:color w:val="auto"/>
        </w:rPr>
        <w:t>Section 4.01(b)</w:t>
      </w:r>
      <w:r>
        <w:rPr>
          <w:rFonts w:ascii="Arial" w:cs="Arial" w:eastAsia="Arial" w:hAnsi="Arial"/>
          <w:sz w:val="16"/>
          <w:szCs w:val="16"/>
          <w:color w:val="auto"/>
        </w:rPr>
        <w:t>, “</w:t>
      </w:r>
      <w:r>
        <w:rPr>
          <w:rFonts w:ascii="Arial" w:cs="Arial" w:eastAsia="Arial" w:hAnsi="Arial"/>
          <w:sz w:val="16"/>
          <w:szCs w:val="16"/>
          <w:b w:val="1"/>
          <w:bCs w:val="1"/>
          <w:i w:val="1"/>
          <w:i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(in the event there is insufficient Available Cash to distribute to each such Member their Member’s Required Tax</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224" w:name="page225"/>
    <w:bookmarkEnd w:id="224"/>
    <w:p>
      <w:pPr>
        <w:ind w:left="440" w:right="4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in full, then the Company shall distribute such Tax Distributions pro rata to each such Member holding Class A Units or Class B Units based on the relative amount of each such Member’s Required Tax Distribution assuming such amounts were paid in full). Any Tax Distributions shall be treated in all respects as advances against future distributions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41" w:lineRule="exact"/>
        <w:rPr>
          <w:sz w:val="20"/>
          <w:szCs w:val="20"/>
          <w:color w:val="auto"/>
        </w:rPr>
      </w:pPr>
    </w:p>
    <w:p>
      <w:pPr>
        <w:ind w:left="440" w:right="220" w:firstLine="948"/>
        <w:spacing w:after="0" w:line="259" w:lineRule="auto"/>
        <w:tabs>
          <w:tab w:leader="none" w:pos="165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right="160" w:firstLine="987"/>
        <w:spacing w:after="0" w:line="266" w:lineRule="auto"/>
        <w:tabs>
          <w:tab w:leader="none" w:pos="1236"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Special Distribution</w:t>
      </w:r>
      <w:r>
        <w:rPr>
          <w:rFonts w:ascii="Arial" w:cs="Arial" w:eastAsia="Arial" w:hAnsi="Arial"/>
          <w:sz w:val="18"/>
          <w:szCs w:val="18"/>
          <w:color w:val="auto"/>
        </w:rPr>
        <w:t>. The Managing Member shall, on the date hereof, cause the Company to distribute the Contributed ACT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term in defined in the Business Combination Agreement) to the holders of Class B Units in accordance with Schedule II to the Business Combination Agreement.</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b w:val="1"/>
          <w:bCs w:val="1"/>
          <w:color w:val="auto"/>
        </w:rPr>
        <w:t>Liquidation Distribution.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 respect to Tax Distributions and the provisions of any Certificate of Designations, all Distributions by the Company, and all proceeds (whether received by the Company or directly by the Members) in connection with dissolution of the Company shall be made or allocated among the holders of Class A Units and Class B Units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such Units held by each such holder.</w:t>
      </w:r>
    </w:p>
    <w:p>
      <w:pPr>
        <w:spacing w:after="0" w:line="180"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b w:val="1"/>
          <w:bCs w:val="1"/>
          <w:color w:val="auto"/>
        </w:rPr>
        <w:t>Limitations on Distribution.</w:t>
      </w:r>
      <w:r>
        <w:rPr>
          <w:rFonts w:ascii="Arial" w:cs="Arial" w:eastAsia="Arial" w:hAnsi="Arial"/>
          <w:sz w:val="18"/>
          <w:szCs w:val="18"/>
          <w:color w:val="auto"/>
        </w:rPr>
        <w:t xml:space="preserve"> Notwithstanding any provision to the contrary contained in this Agreement, the Managing Member shall not make a distribution to any Member if such distribution would violate Section 18-607 of the Act or other applicable Law or the terms of any credit agreement or other third-party agreement or arrangement to which the Company is a party.</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b w:val="1"/>
          <w:bCs w:val="1"/>
          <w:color w:val="auto"/>
        </w:rPr>
        <w:t>Performance Vesting ACT Shares.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the contrary, for all purposes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distributions that would be made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in respect of the Class A Units issued to the Managing Member that correspond to Performance Vesting ACT Shares that have not satisfied the vesting criteria described in the Sponsor Letter Agreement at the time such distribution is made shall be held back and recorded by the Company and such amounts shall either be (i) released to the Managing Member at such time (if any) as the corresponding Performance Vesting ACT Shares satisfy the vesting criteria set forth in Sponsor Letter Agreement or (ii) released to the Company at such time as the corresponding Performance Vesting ACT Shares are forfeited to the Company in accordance with the terms of the Sponsor Letter Agreement.</w:t>
      </w:r>
    </w:p>
    <w:p>
      <w:pPr>
        <w:spacing w:after="0" w:line="189"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b w:val="1"/>
          <w:bCs w:val="1"/>
          <w:color w:val="auto"/>
        </w:rPr>
        <w:t>Use of Distribution Funds.</w:t>
      </w:r>
      <w:r>
        <w:rPr>
          <w:rFonts w:ascii="Arial" w:cs="Arial" w:eastAsia="Arial" w:hAnsi="Arial"/>
          <w:sz w:val="16"/>
          <w:szCs w:val="16"/>
          <w:color w:val="auto"/>
        </w:rPr>
        <w:t xml:space="preserve"> The Managing Member shall use distributions received from the Company for payment of taxes, obligations under the Tax Receivable Agreement, liabilities or expenses, to loan funds to the Company in accordance with this Agreement, to contribute funds to the Company in exchange for additional Class A Units, for the payment of dividends to its shareholders or for other general corporate purposes, in each case as determined in the sole discretion of the Managing Member; provided that the Managing Member may not use such distributions to acquire any Units, except as otherwise expressly provided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any Certificate of Designations (but subject to the terms of any Certificate of Designations).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CAPITAL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ALLOCATIONS; TAX MATTERS</w:t>
      </w:r>
    </w:p>
    <w:p>
      <w:pPr>
        <w:spacing w:after="0" w:line="207" w:lineRule="exact"/>
        <w:rPr>
          <w:sz w:val="20"/>
          <w:szCs w:val="20"/>
          <w:color w:val="auto"/>
        </w:rPr>
      </w:pPr>
    </w:p>
    <w:p>
      <w:pPr>
        <w:ind w:right="680" w:firstLine="440"/>
        <w:spacing w:after="0" w:line="312"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b w:val="1"/>
          <w:bCs w:val="1"/>
          <w:color w:val="auto"/>
        </w:rPr>
        <w:t>Initial Capital Contributions.</w:t>
      </w:r>
      <w:r>
        <w:rPr>
          <w:rFonts w:ascii="Arial" w:cs="Arial" w:eastAsia="Arial" w:hAnsi="Arial"/>
          <w:sz w:val="17"/>
          <w:szCs w:val="17"/>
          <w:color w:val="auto"/>
        </w:rPr>
        <w:t xml:space="preserve"> The Members have made, on or prior to the date hereof, Capital Contributions and, in exchange, the Company has issued to the Members the number of Class A Units, as specified in the books and records of the Company.</w:t>
      </w:r>
    </w:p>
    <w:p>
      <w:pPr>
        <w:spacing w:after="0" w:line="14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color w:val="auto"/>
        </w:rPr>
        <w:t>No Additional Capital Contributions.</w:t>
      </w:r>
      <w:r>
        <w:rPr>
          <w:rFonts w:ascii="Arial" w:cs="Arial" w:eastAsia="Arial" w:hAnsi="Arial"/>
          <w:sz w:val="18"/>
          <w:szCs w:val="18"/>
          <w:color w:val="auto"/>
        </w:rPr>
        <w:t xml:space="preserve"> No Member shall be required to make additional Capital Contributions to the Company without the consent of such Member or permitted to make additional capital contributions to the Company without the consent of the Managing Member, which may be granted or withheld in its sole discretion.</w:t>
      </w:r>
    </w:p>
    <w:p>
      <w:pPr>
        <w:spacing w:after="0" w:line="176"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b w:val="1"/>
          <w:bCs w:val="1"/>
          <w:color w:val="auto"/>
        </w:rPr>
        <w:t>Capital Accounts.</w:t>
      </w:r>
      <w:r>
        <w:rPr>
          <w:rFonts w:ascii="Arial" w:cs="Arial" w:eastAsia="Arial" w:hAnsi="Arial"/>
          <w:sz w:val="16"/>
          <w:szCs w:val="16"/>
          <w:color w:val="auto"/>
        </w:rPr>
        <w:t xml:space="preserve"> A separate capital account (a “</w:t>
      </w:r>
      <w:r>
        <w:rPr>
          <w:rFonts w:ascii="Arial" w:cs="Arial" w:eastAsia="Arial" w:hAnsi="Arial"/>
          <w:sz w:val="16"/>
          <w:szCs w:val="16"/>
          <w:b w:val="1"/>
          <w:bCs w:val="1"/>
          <w:i w:val="1"/>
          <w:iCs w:val="1"/>
          <w:color w:val="auto"/>
        </w:rPr>
        <w:t>Capital Account</w:t>
      </w:r>
      <w:r>
        <w:rPr>
          <w:rFonts w:ascii="Arial" w:cs="Arial" w:eastAsia="Arial" w:hAnsi="Arial"/>
          <w:sz w:val="16"/>
          <w:szCs w:val="16"/>
          <w:color w:val="auto"/>
        </w:rPr>
        <w:t xml:space="preserve">”) shall be established and maintained for each Member in accordance with the provisions of Treasury Regulations Section 1.704-1(b)(2)(iv) and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The Company may adjust the Capital Accounts of its Members to reflect revaluations of the property of any Subsidiary of the Company that is treated as a partnership (or entity disregarded from a partnership) for U.S. federal income tax purposes. The Capital Account of each Member shall be credited with such Member’s Capital Contributions, if any, all Profits allocated to such Member pursuant to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and any items of income or gain which are specially allocated pursuant to</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and shall be debited with all Losses allocated to such Member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any items of loss or deduction of the Company specially allocated to such Member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and all cash and the Carrying Value of any property (net of liabilities assumed by such Member and the liabilities to which such property is subject) distributed by the Company to such Member. Any references in any section of this Agreement to the Capital Account of a Member shall be deemed to refer to such Capital Account as the same may be credited or debited from time to 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b w:val="1"/>
          <w:bCs w:val="1"/>
          <w:color w:val="auto"/>
        </w:rPr>
        <w:t>Allocations of Profits and Losses.</w:t>
      </w:r>
      <w:r>
        <w:rPr>
          <w:rFonts w:ascii="Arial" w:cs="Arial" w:eastAsia="Arial" w:hAnsi="Arial"/>
          <w:sz w:val="17"/>
          <w:szCs w:val="17"/>
          <w:color w:val="auto"/>
        </w:rPr>
        <w:t xml:space="preserve"> Except as otherwise provided in this Agreement, Profits and Losses (and, to the extent necessary, individual items of income, gain or loss or deduction of the Company) shall be allocated in a manner such that the Capital Account of each Member after giving effect to the special allocations set forth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as nearly as possible, equal (proportionately) to (i) the distributions that would be made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if the Company were dissolved, its affairs wound up and its assets sold for cash equal to their Carrying Value, all Company liabilities were satisfied in cash in accordance with their terms (limited with respect to each nonrecourse liability to the Carrying Value of the assets securing such liability) and all remaining or resulting cash was distributed to the Members in accordance with </w:t>
      </w:r>
      <w:r>
        <w:rPr>
          <w:rFonts w:ascii="Arial" w:cs="Arial" w:eastAsia="Arial" w:hAnsi="Arial"/>
          <w:sz w:val="17"/>
          <w:szCs w:val="17"/>
          <w:u w:val="single" w:color="auto"/>
          <w:color w:val="auto"/>
        </w:rPr>
        <w:t>Section 9.03</w:t>
      </w:r>
      <w:r>
        <w:rPr>
          <w:rFonts w:ascii="Arial" w:cs="Arial" w:eastAsia="Arial" w:hAnsi="Arial"/>
          <w:sz w:val="17"/>
          <w:szCs w:val="17"/>
          <w:color w:val="auto"/>
        </w:rPr>
        <w:t>, minus (ii) such Member’s share of Company Minimum Gain and Member Nonrecourse Debt Minimum Gain, computed immediately prior to the hypothetical sale of assets. Notwithstanding the foregoing, the Managing Member shall make such adjustments to Capital Accounts as it determines in its reasonable discretion to be appropriate to ensure allocations are made in accordance with a Member’s interest in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226" w:name="page227"/>
    <w:bookmarkEnd w:id="2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5.05 </w:t>
      </w:r>
      <w:r>
        <w:rPr>
          <w:rFonts w:ascii="Arial" w:cs="Arial" w:eastAsia="Arial" w:hAnsi="Arial"/>
          <w:sz w:val="18"/>
          <w:szCs w:val="18"/>
          <w:b w:val="1"/>
          <w:bCs w:val="1"/>
          <w:color w:val="auto"/>
        </w:rPr>
        <w:t>Special Allocations.</w:t>
      </w:r>
      <w:r>
        <w:rPr>
          <w:rFonts w:ascii="Arial" w:cs="Arial" w:eastAsia="Arial" w:hAnsi="Arial"/>
          <w:sz w:val="18"/>
          <w:szCs w:val="18"/>
          <w:color w:val="auto"/>
        </w:rPr>
        <w:t xml:space="preserve"> Notwithstanding any other provision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92" w:lineRule="auto"/>
        <w:tabs>
          <w:tab w:leader="none" w:pos="1240" w:val="left"/>
        </w:tabs>
        <w:numPr>
          <w:ilvl w:val="1"/>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Minimum Gain Chargeback. </w:t>
      </w:r>
      <w:r>
        <w:rPr>
          <w:rFonts w:ascii="Arial" w:cs="Arial" w:eastAsia="Arial" w:hAnsi="Arial"/>
          <w:sz w:val="16"/>
          <w:szCs w:val="16"/>
          <w:color w:val="auto"/>
        </w:rPr>
        <w:t>If there is a net decrease in Company Minimum Gain or Member Nonrecourse Debt Minimum Gain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 1.704-2(i) (4). The items to be so allocated shall be determined in accordance with Treasury Regulations Sections 1.704-2(i)(4) and 1.704-2(j)(2). This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53" w:lineRule="exact"/>
        <w:rPr>
          <w:rFonts w:ascii="Arial" w:cs="Arial" w:eastAsia="Arial" w:hAnsi="Arial"/>
          <w:sz w:val="16"/>
          <w:szCs w:val="16"/>
          <w:color w:val="auto"/>
        </w:rPr>
      </w:pPr>
    </w:p>
    <w:p>
      <w:pPr>
        <w:ind w:left="4" w:right="20" w:firstLine="987"/>
        <w:spacing w:after="0" w:line="255" w:lineRule="auto"/>
        <w:tabs>
          <w:tab w:leader="none" w:pos="1250" w:val="left"/>
        </w:tabs>
        <w:numPr>
          <w:ilvl w:val="1"/>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Qualified Income Offset. </w:t>
      </w:r>
      <w:r>
        <w:rPr>
          <w:rFonts w:ascii="Arial" w:cs="Arial" w:eastAsia="Arial" w:hAnsi="Arial"/>
          <w:sz w:val="18"/>
          <w:szCs w:val="18"/>
          <w:color w:val="auto"/>
        </w:rPr>
        <w:t>If any Member unexpectedly receives any adjustments, allocations, or distributions described in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provided that an allocation pursuant to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shall be made only to the extent that a Member would have a deficit Adjusted Capital Account Balance in excess of such sum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were not in this Agreement.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is intended to comply with the “qualified income offset” requirement of the Code and shall be interpreted consistently therewith.</w:t>
      </w:r>
    </w:p>
    <w:p>
      <w:pPr>
        <w:spacing w:after="0" w:line="80" w:lineRule="exact"/>
        <w:rPr>
          <w:rFonts w:ascii="Arial" w:cs="Arial" w:eastAsia="Arial" w:hAnsi="Arial"/>
          <w:sz w:val="18"/>
          <w:szCs w:val="18"/>
          <w:color w:val="auto"/>
        </w:rPr>
      </w:pPr>
    </w:p>
    <w:p>
      <w:pPr>
        <w:ind w:left="1244" w:hanging="253"/>
        <w:spacing w:after="0"/>
        <w:tabs>
          <w:tab w:leader="none" w:pos="1244" w:val="left"/>
        </w:tabs>
        <w:numPr>
          <w:ilvl w:val="1"/>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Gross Income Allocation. </w:t>
      </w:r>
      <w:r>
        <w:rPr>
          <w:rFonts w:ascii="Arial" w:cs="Arial" w:eastAsia="Arial" w:hAnsi="Arial"/>
          <w:sz w:val="16"/>
          <w:szCs w:val="16"/>
          <w:color w:val="auto"/>
        </w:rPr>
        <w:t>If any Member has a deficit Capital Account at the end of any Fiscal Year which is in excess of the sum of</w:t>
      </w:r>
    </w:p>
    <w:p>
      <w:pPr>
        <w:spacing w:after="0" w:line="50" w:lineRule="exact"/>
        <w:rPr>
          <w:rFonts w:ascii="Arial" w:cs="Arial" w:eastAsia="Arial" w:hAnsi="Arial"/>
          <w:sz w:val="16"/>
          <w:szCs w:val="16"/>
          <w:color w:val="auto"/>
        </w:rPr>
      </w:pPr>
    </w:p>
    <w:p>
      <w:pPr>
        <w:ind w:left="4" w:right="140" w:hanging="4"/>
        <w:spacing w:after="0" w:line="292" w:lineRule="auto"/>
        <w:tabs>
          <w:tab w:leader="none" w:pos="21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provided that an allocation pursuant to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shall be made only if and to the extent that a Member would have a deficit Capital Account in excess of such sum after all other allocations provided for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have been tentatively made as if </w:t>
      </w:r>
      <w:r>
        <w:rPr>
          <w:rFonts w:ascii="Arial" w:cs="Arial" w:eastAsia="Arial" w:hAnsi="Arial"/>
          <w:sz w:val="16"/>
          <w:szCs w:val="16"/>
          <w:u w:val="single" w:color="auto"/>
          <w:color w:val="auto"/>
        </w:rPr>
        <w:t>Section 5.05(b)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were not in this Agreement.</w:t>
      </w:r>
    </w:p>
    <w:p>
      <w:pPr>
        <w:spacing w:after="0" w:line="50" w:lineRule="exact"/>
        <w:rPr>
          <w:rFonts w:ascii="Arial" w:cs="Arial" w:eastAsia="Arial" w:hAnsi="Arial"/>
          <w:sz w:val="16"/>
          <w:szCs w:val="16"/>
          <w:color w:val="auto"/>
        </w:rPr>
      </w:pPr>
    </w:p>
    <w:p>
      <w:pPr>
        <w:ind w:left="4" w:right="380" w:firstLine="987"/>
        <w:spacing w:after="0" w:line="282" w:lineRule="auto"/>
        <w:tabs>
          <w:tab w:leader="none" w:pos="1250"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Nonrecourse Deductions shall be allocated to the Members holding Class A Units and Class B Units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their respective Class A/B Percentage Interest.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227" w:name="page228"/>
    <w:bookmarkEnd w:id="227"/>
    <w:p>
      <w:pPr>
        <w:ind w:right="80" w:firstLine="987"/>
        <w:spacing w:after="0" w:line="266" w:lineRule="auto"/>
        <w:tabs>
          <w:tab w:leader="none" w:pos="1236"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Member Nonrecourse Deductions. </w:t>
      </w:r>
      <w:r>
        <w:rPr>
          <w:rFonts w:ascii="Arial" w:cs="Arial" w:eastAsia="Arial" w:hAnsi="Arial"/>
          <w:sz w:val="18"/>
          <w:szCs w:val="18"/>
          <w:color w:val="auto"/>
        </w:rPr>
        <w:t>Member Nonrecourse Deductions for any taxable period shall be allocated to the Member who</w:t>
      </w:r>
      <w:r>
        <w:rPr>
          <w:rFonts w:ascii="Arial" w:cs="Arial" w:eastAsia="Arial" w:hAnsi="Arial"/>
          <w:sz w:val="18"/>
          <w:szCs w:val="18"/>
          <w:b w:val="1"/>
          <w:bCs w:val="1"/>
          <w:color w:val="auto"/>
        </w:rPr>
        <w:t xml:space="preserve"> </w:t>
      </w:r>
      <w:r>
        <w:rPr>
          <w:rFonts w:ascii="Arial" w:cs="Arial" w:eastAsia="Arial" w:hAnsi="Arial"/>
          <w:sz w:val="18"/>
          <w:szCs w:val="18"/>
          <w:color w:val="auto"/>
        </w:rPr>
        <w:t>bears the economic risk of loss with respect to the liability to which such Member Nonrecourse Deductions are attributable in accordance with Treasury Regulations Section 1.704-2(i)(1).</w:t>
      </w:r>
    </w:p>
    <w:p>
      <w:pPr>
        <w:spacing w:after="0" w:line="67" w:lineRule="exact"/>
        <w:rPr>
          <w:rFonts w:ascii="Arial" w:cs="Arial" w:eastAsia="Arial" w:hAnsi="Arial"/>
          <w:sz w:val="18"/>
          <w:szCs w:val="18"/>
          <w:color w:val="auto"/>
        </w:rPr>
      </w:pPr>
    </w:p>
    <w:p>
      <w:pPr>
        <w:ind w:right="60" w:firstLine="987"/>
        <w:spacing w:after="0" w:line="273" w:lineRule="auto"/>
        <w:tabs>
          <w:tab w:leader="none" w:pos="121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Section 754 Adjustments. </w:t>
      </w:r>
      <w:r>
        <w:rPr>
          <w:rFonts w:ascii="Arial" w:cs="Arial" w:eastAsia="Arial" w:hAnsi="Arial"/>
          <w:sz w:val="17"/>
          <w:szCs w:val="17"/>
          <w:color w:val="auto"/>
        </w:rPr>
        <w:t>To the extent an adjustment to the adjusted tax basis of any Company asset, pursuant to Section 734(b)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743(b) of the Code is required, pursuant to Treasury Regulations Section 1.704- 1(b)(2)(iv)(m)(2)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 Section 1.704-1(b)(2)(iv)(m)(4) applies.</w:t>
      </w:r>
    </w:p>
    <w:p>
      <w:pPr>
        <w:spacing w:after="0" w:line="63" w:lineRule="exact"/>
        <w:rPr>
          <w:rFonts w:ascii="Arial" w:cs="Arial" w:eastAsia="Arial" w:hAnsi="Arial"/>
          <w:sz w:val="17"/>
          <w:szCs w:val="17"/>
          <w:color w:val="auto"/>
        </w:rPr>
      </w:pPr>
    </w:p>
    <w:p>
      <w:pPr>
        <w:jc w:val="both"/>
        <w:ind w:right="180" w:firstLine="987"/>
        <w:spacing w:after="0" w:line="261" w:lineRule="auto"/>
        <w:tabs>
          <w:tab w:leader="none" w:pos="1246"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Ameliorative Allocations. </w:t>
      </w:r>
      <w:r>
        <w:rPr>
          <w:rFonts w:ascii="Arial" w:cs="Arial" w:eastAsia="Arial" w:hAnsi="Arial"/>
          <w:sz w:val="18"/>
          <w:szCs w:val="18"/>
          <w:color w:val="auto"/>
        </w:rPr>
        <w:t>Any special allocations of income or gain pursuant to Sections 5.05a), (b) or (c) hereof shall be taken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 in computing subsequent allocations pursuant to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5.05(g)</w:t>
      </w:r>
      <w:r>
        <w:rPr>
          <w:rFonts w:ascii="Arial" w:cs="Arial" w:eastAsia="Arial" w:hAnsi="Arial"/>
          <w:sz w:val="18"/>
          <w:szCs w:val="18"/>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Arial" w:cs="Arial" w:eastAsia="Arial" w:hAnsi="Arial"/>
          <w:sz w:val="18"/>
          <w:szCs w:val="18"/>
          <w:u w:val="single" w:color="auto"/>
          <w:color w:val="auto"/>
        </w:rPr>
        <w:t>Sections 5.05(a), (b) or (c)</w:t>
      </w:r>
      <w:r>
        <w:rPr>
          <w:rFonts w:ascii="Arial" w:cs="Arial" w:eastAsia="Arial" w:hAnsi="Arial"/>
          <w:sz w:val="18"/>
          <w:szCs w:val="18"/>
          <w:color w:val="auto"/>
        </w:rPr>
        <w:t xml:space="preserve"> had not occurred.</w:t>
      </w:r>
    </w:p>
    <w:p>
      <w:pPr>
        <w:spacing w:after="0" w:line="71" w:lineRule="exact"/>
        <w:rPr>
          <w:rFonts w:ascii="Arial" w:cs="Arial" w:eastAsia="Arial" w:hAnsi="Arial"/>
          <w:sz w:val="18"/>
          <w:szCs w:val="18"/>
          <w:color w:val="auto"/>
        </w:rPr>
      </w:pPr>
    </w:p>
    <w:p>
      <w:pPr>
        <w:ind w:right="320" w:firstLine="987"/>
        <w:spacing w:after="0" w:line="281" w:lineRule="auto"/>
        <w:tabs>
          <w:tab w:leader="none" w:pos="124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Allocations Relating to Taxable Issuance of Company Units. </w:t>
      </w:r>
      <w:r>
        <w:rPr>
          <w:rFonts w:ascii="Arial" w:cs="Arial" w:eastAsia="Arial" w:hAnsi="Arial"/>
          <w:sz w:val="17"/>
          <w:szCs w:val="17"/>
          <w:color w:val="auto"/>
        </w:rPr>
        <w:t>Any income, gain, loss, or deduction realized as a direct or indirect</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the issuance of Units by the Company to a Member (the “</w:t>
      </w:r>
      <w:r>
        <w:rPr>
          <w:rFonts w:ascii="Arial" w:cs="Arial" w:eastAsia="Arial" w:hAnsi="Arial"/>
          <w:sz w:val="17"/>
          <w:szCs w:val="17"/>
          <w:b w:val="1"/>
          <w:bCs w:val="1"/>
          <w:i w:val="1"/>
          <w:iCs w:val="1"/>
          <w:color w:val="auto"/>
        </w:rPr>
        <w:t>Issuance Items</w:t>
      </w:r>
      <w:r>
        <w:rPr>
          <w:rFonts w:ascii="Arial" w:cs="Arial" w:eastAsia="Arial" w:hAnsi="Arial"/>
          <w:sz w:val="17"/>
          <w:szCs w:val="17"/>
          <w:color w:val="auto"/>
        </w:rPr>
        <w:t>”) shall be allocated among the Members so that, to the extent possible, the net amount of such Issuance Items, together with all other allocations under this Agreement to each Member shall be equal to the net amount that would have been allocated to each such Member if the Issuance Items had not been realized.</w:t>
      </w:r>
    </w:p>
    <w:p>
      <w:pPr>
        <w:spacing w:after="0" w:line="56" w:lineRule="exact"/>
        <w:rPr>
          <w:rFonts w:ascii="Arial" w:cs="Arial" w:eastAsia="Arial" w:hAnsi="Arial"/>
          <w:sz w:val="17"/>
          <w:szCs w:val="17"/>
          <w:color w:val="auto"/>
        </w:rPr>
      </w:pPr>
    </w:p>
    <w:p>
      <w:pPr>
        <w:ind w:firstLine="987"/>
        <w:spacing w:after="0" w:line="269" w:lineRule="auto"/>
        <w:tabs>
          <w:tab w:leader="none" w:pos="120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Allocations Relating to Earnout Units. </w:t>
      </w:r>
      <w:r>
        <w:rPr>
          <w:rFonts w:ascii="Arial" w:cs="Arial" w:eastAsia="Arial" w:hAnsi="Arial"/>
          <w:sz w:val="17"/>
          <w:szCs w:val="17"/>
          <w:color w:val="auto"/>
        </w:rPr>
        <w:t>Notwithstanding anything to the contrary contained in this Agreement, (1) no allocation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Profits or Losses or otherwise) shall be made in respect of any Earnout Units in determining Capital Accounts unless and until such Earnout Units undergo a Conversion into Class B Units and (2) in the event the Carrying Value of any Company asset is adjusted pursuant to clause (f) of the definition of Carrying Value, any Profits or Losses resulting from such adjustment shall, in accordance with principles similar to those set forth in Treasury Regulations Section 1.704-1(b)(2)(iv)(s) or in any other manner reasonably determined by the Managing Member, be allocated among the Members (including the Members who held the Earnout Units giving rise to such adjustment) such that the Capital Account balance relating to each Class B Unit (including any Earnout Units that have undergone a Conversion into Class B Units) is equal in amount (or as close to equal in amount as possible) immediately after making such allocation; provided, that if the foregoing allocations pursuant to clause (2) are insufficient to cause the Capital Account balance relating to each Class B Unit to be so equal in amount, then the Managing Member, in its reasonable discretion, shall cause a Capital Account reallocation in accordance with principles similar to those set forth in Treasury Regulations Section 1.704-1(b)(2)(iv)(s)(3) to cause the Capital Account balance relating to each Class B Unit to be so equal in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228" w:name="page229"/>
    <w:bookmarkEnd w:id="228"/>
    <w:p>
      <w:pPr>
        <w:ind w:left="4" w:right="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5.06 </w:t>
      </w:r>
      <w:r>
        <w:rPr>
          <w:rFonts w:ascii="Arial" w:cs="Arial" w:eastAsia="Arial" w:hAnsi="Arial"/>
          <w:sz w:val="16"/>
          <w:szCs w:val="16"/>
          <w:b w:val="1"/>
          <w:bCs w:val="1"/>
          <w:color w:val="auto"/>
        </w:rPr>
        <w:t>Tax Allocations.</w:t>
      </w:r>
      <w:r>
        <w:rPr>
          <w:rFonts w:ascii="Arial" w:cs="Arial" w:eastAsia="Arial" w:hAnsi="Arial"/>
          <w:sz w:val="16"/>
          <w:szCs w:val="16"/>
          <w:color w:val="auto"/>
        </w:rPr>
        <w:t xml:space="preserve"> For income tax purposes, each item of income, gain, loss and deduction of the Company shall be allocated among the Members in the same manner as the corresponding items of Profits and Losses and specially allocated items are allocated for Capital Account purposes;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asset the Carrying Value of which differs from its adjusted tax basis for U.S. federal income tax purposes, income, gain,</w:t>
      </w:r>
      <w:r>
        <w:rPr>
          <w:rFonts w:ascii="Arial" w:cs="Arial" w:eastAsia="Arial" w:hAnsi="Arial"/>
          <w:sz w:val="16"/>
          <w:szCs w:val="16"/>
          <w:i w:val="1"/>
          <w:iCs w:val="1"/>
          <w:color w:val="auto"/>
        </w:rPr>
        <w:t xml:space="preserve"> </w:t>
      </w:r>
      <w:r>
        <w:rPr>
          <w:rFonts w:ascii="Arial" w:cs="Arial" w:eastAsia="Arial" w:hAnsi="Arial"/>
          <w:sz w:val="16"/>
          <w:szCs w:val="16"/>
          <w:color w:val="auto"/>
        </w:rPr>
        <w:t>loss and deduction with respect to such asset shall be allocated solely for income tax purposes in accordance with the principles of Sections 704(b) and</w:t>
      </w:r>
    </w:p>
    <w:p>
      <w:pPr>
        <w:spacing w:after="0" w:line="2" w:lineRule="exact"/>
        <w:rPr>
          <w:sz w:val="20"/>
          <w:szCs w:val="20"/>
          <w:color w:val="auto"/>
        </w:rPr>
      </w:pPr>
    </w:p>
    <w:p>
      <w:pPr>
        <w:ind w:left="4" w:right="120" w:hanging="4"/>
        <w:spacing w:after="0" w:line="268" w:lineRule="auto"/>
        <w:tabs>
          <w:tab w:leader="none" w:pos="24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of the Code (in any manner determined by the Managing Member and permitted by the Code and Treasury Regulations, provided that the prior written consent of Original Member Representative (and its successors or assigns) shall be required for use of any method other than the traditional method (without curative allocations) described in Treasury Regulations Section 1.704-3(b)) so as to take account of the difference between Carrying Value and adjusted basis of such asset. Notwithstanding the foregoing, the Managing Member shall make such allocations for tax purposes as it determines in its reasonable discretion to be appropriate to ensure allocations are made in accordance with a Member’s interest in the Company. If, as a result of an exercise of a noncompensatory option to acquire an interest in the Company, a Capital Account reallocation is required under Treasury Regulations Section 1.704-1(b)(2)(iv)(s)(3), the Company shall make corrective allocations pursuant to Treasury Regulations Section 1.704-1(b)(4)(x). If, pursuant to Section 5.05(i), the Managing Member causes a Capital Account reallocation in accordance with principles similar to those set forth in Treasury Regulations Section 1.704-1(b)(2)(iv)(s)(3), the Managing Member shall make corrective allocations in accordance with principles similar to those set forth in Treasury Regulations Section 1.704-1(b)(4)(x).</w:t>
      </w:r>
    </w:p>
    <w:p>
      <w:pPr>
        <w:spacing w:after="0" w:line="17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b w:val="1"/>
          <w:bCs w:val="1"/>
          <w:color w:val="auto"/>
        </w:rPr>
        <w:t>Tax Advances.</w:t>
      </w:r>
      <w:r>
        <w:rPr>
          <w:rFonts w:ascii="Arial" w:cs="Arial" w:eastAsia="Arial" w:hAnsi="Arial"/>
          <w:sz w:val="16"/>
          <w:szCs w:val="16"/>
          <w:color w:val="auto"/>
        </w:rPr>
        <w:t xml:space="preserve"> If the Company or any other Person in which the Company holds an interest is required 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Revised Partnership Audit Provisions, the amount of any taxes imposed under Section 1446(f) of the Code, and any interest, penalties, additions to tax, and expenses related to any such amounts) (“</w:t>
      </w:r>
      <w:r>
        <w:rPr>
          <w:rFonts w:ascii="Arial" w:cs="Arial" w:eastAsia="Arial" w:hAnsi="Arial"/>
          <w:sz w:val="16"/>
          <w:szCs w:val="16"/>
          <w:b w:val="1"/>
          <w:bCs w:val="1"/>
          <w:i w:val="1"/>
          <w:iCs w:val="1"/>
          <w:color w:val="auto"/>
        </w:rPr>
        <w:t>Tax Advances</w:t>
      </w:r>
      <w:r>
        <w:rPr>
          <w:rFonts w:ascii="Arial" w:cs="Arial" w:eastAsia="Arial" w:hAnsi="Arial"/>
          <w:sz w:val="16"/>
          <w:szCs w:val="16"/>
          <w:color w:val="auto"/>
        </w:rPr>
        <w:t>”), the Managing Member may cause the Company to withhold such amounts and cause the Company to make such tax payments as so required. All Tax Advances made on behalf of a Member shall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For all purposes of this Agreement such Member shall be treated as having received the amount of the distribution that is equal to the Tax Advance. Each Member hereby agrees to indemnify and hold harmless the Company and the other Members from and against any liability (including, without limitation, any liability for taxes, penalties, additions to tax or interest other than any penalties, additions to tax or interest imposed as a result of the Company’s failure to withhold or make a tax payment on behalf of such Member which withholding or payment is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229" w:name="page230"/>
    <w:bookmarkEnd w:id="22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pursuant to applicable Law) with respect to income attributable to or distributions or other payments to such Member.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w:t>
      </w:r>
      <w:r>
        <w:rPr>
          <w:rFonts w:ascii="Arial" w:cs="Arial" w:eastAsia="Arial" w:hAnsi="Arial"/>
          <w:sz w:val="16"/>
          <w:szCs w:val="16"/>
          <w:u w:val="single" w:color="auto"/>
          <w:color w:val="auto"/>
        </w:rPr>
        <w:t>Section 5.08</w:t>
      </w:r>
      <w:r>
        <w:rPr>
          <w:rFonts w:ascii="Arial" w:cs="Arial" w:eastAsia="Arial" w:hAnsi="Arial"/>
          <w:sz w:val="16"/>
          <w:szCs w:val="16"/>
          <w:color w:val="auto"/>
        </w:rPr>
        <w:t>), in each case as reasonably determined by the Managing Member. For the avoidance of doubt, any taxes, penalties, and interest payable under the Revised Partnership Audit Provisions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Managing Member.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color w:val="auto"/>
        </w:rPr>
        <w:t>Partnership Representative.</w:t>
      </w:r>
    </w:p>
    <w:p>
      <w:pPr>
        <w:spacing w:after="0" w:line="121" w:lineRule="exact"/>
        <w:rPr>
          <w:sz w:val="20"/>
          <w:szCs w:val="20"/>
          <w:color w:val="auto"/>
        </w:rPr>
      </w:pPr>
    </w:p>
    <w:p>
      <w:pPr>
        <w:ind w:firstLine="987"/>
        <w:spacing w:after="0" w:line="269" w:lineRule="auto"/>
        <w:tabs>
          <w:tab w:leader="none" w:pos="12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the Revised Partnership Audit Provisions for taxable years of the Company beginning after December 31, 2017 and ending on or prior to December 31, 2021. The Managing Member is hereby designated as the “partnership representative” as that term is defined in Revised Partnership Audit Provisions for taxable years of the Company beginning on or after January 1, 2022. In addition, the Managing Member is hereby authorized to designate or remove any other Person selected by the Managing Member as the Partnership Representative. For each Fiscal Year in which the Partnership Representative is an entity, the Company shall appoint an individual identified by the Partnership Representative for such Fiscal Year to act on its behalf (the “</w:t>
      </w:r>
      <w:r>
        <w:rPr>
          <w:rFonts w:ascii="Arial" w:cs="Arial" w:eastAsia="Arial" w:hAnsi="Arial"/>
          <w:sz w:val="17"/>
          <w:szCs w:val="17"/>
          <w:b w:val="1"/>
          <w:bCs w:val="1"/>
          <w:i w:val="1"/>
          <w:iCs w:val="1"/>
          <w:color w:val="auto"/>
        </w:rPr>
        <w:t>Designated Individual</w:t>
      </w:r>
      <w:r>
        <w:rPr>
          <w:rFonts w:ascii="Arial" w:cs="Arial" w:eastAsia="Arial" w:hAnsi="Arial"/>
          <w:sz w:val="17"/>
          <w:szCs w:val="17"/>
          <w:color w:val="auto"/>
        </w:rPr>
        <w:t>”) in accordance with the applicable Treasury Regulations or analogous provisions of state or local Law. Each Member hereby expressly consents to such designations and agrees to take, and that each of the Company and the Managing Member is authorized to take (or cause the Company to take), such other actions as may be necessary or advisable pursuant to Treasury Regulations or other Internal Revenue Service or Treasury guidance or state or local Law to cause such designations or evidence such Member’s consent to such designations.</w:t>
      </w:r>
    </w:p>
    <w:p>
      <w:pPr>
        <w:spacing w:after="0" w:line="70" w:lineRule="exact"/>
        <w:rPr>
          <w:rFonts w:ascii="Arial" w:cs="Arial" w:eastAsia="Arial" w:hAnsi="Arial"/>
          <w:sz w:val="17"/>
          <w:szCs w:val="17"/>
          <w:color w:val="auto"/>
        </w:rPr>
      </w:pPr>
    </w:p>
    <w:p>
      <w:pPr>
        <w:ind w:right="40" w:firstLine="987"/>
        <w:spacing w:after="0" w:line="255" w:lineRule="auto"/>
        <w:tabs>
          <w:tab w:leader="none" w:pos="12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5.08</w:t>
      </w:r>
      <w:r>
        <w:rPr>
          <w:rFonts w:ascii="Arial" w:cs="Arial" w:eastAsia="Arial" w:hAnsi="Arial"/>
          <w:sz w:val="18"/>
          <w:szCs w:val="18"/>
          <w:color w:val="auto"/>
        </w:rPr>
        <w:t>, the Partnership Representative shall have the sole authority to act on behalf of the Company in connection with, make all relevant decisions regarding application of, and to exercise the rights and powers provided for in the Revised Partnership Audit Provisions, including making any elections under the Revised Partnership Audit Provisions or any decisions to settle, compromise, challenge, litigate or otherwise alter the defense of any action, audit or examination before the IRS or any other income tax authority (each, an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and to expend Company funds for professional services and other expenses reasonably incurred in connection therewith. Notwithstanding the foregoing or anything to the contrary in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30" w:name="page231"/>
    <w:bookmarkEnd w:id="230"/>
    <w:p>
      <w:pPr>
        <w:ind w:left="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with respect to any “imputed underpayment” arising in connection with any Audit relating to any taxable year for which the Original Member Representative is the Partnership Representative, at the election of the Managing Member (in its reasonable discretion), the Original Member Representative shall be required to make (or cause to be made) an election under Section 6226(a) of the Code (or any analogous provision of state or local Law).</w:t>
      </w:r>
    </w:p>
    <w:p>
      <w:pPr>
        <w:spacing w:after="0" w:line="79" w:lineRule="exact"/>
        <w:rPr>
          <w:sz w:val="20"/>
          <w:szCs w:val="20"/>
          <w:color w:val="auto"/>
        </w:rPr>
      </w:pPr>
    </w:p>
    <w:p>
      <w:pPr>
        <w:ind w:left="4" w:right="60" w:firstLine="987"/>
        <w:spacing w:after="0" w:line="287" w:lineRule="auto"/>
        <w:tabs>
          <w:tab w:leader="none" w:pos="12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Without limiting the foregoing, the Partnership Representative shall give prompt written notice to the Original Member Representative of the commencement of any Audit of the Company or any of its Subsidiaries the resolution of which would reasonably be expected to have a disproportionate (compared to the Managing Member) and material adverse effect on the Original Members. The Partnership Representative shall</w:t>
      </w:r>
    </w:p>
    <w:p>
      <w:pPr>
        <w:spacing w:after="0" w:line="2" w:lineRule="exact"/>
        <w:rPr>
          <w:rFonts w:ascii="Arial" w:cs="Arial" w:eastAsia="Arial" w:hAnsi="Arial"/>
          <w:sz w:val="16"/>
          <w:szCs w:val="16"/>
          <w:color w:val="auto"/>
        </w:rPr>
      </w:pPr>
    </w:p>
    <w:p>
      <w:pPr>
        <w:ind w:left="4" w:hanging="4"/>
        <w:spacing w:after="0" w:line="283" w:lineRule="auto"/>
        <w:tabs>
          <w:tab w:leader="none" w:pos="21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keep the Original Member Representative reasonably informed of the material developments and status of any such Audit for taxable years beginning on or after January 1, 2022 (a “</w:t>
      </w:r>
      <w:r>
        <w:rPr>
          <w:rFonts w:ascii="Arial" w:cs="Arial" w:eastAsia="Arial" w:hAnsi="Arial"/>
          <w:sz w:val="16"/>
          <w:szCs w:val="16"/>
          <w:b w:val="1"/>
          <w:bCs w:val="1"/>
          <w:i w:val="1"/>
          <w:iCs w:val="1"/>
          <w:color w:val="auto"/>
        </w:rPr>
        <w:t>Specified Audit</w:t>
      </w:r>
      <w:r>
        <w:rPr>
          <w:rFonts w:ascii="Arial" w:cs="Arial" w:eastAsia="Arial" w:hAnsi="Arial"/>
          <w:sz w:val="16"/>
          <w:szCs w:val="16"/>
          <w:color w:val="auto"/>
        </w:rPr>
        <w:t>”), and (ii) permit the Original Member Representative (or its designee) to participate (including using separate counsel), in each case at the Original Members’ sole cost and expense, in any such Specified Audit to the maximum extent permitted by the applicable tax authority, and (iii) promptly notify the Original Member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without limiting the final sentence of this Section 5.08(c), the Partnership Representative shall not (and the Company shall not (and shall not authorize the Partnership Representative to)) settle, compromise or abandon any Specified Audit in a manner that would reasonably be expected to have a disproportionate (compared to the Managing Member) and material adverse effect on the Original Members without the Original Member Representative’s prior written consent (which consent shall not be unreasonably withheld, delayed or conditioned). Without limiting the final sentence of this Section 5.08(c), the Partnership Representative shall obtain the prior written consent of the Original Member Representative (which consent shall not be unreasonably withheld, delayed or conditioned) before taking any material action under the Revised Partnership Audit Provisions that would reasonably be expected to have a disproportionate (compared to the Managing Member) and material adverse effect on the Original Members. Notwithstanding the foregoing, (i) each of the obligations of the Partnership Representative and the Company, and rights of the Original Member Representative and Original Members, under this Section 5.08(c) shall terminate and have no further force or effect from and after the date that the Original Members no longer own 20% of the combined Class A Units and Class B Units, and (ii) with respect to any “imputed underpayment” arising in connection with any Audit, at the election of the Managing Member (in its reasonable discretion), the Partnership Representative shall be required to make (or cause to be made) an election under Section 6226(a) of the Code (or any analogous provision of state or local Law).</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231" w:name="page232"/>
    <w:bookmarkEnd w:id="231"/>
    <w:p>
      <w:pPr>
        <w:ind w:firstLine="987"/>
        <w:spacing w:after="0" w:line="269" w:lineRule="auto"/>
        <w:tabs>
          <w:tab w:leader="none" w:pos="1246"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expenses incurred by the Partnership Representative or Designated Individual in connection with its duties as partnership representative or designated individual, as applicable, shall be expenses of the Company (including, for the avoidance of doubt, any costs and expenses incurred in connection with any claims asserted against the Partnership Representative or Designated Individual, as applicable), and the Company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Company, any Member or any Affiliate thereof for any costs or losses to any Persons, any diminution in value or any liability whatsoever arising as a result of the performance of its duties pursuant to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absent (i) willful breach of any provision of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or (ii) bad faith, fraud, or willful misconduct on the part of the Partnership Representative or Designated Individual, as applicable.</w:t>
      </w:r>
    </w:p>
    <w:p>
      <w:pPr>
        <w:spacing w:after="0" w:line="181"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b w:val="1"/>
          <w:bCs w:val="1"/>
          <w:color w:val="auto"/>
        </w:rPr>
        <w:t>Other Allocation Provisions.</w:t>
      </w:r>
      <w:r>
        <w:rPr>
          <w:rFonts w:ascii="Arial" w:cs="Arial" w:eastAsia="Arial" w:hAnsi="Arial"/>
          <w:sz w:val="16"/>
          <w:szCs w:val="16"/>
          <w:color w:val="auto"/>
        </w:rPr>
        <w:t xml:space="preserve"> Certain of the foregoing provisions and the other provisions of this Agreement relating to the maintenance of Capital Accounts are intended to comply with Treasury Regulations Section 1.704-1(b) and shall be interpreted and applied in a manner consistent with such regulations. In addition to amendments effected in accordance with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or otherwise in accordance with this Agreement, Sections 5.03 and 5.04 may also, so long as any such amendment does not materially change the relative economic interests of the Members, be amended at any time by the Managing Member if necessary, in the opinion of tax counsel to the Company, to comply with such regulations or any applicable Law.</w:t>
      </w:r>
    </w:p>
    <w:p>
      <w:pPr>
        <w:spacing w:after="0" w:line="15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shall be interpreted to apply to Members and former Members and shall survive the Transfer of a Member’s Units and the termination, dissolution, liquidation and winding up of the Company and, for this purpose to the extent not prohibited by applicable Law, the Company shall be treated as continuing in existence.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 REPORTS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color w:val="auto"/>
        </w:rPr>
        <w:t>Books and Records</w:t>
      </w:r>
    </w:p>
    <w:p>
      <w:pPr>
        <w:spacing w:after="0" w:line="121" w:lineRule="exact"/>
        <w:rPr>
          <w:sz w:val="20"/>
          <w:szCs w:val="20"/>
          <w:color w:val="auto"/>
        </w:rPr>
      </w:pPr>
    </w:p>
    <w:p>
      <w:pPr>
        <w:ind w:right="620" w:firstLine="987"/>
        <w:spacing w:after="0" w:line="277" w:lineRule="auto"/>
        <w:tabs>
          <w:tab w:leader="none" w:pos="12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all times during the continuance of the Company, the Company shall prepare and maintain separate books of account for the Company in accordance with GAAP.</w:t>
      </w:r>
    </w:p>
    <w:p>
      <w:pPr>
        <w:spacing w:after="0" w:line="62" w:lineRule="exact"/>
        <w:rPr>
          <w:rFonts w:ascii="Arial" w:cs="Arial" w:eastAsia="Arial" w:hAnsi="Arial"/>
          <w:sz w:val="18"/>
          <w:szCs w:val="18"/>
          <w:color w:val="auto"/>
        </w:rPr>
      </w:pPr>
    </w:p>
    <w:p>
      <w:pPr>
        <w:ind w:right="220" w:firstLine="987"/>
        <w:spacing w:after="0" w:line="342" w:lineRule="auto"/>
        <w:tabs>
          <w:tab w:leader="none" w:pos="124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Except as limited by </w:t>
      </w:r>
      <w:r>
        <w:rPr>
          <w:rFonts w:ascii="Arial" w:cs="Arial" w:eastAsia="Arial" w:hAnsi="Arial"/>
          <w:sz w:val="16"/>
          <w:szCs w:val="16"/>
          <w:u w:val="single" w:color="auto"/>
          <w:color w:val="auto"/>
        </w:rPr>
        <w:t>Section 6.01c)</w:t>
      </w:r>
      <w:r>
        <w:rPr>
          <w:rFonts w:ascii="Arial" w:cs="Arial" w:eastAsia="Arial" w:hAnsi="Arial"/>
          <w:sz w:val="16"/>
          <w:szCs w:val="16"/>
          <w:color w:val="auto"/>
        </w:rPr>
        <w:t>, each Member shall have the right to receive, for a purpose reasonably related to such Member’s interest as a Member in the Company, upon reasonable written demand stating the purpose of such demand and at such Member’s own expense:</w:t>
      </w:r>
    </w:p>
    <w:p>
      <w:pPr>
        <w:spacing w:after="0" w:line="15" w:lineRule="exact"/>
        <w:rPr>
          <w:rFonts w:ascii="Arial" w:cs="Arial" w:eastAsia="Arial" w:hAnsi="Arial"/>
          <w:sz w:val="16"/>
          <w:szCs w:val="16"/>
          <w:color w:val="auto"/>
        </w:rPr>
      </w:pPr>
    </w:p>
    <w:p>
      <w:pPr>
        <w:ind w:left="440" w:right="540" w:firstLine="948"/>
        <w:spacing w:after="0" w:line="308" w:lineRule="auto"/>
        <w:tabs>
          <w:tab w:leader="none" w:pos="1607"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 copy of the Certificate and this Agreement and all amendments thereto, together with a copy of the executed copies of all powers of attorney pursuant to which the Certificate and this Agreement and all amendments thereto have been executed;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32" w:name="page233"/>
    <w:bookmarkEnd w:id="232"/>
    <w:p>
      <w:pPr>
        <w:ind w:left="1664" w:hanging="272"/>
        <w:spacing w:after="0"/>
        <w:tabs>
          <w:tab w:leader="none" w:pos="16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the Company’s U.S. federal income tax returns for the three most recent years.</w:t>
      </w:r>
    </w:p>
    <w:p>
      <w:pPr>
        <w:spacing w:after="0" w:line="117" w:lineRule="exact"/>
        <w:rPr>
          <w:rFonts w:ascii="Arial" w:cs="Arial" w:eastAsia="Arial" w:hAnsi="Arial"/>
          <w:sz w:val="18"/>
          <w:szCs w:val="18"/>
          <w:color w:val="auto"/>
        </w:rPr>
      </w:pPr>
    </w:p>
    <w:p>
      <w:pPr>
        <w:ind w:left="4" w:right="20" w:firstLine="987"/>
        <w:spacing w:after="0" w:line="272" w:lineRule="auto"/>
        <w:tabs>
          <w:tab w:leader="none" w:pos="12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69" w:lineRule="exact"/>
        <w:rPr>
          <w:rFonts w:ascii="Arial" w:cs="Arial" w:eastAsia="Arial" w:hAnsi="Arial"/>
          <w:sz w:val="17"/>
          <w:szCs w:val="17"/>
          <w:color w:val="auto"/>
        </w:rPr>
      </w:pPr>
    </w:p>
    <w:p>
      <w:pPr>
        <w:ind w:left="4" w:firstLine="987"/>
        <w:spacing w:after="0" w:line="269" w:lineRule="auto"/>
        <w:tabs>
          <w:tab w:leader="none" w:pos="125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The Managing Member shall cause to be prepared and filed all necessary federal and state income tax returns for the Company, including making any tax elections. The Company, within 90 days of the close of the Fiscal Year, shall use commercially reasonable efforts to furnish to each Member that was a Member during such Fiscal Year a Schedule K-1 and such other tax information reasonably required for federal, state and local income tax reporting purposes. The Company shall use commercially reasonable efforts to provide to each Person that was a Member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February 15th of such Fiscal Year, with an estimate of the taxable income, gains, deductions, losses and other items of such Person to be reflected on the Schedule K-1 of such Person for the prior Fiscal Year. The Company also shall provide the Members with such other information as may be reasonably requested for purposes of allowing the Members to prepare and file their own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costs or expenses with respect to the foregoing shall be borne by the requesting Member.</w:t>
      </w:r>
    </w:p>
    <w:p>
      <w:pPr>
        <w:spacing w:after="0" w:line="77" w:lineRule="exact"/>
        <w:rPr>
          <w:rFonts w:ascii="Arial" w:cs="Arial" w:eastAsia="Arial" w:hAnsi="Arial"/>
          <w:sz w:val="17"/>
          <w:szCs w:val="17"/>
          <w:color w:val="auto"/>
        </w:rPr>
      </w:pPr>
    </w:p>
    <w:p>
      <w:pPr>
        <w:ind w:left="1244" w:hanging="253"/>
        <w:spacing w:after="0"/>
        <w:tabs>
          <w:tab w:leader="none" w:pos="124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Company shall make the following elections on the appropriate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election described in clause</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below cannot be rescinded without the prior written consent of the Original Member Representative):</w:t>
      </w:r>
    </w:p>
    <w:p>
      <w:pPr>
        <w:spacing w:after="0" w:line="102" w:lineRule="exact"/>
        <w:rPr>
          <w:rFonts w:ascii="Arial" w:cs="Arial" w:eastAsia="Arial" w:hAnsi="Arial"/>
          <w:sz w:val="18"/>
          <w:szCs w:val="18"/>
          <w:color w:val="auto"/>
        </w:rPr>
      </w:pPr>
    </w:p>
    <w:p>
      <w:pPr>
        <w:ind w:left="1604" w:hanging="212"/>
        <w:spacing w:after="0"/>
        <w:tabs>
          <w:tab w:leader="none" w:pos="160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to adopt an appropriate federal income tax method of accounting and to keep the Company’s books and records on such</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income-tax method;</w:t>
      </w:r>
    </w:p>
    <w:p>
      <w:pPr>
        <w:spacing w:after="0" w:line="103" w:lineRule="exact"/>
        <w:rPr>
          <w:sz w:val="20"/>
          <w:szCs w:val="20"/>
          <w:color w:val="auto"/>
        </w:rPr>
      </w:pPr>
    </w:p>
    <w:p>
      <w:pPr>
        <w:ind w:left="444" w:right="80" w:firstLine="948"/>
        <w:spacing w:after="0" w:line="279" w:lineRule="auto"/>
        <w:tabs>
          <w:tab w:leader="none" w:pos="166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to have in effect (and, to the extent within the control of the Managing Member, to cause each direct or indirect subsidiary that is treated as a partnership for U.S. federal income tax purposes to have in effect) an election, pursuant to Section 754 of the Code (and any similar election for state or local tax purposes), to adjust the tax basis of Company properties, for the taxable year of the Company that includes the Effective Date and each subsequent taxable year in which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occurs; and</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33" w:name="page234"/>
    <w:bookmarkEnd w:id="233"/>
    <w:p>
      <w:pPr>
        <w:ind w:left="440" w:right="100" w:firstLine="948"/>
        <w:spacing w:after="0" w:line="296" w:lineRule="auto"/>
        <w:tabs>
          <w:tab w:leader="none" w:pos="1707" w:val="left"/>
        </w:tabs>
        <w:numPr>
          <w:ilvl w:val="0"/>
          <w:numId w:val="2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available election that the Managing Member reasonably deems appropriate; provided that, for so long as the Original Members collectively own at least 20% of the combined Class A Units and Class B Units, the Managing Member shall consult in good faith with the Original Member Representative with respect to any material tax election with respect to the Company that could reasonably be expected to have a disproportionate (as compared to the Managing Member) and adverse effect on the Original Members, and not make such election without the Original Member Representative’s prior written consent (which consent shall not be unreasonably withheld, delayed or conditioned).</w:t>
      </w:r>
    </w:p>
    <w:p>
      <w:pPr>
        <w:spacing w:after="0" w:line="16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Member may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UNITS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b w:val="1"/>
          <w:bCs w:val="1"/>
          <w:color w:val="auto"/>
        </w:rPr>
        <w:t>Units.</w:t>
      </w:r>
    </w:p>
    <w:p>
      <w:pPr>
        <w:spacing w:after="0" w:line="121" w:lineRule="exact"/>
        <w:rPr>
          <w:sz w:val="20"/>
          <w:szCs w:val="20"/>
          <w:color w:val="auto"/>
        </w:rPr>
      </w:pPr>
    </w:p>
    <w:p>
      <w:pPr>
        <w:ind w:right="300" w:firstLine="987"/>
        <w:spacing w:after="0" w:line="277" w:lineRule="auto"/>
        <w:tabs>
          <w:tab w:leader="none" w:pos="12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Limited liability company interests in the Company shall be represented by Units. At the execution of this Agreement, the Units are comprised of four Classes:</w:t>
      </w:r>
    </w:p>
    <w:p>
      <w:pPr>
        <w:spacing w:after="0" w:line="62" w:lineRule="exact"/>
        <w:rPr>
          <w:rFonts w:ascii="Arial" w:cs="Arial" w:eastAsia="Arial" w:hAnsi="Arial"/>
          <w:sz w:val="18"/>
          <w:szCs w:val="18"/>
          <w:color w:val="auto"/>
        </w:rPr>
      </w:pPr>
    </w:p>
    <w:p>
      <w:pPr>
        <w:ind w:left="440" w:right="220" w:firstLine="948"/>
        <w:spacing w:after="0" w:line="342" w:lineRule="auto"/>
        <w:tabs>
          <w:tab w:leader="none" w:pos="1607" w:val="left"/>
        </w:tabs>
        <w:numPr>
          <w:ilvl w:val="1"/>
          <w:numId w:val="236"/>
        </w:numPr>
        <w:rPr>
          <w:rFonts w:ascii="Arial" w:cs="Arial" w:eastAsia="Arial" w:hAnsi="Arial"/>
          <w:sz w:val="16"/>
          <w:szCs w:val="16"/>
          <w:color w:val="auto"/>
        </w:rPr>
      </w:pPr>
      <w:r>
        <w:rPr>
          <w:rFonts w:ascii="Arial" w:cs="Arial" w:eastAsia="Arial" w:hAnsi="Arial"/>
          <w:sz w:val="16"/>
          <w:szCs w:val="16"/>
          <w:b w:val="1"/>
          <w:bCs w:val="1"/>
          <w:i w:val="1"/>
          <w:iCs w:val="1"/>
          <w:color w:val="auto"/>
        </w:rPr>
        <w:t>“Class A Units”</w:t>
      </w:r>
      <w:r>
        <w:rPr>
          <w:rFonts w:ascii="Arial" w:cs="Arial" w:eastAsia="Arial" w:hAnsi="Arial"/>
          <w:sz w:val="16"/>
          <w:szCs w:val="16"/>
          <w:color w:val="auto"/>
        </w:rPr>
        <w:t>. Immediately after giving effect to the transactions contemplated by the Business Combination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Managing Member holds the number of Class A Units set forth opposite the Managing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hereto.</w:t>
      </w:r>
    </w:p>
    <w:p>
      <w:pPr>
        <w:spacing w:after="0" w:line="15" w:lineRule="exact"/>
        <w:rPr>
          <w:rFonts w:ascii="Arial" w:cs="Arial" w:eastAsia="Arial" w:hAnsi="Arial"/>
          <w:sz w:val="16"/>
          <w:szCs w:val="16"/>
          <w:color w:val="auto"/>
        </w:rPr>
      </w:pPr>
    </w:p>
    <w:p>
      <w:pPr>
        <w:ind w:left="440" w:right="60" w:firstLine="948"/>
        <w:spacing w:after="0" w:line="270" w:lineRule="auto"/>
        <w:tabs>
          <w:tab w:leader="none" w:pos="1657" w:val="left"/>
        </w:tabs>
        <w:numPr>
          <w:ilvl w:val="1"/>
          <w:numId w:val="236"/>
        </w:numPr>
        <w:rPr>
          <w:rFonts w:ascii="Arial" w:cs="Arial" w:eastAsia="Arial" w:hAnsi="Arial"/>
          <w:sz w:val="17"/>
          <w:szCs w:val="17"/>
          <w:color w:val="auto"/>
        </w:rPr>
      </w:pPr>
      <w:r>
        <w:rPr>
          <w:rFonts w:ascii="Arial" w:cs="Arial" w:eastAsia="Arial" w:hAnsi="Arial"/>
          <w:sz w:val="17"/>
          <w:szCs w:val="17"/>
          <w:b w:val="1"/>
          <w:bCs w:val="1"/>
          <w:i w:val="1"/>
          <w:iCs w:val="1"/>
          <w:color w:val="auto"/>
        </w:rPr>
        <w:t>“Class B Units”</w:t>
      </w:r>
      <w:r>
        <w:rPr>
          <w:rFonts w:ascii="Arial" w:cs="Arial" w:eastAsia="Arial" w:hAnsi="Arial"/>
          <w:sz w:val="17"/>
          <w:szCs w:val="17"/>
          <w:color w:val="auto"/>
        </w:rPr>
        <w:t>. Immediately after giving effect to the transactions contemplated by the Business Combination Agreement,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 holds the number of Class B Units set forth opposite such Member’s name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Class B Units shall have all the rights, privileges, preferences, and obligations as are specifically provided for in this Agreement for Class B Units, and as may otherwise be generally applicable to all classes of Units, unless such application is specifically limited to one or more other classes of Units. Notwithstanding anything to the contrary contained herein, the Class B Units shall not be entitled to vote on any matter subject to a vote of the Members, except as otherwise expressly set forth herein or required by law. Certain Class B Units may be subject to vesting as set forth in this Agreement or any other written agreement related to such Class B Units, including the Existing Agreement. By entering into this Agreement, any holder of Class B Units issued pursuant to the Business Combination Agreement hereby approves, ratifies and confirms the Business Combination Agreement and the transactions contemplated thereby, including, without limitation, the Business Combination.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34" w:name="page235"/>
    <w:bookmarkEnd w:id="234"/>
    <w:p>
      <w:pPr>
        <w:ind w:left="444" w:right="120" w:firstLine="948"/>
        <w:spacing w:after="0" w:line="281" w:lineRule="auto"/>
        <w:tabs>
          <w:tab w:leader="none" w:pos="1711" w:val="left"/>
        </w:tabs>
        <w:numPr>
          <w:ilvl w:val="1"/>
          <w:numId w:val="2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A Preferred Units”</w:t>
      </w:r>
      <w:r>
        <w:rPr>
          <w:rFonts w:ascii="Arial" w:cs="Arial" w:eastAsia="Arial" w:hAnsi="Arial"/>
          <w:sz w:val="17"/>
          <w:szCs w:val="17"/>
          <w:color w:val="auto"/>
        </w:rPr>
        <w:t>. There are no outstanding Units of such Class as of the date of this Agreement. The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56" w:lineRule="exact"/>
        <w:rPr>
          <w:rFonts w:ascii="Arial" w:cs="Arial" w:eastAsia="Arial" w:hAnsi="Arial"/>
          <w:sz w:val="17"/>
          <w:szCs w:val="17"/>
          <w:color w:val="auto"/>
        </w:rPr>
      </w:pPr>
    </w:p>
    <w:p>
      <w:pPr>
        <w:ind w:left="444" w:right="200" w:firstLine="948"/>
        <w:spacing w:after="0" w:line="258" w:lineRule="auto"/>
        <w:tabs>
          <w:tab w:leader="none" w:pos="1700" w:val="left"/>
        </w:tabs>
        <w:numPr>
          <w:ilvl w:val="1"/>
          <w:numId w:val="237"/>
        </w:numPr>
        <w:rPr>
          <w:rFonts w:ascii="Arial" w:cs="Arial" w:eastAsia="Arial" w:hAnsi="Arial"/>
          <w:sz w:val="18"/>
          <w:szCs w:val="18"/>
          <w:color w:val="auto"/>
        </w:rPr>
      </w:pPr>
      <w:r>
        <w:rPr>
          <w:rFonts w:ascii="Arial" w:cs="Arial" w:eastAsia="Arial" w:hAnsi="Arial"/>
          <w:sz w:val="18"/>
          <w:szCs w:val="18"/>
          <w:b w:val="1"/>
          <w:bCs w:val="1"/>
          <w:color w:val="auto"/>
        </w:rPr>
        <w:t>“Series A-1 Preferred Units”</w:t>
      </w:r>
      <w:r>
        <w:rPr>
          <w:rFonts w:ascii="Arial" w:cs="Arial" w:eastAsia="Arial" w:hAnsi="Arial"/>
          <w:sz w:val="18"/>
          <w:szCs w:val="18"/>
          <w:color w:val="auto"/>
        </w:rPr>
        <w:t>. As of the date of this Agreement each Member holds the number of Series A-1 Preferred Units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 forth opposite such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The Series A-1 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187"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7.03</w:t>
      </w:r>
      <w:r>
        <w:rPr>
          <w:rFonts w:ascii="Arial" w:cs="Arial" w:eastAsia="Arial" w:hAnsi="Arial"/>
          <w:sz w:val="16"/>
          <w:szCs w:val="16"/>
          <w:color w:val="auto"/>
        </w:rPr>
        <w:t>, the Managing Member in its sole discretion may establish and cause the Company to issue, from time to time in accordance with such procedures as the Managing Member shall determine from time to time, additional Units, in one or more Classes, or other Company securities, at such price, and with such designations, preferences and relative, participating, optional or other special rights, powers and duties (which may be senior to existing Units, Classes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w:t>
      </w:r>
    </w:p>
    <w:p>
      <w:pPr>
        <w:spacing w:after="0" w:line="2" w:lineRule="exact"/>
        <w:rPr>
          <w:rFonts w:ascii="Arial" w:cs="Arial" w:eastAsia="Arial" w:hAnsi="Arial"/>
          <w:sz w:val="16"/>
          <w:szCs w:val="16"/>
          <w:color w:val="auto"/>
        </w:rPr>
      </w:pPr>
    </w:p>
    <w:p>
      <w:pPr>
        <w:ind w:left="4" w:hanging="4"/>
        <w:spacing w:after="0" w:line="285" w:lineRule="auto"/>
        <w:tabs>
          <w:tab w:leader="none" w:pos="25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percentage interest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subject to the terms of each Certificate of Designations, the Managing Member in its sole discretion, without the approval of any Member or any other Person, is authorized (i) to cause the Company to issue Units or other Company securities of any newly established Class or any existing Class to Members or other Persons who may acquire an interest in the Company; (ii) to amend this Agreement (including by way of a certificate of designations which is appended and annexed to this Agreement (each a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235" w:name="page236"/>
    <w:bookmarkEnd w:id="23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issuance by the Company to the Managing Member of additional Units and to update the books and records of the Company accordingly. All Units of a particular Class shall have identical rights in all respects as all other Units of such Class, except in each case as otherwise specified in this Agreement. In the event that the Managing Member validly establishes any Class of Units in accordance with this Agreement (including compliance with the terms of each Certificate of Designations) by way of a Certificate of Designations, then, in the event of any conflict between this Agreement and such Certificate of Designations with respect to the rights of such Class of Units, such Certificate of Designations shall control; provided that the terms of any Class of Units created pursuant to such Certificate of Designations or this Section 7.01 shall not conflict with the rights previously granted to any Class of Units previously authorized by way of a Certificate of Designations, except, in the case of any Class for which no Units are then outstanding, without the approval of a majority of the outstanding Units of such Class of Units. Notwithstanding anything to the contrary in this Agreement, the Managing Member shall not cause or permit the Company to issue, or authorize the issuance of, any Units unless the Managing Member has a sufficient number of Class A Common Stock authorized, available and reserved for issuance upon an exchange of such newly issued Units for Class A Common Stock pursuant to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78"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The books and records of the Company shall be the definitive record of ownership of each Unit and all relevant information with respect to each Member. Unless the Managing Member in its sole discretion shall determine otherwise, Units shall be uncertificated and recorded in the books and records of the Company.</w:t>
      </w:r>
    </w:p>
    <w:p>
      <w:pPr>
        <w:spacing w:after="0" w:line="176"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b w:val="1"/>
          <w:bCs w:val="1"/>
          <w:color w:val="auto"/>
        </w:rPr>
        <w:t>Registered Members.</w:t>
      </w:r>
      <w:r>
        <w:rPr>
          <w:rFonts w:ascii="Arial" w:cs="Arial" w:eastAsia="Arial" w:hAnsi="Arial"/>
          <w:sz w:val="17"/>
          <w:szCs w:val="17"/>
          <w:color w:val="auto"/>
        </w:rPr>
        <w:t xml:space="preserve">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b w:val="1"/>
          <w:bCs w:val="1"/>
          <w:color w:val="auto"/>
        </w:rPr>
        <w:t>Issuances, Repurchases and Redemptions, Recapitalizations</w:t>
      </w:r>
      <w:r>
        <w:rPr>
          <w:rFonts w:ascii="Arial" w:cs="Arial" w:eastAsia="Arial" w:hAnsi="Arial"/>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Issuances by the Managing Member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89" w:lineRule="auto"/>
        <w:tabs>
          <w:tab w:leader="none" w:pos="160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7.03(a)(ii)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if, at any time after the date of consummation of the Business Combination Agreement, the Managing Member sells or issues shares of Class A Common Stock, Class C Common Stock or any other Equity Interests of the Managing Member (other than Class B Common Stock or Class D Common Stock), (x) the Company shall concurrently issue to the Managing Member an equal number of Class A Units (if the Managing Member issues Class A Common Stock or Class C Common Stock), or an equal number of such other Equity Interests of the Company corresponding to the Equity Interests issued by the Managing Member (if the Managing Member issues Equity Interests other than Class A Common Stock or Class C Common Stock), and with substantially the same rights to dividends and distributions (including distributions upon liquidation) and other economic rights as those of such Equity Interests of the Managing Member so issued and (y) the Managing Member shall concurrently contribute to the Company, the net proceeds or other property received by the Managing Member, if any, for such Class A Common Stock, Class C Common Stock or other Equity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36" w:name="page237"/>
    <w:bookmarkEnd w:id="236"/>
    <w:p>
      <w:pPr>
        <w:ind w:left="440" w:firstLine="948"/>
        <w:spacing w:after="0" w:line="284" w:lineRule="auto"/>
        <w:tabs>
          <w:tab w:leader="none" w:pos="1657" w:val="left"/>
        </w:tabs>
        <w:numPr>
          <w:ilvl w:val="2"/>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w:t>
      </w:r>
      <w:r>
        <w:rPr>
          <w:rFonts w:ascii="Arial" w:cs="Arial" w:eastAsia="Arial" w:hAnsi="Arial"/>
          <w:sz w:val="16"/>
          <w:szCs w:val="16"/>
          <w:u w:val="single" w:color="auto"/>
          <w:color w:val="auto"/>
        </w:rPr>
        <w:t>Section 7.03(a)(i)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7.03(a)(iii)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not apply to (x) the issuance and distribution to holders of shares of Class A Common Stock or other Equity Interests of the Managing Member of rights to purchase Equity Interests of the Managing Member under a “poison pill” or similar shareholder rights plan (and upon exchange of Class B Units for shares of Class A Common Stock, such shares of Class A Common Stock will be issued together with a corresponding right under such plan) or (y) the issuance under the Managing Member’s employee benefit plans of any warrants, options, stock appreciation right, restricted stock, restricted stock units, performance based award or other rights to acquire Equity Interests of the Managing Member, but shall in each of the foregoing cases apply to the issuance of Equity Interests of the Managing Member in connection with the exercise or settlement of such warrants, options, stock appreciation right, restricted stock units, performance based awards or the vesting of restricted stock (including as set forth in clause</w:t>
      </w:r>
    </w:p>
    <w:p>
      <w:pPr>
        <w:ind w:left="760" w:hanging="324"/>
        <w:spacing w:after="0"/>
        <w:tabs>
          <w:tab w:leader="none" w:pos="7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below, as applicable).</w:t>
      </w:r>
    </w:p>
    <w:p>
      <w:pPr>
        <w:spacing w:after="0" w:line="102" w:lineRule="exact"/>
        <w:rPr>
          <w:rFonts w:ascii="Arial" w:cs="Arial" w:eastAsia="Arial" w:hAnsi="Arial"/>
          <w:sz w:val="18"/>
          <w:szCs w:val="18"/>
          <w:color w:val="auto"/>
        </w:rPr>
      </w:pPr>
    </w:p>
    <w:p>
      <w:pPr>
        <w:ind w:left="440" w:firstLine="948"/>
        <w:spacing w:after="0" w:line="273" w:lineRule="auto"/>
        <w:tabs>
          <w:tab w:leader="none" w:pos="1707" w:val="left"/>
        </w:tabs>
        <w:numPr>
          <w:ilvl w:val="2"/>
          <w:numId w:val="242"/>
        </w:numPr>
        <w:rPr>
          <w:rFonts w:ascii="Arial" w:cs="Arial" w:eastAsia="Arial" w:hAnsi="Arial"/>
          <w:sz w:val="17"/>
          <w:szCs w:val="17"/>
          <w:color w:val="auto"/>
        </w:rPr>
      </w:pPr>
      <w:r>
        <w:rPr>
          <w:rFonts w:ascii="Arial" w:cs="Arial" w:eastAsia="Arial" w:hAnsi="Arial"/>
          <w:sz w:val="17"/>
          <w:szCs w:val="17"/>
          <w:color w:val="auto"/>
        </w:rPr>
        <w:t xml:space="preserve">In the event any outstanding Equity Interest of the Managing Member is exercised or otherwise converted and, as a result, any shares of Class A Common Stock, Class C Common Stock or other Equity Interests of the Managing Member are issued (including as a result of the exercise of warrants of the Managing Member), (x) the corresponding Equity Interest outstanding at the Company, if any, shall be similarly exercised or otherwise converted, if applicable, (y) an equivalent number of Class A Units or equivalent Equity Interests of the Company shall be issued to the Managing Member as required by the first sentence of </w:t>
      </w:r>
      <w:r>
        <w:rPr>
          <w:rFonts w:ascii="Arial" w:cs="Arial" w:eastAsia="Arial" w:hAnsi="Arial"/>
          <w:sz w:val="17"/>
          <w:szCs w:val="17"/>
          <w:u w:val="single" w:color="auto"/>
          <w:color w:val="auto"/>
        </w:rPr>
        <w:t>Section 7.03(a)(i)</w:t>
      </w:r>
      <w:r>
        <w:rPr>
          <w:rFonts w:ascii="Arial" w:cs="Arial" w:eastAsia="Arial" w:hAnsi="Arial"/>
          <w:sz w:val="17"/>
          <w:szCs w:val="17"/>
          <w:color w:val="auto"/>
        </w:rPr>
        <w:t>, and (z) the Managing Member shall concurrently contribute to the Company the net proceeds received by the Managing Member from any such exercise or conversion.</w:t>
      </w:r>
    </w:p>
    <w:p>
      <w:pPr>
        <w:spacing w:after="0" w:line="69" w:lineRule="exact"/>
        <w:rPr>
          <w:rFonts w:ascii="Arial" w:cs="Arial" w:eastAsia="Arial" w:hAnsi="Arial"/>
          <w:sz w:val="17"/>
          <w:szCs w:val="17"/>
          <w:color w:val="auto"/>
        </w:rPr>
      </w:pPr>
    </w:p>
    <w:p>
      <w:pPr>
        <w:ind w:right="40" w:firstLine="987"/>
        <w:spacing w:after="0" w:line="289" w:lineRule="auto"/>
        <w:tabs>
          <w:tab w:leader="none" w:pos="1246"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New Company Equity Interests</w:t>
      </w:r>
      <w:r>
        <w:rPr>
          <w:rFonts w:ascii="Arial" w:cs="Arial" w:eastAsia="Arial" w:hAnsi="Arial"/>
          <w:sz w:val="16"/>
          <w:szCs w:val="16"/>
          <w:color w:val="auto"/>
        </w:rPr>
        <w:t xml:space="preserve">. Except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 the Company may not issue any additional Class A Units or Equity Interests of the Company to the Managing Member or any of its Subsidiaries (other than the Company and its Subsidiaries) unless substantially simultaneously therewith the Managing Member or such Subsidiary issues or transfers an equal number of newly-issued shares of Class A Common Stock or Class C Common Stock of the Managing Member (or relevant Equity Interest of such Subsidiary) to another Person or Persons and contributes the net proceeds therefrom to the Company, and (y) the Company may not issue any other Equity Interests of the Company to the Managing Member or any of its Subsidiaries (other than the Company and its Subsidiaries) unless substantially simultaneously therewith the Managing Member or such Subsidiary issues or transfers, to another Person, an equal number of newly-issued shares of Equity Interests of the Managing Member or such Subsidiary with substantially the same rights to dividends and distributions (including distributions upon liquidation) and other economic rights as those of such Equity Interests of the Company and contributes the net proceeds therefrom to the Company.</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Repurchases and Redemptions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37" w:name="page238"/>
    <w:bookmarkEnd w:id="237"/>
    <w:p>
      <w:pPr>
        <w:ind w:right="40" w:firstLine="948"/>
        <w:spacing w:after="0" w:line="269" w:lineRule="auto"/>
        <w:tabs>
          <w:tab w:leader="none" w:pos="1167" w:val="left"/>
        </w:tabs>
        <w:numPr>
          <w:ilvl w:val="1"/>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Managing Member nor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Class A Units for the same price per security, if any, or (B) any other Equity Interests of the Managing Member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the corresponding class or series of Equity Interests of the Company with the same rights to dividends and distributions (including distributions upon liquidation) and other economic rights as those of such Equity Interests of the Managing Member or such Subsidiary for the same price per security, if any.</w:t>
      </w:r>
    </w:p>
    <w:p>
      <w:pPr>
        <w:spacing w:after="0" w:line="77" w:lineRule="exact"/>
        <w:rPr>
          <w:rFonts w:ascii="Arial" w:cs="Arial" w:eastAsia="Arial" w:hAnsi="Arial"/>
          <w:sz w:val="17"/>
          <w:szCs w:val="17"/>
          <w:color w:val="auto"/>
        </w:rPr>
      </w:pPr>
    </w:p>
    <w:p>
      <w:pPr>
        <w:ind w:firstLine="948"/>
        <w:spacing w:after="0" w:line="269" w:lineRule="auto"/>
        <w:tabs>
          <w:tab w:leader="none" w:pos="121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The Company may not redeem, repurchase or otherwise acquire (x) any Class A Units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an equal number of shares of Class A Common Stock or Class C Common Stock for the same price per security from holders thereof or (y) any other Equity Interests of the Company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for the same price per security an equal number of Equity Interests of the Managing Member (or such Subsidiary) of a corresponding class or series with substantially the same rights to dividends and distributions (including distributions upon liquidation) and other economic rights as those of such Equity Interests of the Managing Member or such Subsidiary.</w:t>
      </w:r>
    </w:p>
    <w:p>
      <w:pPr>
        <w:spacing w:after="0" w:line="77" w:lineRule="exact"/>
        <w:rPr>
          <w:rFonts w:ascii="Arial" w:cs="Arial" w:eastAsia="Arial" w:hAnsi="Arial"/>
          <w:sz w:val="17"/>
          <w:szCs w:val="17"/>
          <w:color w:val="auto"/>
        </w:rPr>
      </w:pPr>
    </w:p>
    <w:p>
      <w:pPr>
        <w:ind w:left="800" w:hanging="253"/>
        <w:spacing w:after="0"/>
        <w:tabs>
          <w:tab w:leader="none" w:pos="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Earnout Units.</w:t>
      </w:r>
    </w:p>
    <w:p>
      <w:pPr>
        <w:spacing w:after="0" w:line="117" w:lineRule="exact"/>
        <w:rPr>
          <w:rFonts w:ascii="Arial" w:cs="Arial" w:eastAsia="Arial" w:hAnsi="Arial"/>
          <w:sz w:val="18"/>
          <w:szCs w:val="18"/>
          <w:color w:val="auto"/>
        </w:rPr>
      </w:pPr>
    </w:p>
    <w:p>
      <w:pPr>
        <w:ind w:left="540" w:right="80" w:firstLine="910"/>
        <w:spacing w:after="0" w:line="259" w:lineRule="auto"/>
        <w:tabs>
          <w:tab w:leader="none" w:pos="1657"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In the event that the Company is obligated to issue any Class B Units pursuant to Section 2.7 of the Business Combination Agreement, the Company shall promptly issue such Class B Units to the Earnout Participants (as such term is defined in the Business Combination Agreement) in accordance with the terms of the Business Combination Agreement. Section 2.7 of the Business Combination Agreement is incorporated and treated as part of this Agreement.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0"/>
          </w:cols>
          <w:pgMar w:left="880" w:top="274" w:right="439" w:bottom="1440" w:gutter="0" w:footer="0" w:header="0"/>
        </w:sectPr>
      </w:pPr>
    </w:p>
    <w:bookmarkStart w:id="238" w:name="page239"/>
    <w:bookmarkEnd w:id="238"/>
    <w:p>
      <w:pPr>
        <w:ind w:left="984" w:firstLine="910"/>
        <w:spacing w:after="0" w:line="288" w:lineRule="auto"/>
        <w:tabs>
          <w:tab w:leader="none" w:pos="2151" w:val="left"/>
        </w:tabs>
        <w:numPr>
          <w:ilvl w:val="3"/>
          <w:numId w:val="2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the Parties intend that, solely for U.S. federal (and applicable state and local) income tax purposes, (a) any such Class B Units to be issued to an Earnout Participant pursuant to Section 2.7 of the Business Combination Agreement shall be treated as having been issued in the form of an “Earnout Unit” (each, an “</w:t>
      </w:r>
      <w:r>
        <w:rPr>
          <w:rFonts w:ascii="Arial" w:cs="Arial" w:eastAsia="Arial" w:hAnsi="Arial"/>
          <w:sz w:val="16"/>
          <w:szCs w:val="16"/>
          <w:b w:val="1"/>
          <w:bCs w:val="1"/>
          <w:color w:val="auto"/>
        </w:rPr>
        <w:t>Earnout Unit</w:t>
      </w:r>
      <w:r>
        <w:rPr>
          <w:rFonts w:ascii="Arial" w:cs="Arial" w:eastAsia="Arial" w:hAnsi="Arial"/>
          <w:sz w:val="16"/>
          <w:szCs w:val="16"/>
          <w:color w:val="auto"/>
        </w:rPr>
        <w:t>”) at Closing, not received in connection with the performance of services, and shall be treated as having been converted into a Class B Unit at the time of such actual issuance of a Class B Unit pursuant to Section 2.7 of the Business Combination Agreement (any such deemed conversion, a “</w:t>
      </w:r>
      <w:r>
        <w:rPr>
          <w:rFonts w:ascii="Arial" w:cs="Arial" w:eastAsia="Arial" w:hAnsi="Arial"/>
          <w:sz w:val="16"/>
          <w:szCs w:val="16"/>
          <w:b w:val="1"/>
          <w:bCs w:val="1"/>
          <w:color w:val="auto"/>
        </w:rPr>
        <w:t>Conversion</w:t>
      </w:r>
      <w:r>
        <w:rPr>
          <w:rFonts w:ascii="Arial" w:cs="Arial" w:eastAsia="Arial" w:hAnsi="Arial"/>
          <w:sz w:val="16"/>
          <w:szCs w:val="16"/>
          <w:color w:val="auto"/>
        </w:rPr>
        <w:t>”), and (b) no such Earnout Participant shall be treated as having taxable income or gain as a result of such deemed issuance of such Earnout Units at Closing or as a result of the Conversion thereof (if any) (other than as a result of corrective allocations made pursuant to Section 5.05(i)). The Company shall prepare and file all tax returns consistent therewith unless otherwise required by a final “determination” within the meaning of Section 1313 of the Code. For the avoidance of doubt, subject to the definition of “Carrying Value”, Section 5.05(i) and this Section 7.03(d), an Earnout Unit shall not be treated as an outstanding “Unit” for purposes of this Agreement.</w:t>
      </w:r>
    </w:p>
    <w:p>
      <w:pPr>
        <w:spacing w:after="0" w:line="60" w:lineRule="exact"/>
        <w:rPr>
          <w:rFonts w:ascii="Arial" w:cs="Arial" w:eastAsia="Arial" w:hAnsi="Arial"/>
          <w:sz w:val="16"/>
          <w:szCs w:val="16"/>
          <w:color w:val="auto"/>
        </w:rPr>
      </w:pPr>
    </w:p>
    <w:p>
      <w:pPr>
        <w:ind w:left="1244" w:hanging="253"/>
        <w:spacing w:after="0"/>
        <w:tabs>
          <w:tab w:leader="none" w:pos="124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Equity Subdivisions and Combinations.</w:t>
      </w:r>
    </w:p>
    <w:p>
      <w:pPr>
        <w:spacing w:after="0" w:line="117" w:lineRule="exact"/>
        <w:rPr>
          <w:rFonts w:ascii="Arial" w:cs="Arial" w:eastAsia="Arial" w:hAnsi="Arial"/>
          <w:sz w:val="18"/>
          <w:szCs w:val="18"/>
          <w:color w:val="auto"/>
        </w:rPr>
      </w:pPr>
    </w:p>
    <w:p>
      <w:pPr>
        <w:ind w:left="444" w:right="160" w:firstLine="948"/>
        <w:spacing w:after="0" w:line="257" w:lineRule="auto"/>
        <w:tabs>
          <w:tab w:leader="none" w:pos="161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Equity Interests of the Company unless accompanied by an identical subdivision or combination, as applicable, of the outstanding related class or series of Equity Interest of the Managing Member, with corresponding changes made with respect to any other exchangeable or convertible Equity Interests of the Company and the Managing Member.</w:t>
      </w:r>
    </w:p>
    <w:p>
      <w:pPr>
        <w:spacing w:after="0" w:line="79" w:lineRule="exact"/>
        <w:rPr>
          <w:rFonts w:ascii="Arial" w:cs="Arial" w:eastAsia="Arial" w:hAnsi="Arial"/>
          <w:sz w:val="18"/>
          <w:szCs w:val="18"/>
          <w:color w:val="auto"/>
        </w:rPr>
      </w:pPr>
    </w:p>
    <w:p>
      <w:pPr>
        <w:ind w:left="444" w:right="40" w:firstLine="948"/>
        <w:spacing w:after="0" w:line="275" w:lineRule="auto"/>
        <w:tabs>
          <w:tab w:leader="none" w:pos="1661" w:val="left"/>
        </w:tabs>
        <w:numPr>
          <w:ilvl w:val="2"/>
          <w:numId w:val="246"/>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7.03(g)</w:t>
      </w:r>
      <w:r>
        <w:rPr>
          <w:rFonts w:ascii="Arial" w:cs="Arial" w:eastAsia="Arial" w:hAnsi="Arial"/>
          <w:sz w:val="17"/>
          <w:szCs w:val="17"/>
          <w:color w:val="auto"/>
        </w:rPr>
        <w:t>, the Managing Member shall not in any manner effect any subdivision (by any equity split, equity distribution, reclassification, recapitalization or otherwise) or combination (by reverse equity split, reclassification, recapitalization or otherwise) of any class or series of Equity Interest of the Managing Member, unless accompanied by an identical subdivision or combination, as applicable, of the outstanding related class or series of Equity Interest of the Company, with corresponding changes made with respect to any applicable exchangeable or convertible Equity Interests of the Company and the Managing Member.</w:t>
      </w:r>
    </w:p>
    <w:p>
      <w:pPr>
        <w:spacing w:after="0" w:line="68" w:lineRule="exact"/>
        <w:rPr>
          <w:rFonts w:ascii="Arial" w:cs="Arial" w:eastAsia="Arial" w:hAnsi="Arial"/>
          <w:sz w:val="17"/>
          <w:szCs w:val="17"/>
          <w:color w:val="auto"/>
        </w:rPr>
      </w:pPr>
    </w:p>
    <w:p>
      <w:pPr>
        <w:ind w:left="4" w:right="100" w:firstLine="987"/>
        <w:spacing w:after="0" w:line="284" w:lineRule="auto"/>
        <w:tabs>
          <w:tab w:leader="none" w:pos="1220"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General Authority</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7.03</w:t>
      </w:r>
      <w:r>
        <w:rPr>
          <w:rFonts w:ascii="Arial" w:cs="Arial" w:eastAsia="Arial" w:hAnsi="Arial"/>
          <w:sz w:val="16"/>
          <w:szCs w:val="16"/>
          <w:color w:val="auto"/>
        </w:rPr>
        <w:t>, the Company and the Managing Member shall be permitted to undertake all actions, including an issuance, redemption, reclassification, distribution, division or recapitalization, with respect to the Class A Units and/or Class B Units as the Managing Member determines is necessary to maintain at all times a one-to-one ratio between (i) the number of Class A Units owned by the Managing Member, directly or indirectly, and the number of outstanding shares of Class A Common Stock and Class C Common Stock, and (ii) the number of outstanding shares of Class B Common Stock and Class D Common Stock held by any Member other than the Managing Member and the number of Class B Units held by such Member disregarding, for purposes of maintaining the one-to-one ratio in clause (i), (A) options, rights or securities of the Managing Member issued under any plan involving the issuance of any Equity Interests that are convertible into or exercisable or exchangeable for shares of Class A Common Stock or Class C Common Stock,</w:t>
      </w:r>
    </w:p>
    <w:p>
      <w:pPr>
        <w:ind w:left="4" w:right="180" w:hanging="4"/>
        <w:spacing w:after="0" w:line="255" w:lineRule="auto"/>
        <w:tabs>
          <w:tab w:leader="none" w:pos="28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treasury stock, or (C) preferred stock or other debt or equity securities (including warrants, options or rights) issued by the Managing Member that are convertible or into or exercisable or exchangeable for shares of Class A Common Stock or Class C Common Stock (but in each case prior to such conversion, exercise or exchange).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39" w:name="page240"/>
    <w:bookmarkEnd w:id="239"/>
    <w:p>
      <w:pPr>
        <w:ind w:right="100" w:firstLine="987"/>
        <w:spacing w:after="0" w:line="269" w:lineRule="auto"/>
        <w:tabs>
          <w:tab w:leader="none" w:pos="1246" w:val="left"/>
        </w:tabs>
        <w:numPr>
          <w:ilvl w:val="0"/>
          <w:numId w:val="2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if the Managing Member (i) receives Tax Distributions in an amount in excess of the amount necessary to enable the Managing Member to meet its U.S. federal, state and local and non-U.S. tax obligations, its obligations under the Tax Receivable Agreement, and any other operating expenses or (ii) holds any other excess cash amount, the Managing Member may, in its sole discretion, (i) distribute such excess cash amount to its shareholders or (ii) contribute such excess cash amount to the Company in exchange for a number of Units or other Equity Securities of the Company determined in its sole discretion, and in such case, the Company may distribute to the holders of Class A Common Stock and Class C Common Stock an amount of shares of Class A Common Stock or Class C Common Stock, (if the Company issues Units to the Managing Member) or such other Equity Security of the Managing Member (if the Company issues Equity Securities of the Company other than Units) corresponding to the Equity Securities issued by the Company and with substantially the same rights to dividends and distributions (including distributions upon liquidation) and other economic rights as those of such Equity Securities of the Company that were issued to the Managing Member.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b w:val="1"/>
          <w:bCs w:val="1"/>
          <w:color w:val="auto"/>
        </w:rPr>
        <w:t>Member Transfers</w:t>
      </w:r>
    </w:p>
    <w:p>
      <w:pPr>
        <w:spacing w:after="0" w:line="121" w:lineRule="exact"/>
        <w:rPr>
          <w:sz w:val="20"/>
          <w:szCs w:val="20"/>
          <w:color w:val="auto"/>
        </w:rPr>
      </w:pPr>
    </w:p>
    <w:p>
      <w:pPr>
        <w:ind w:firstLine="987"/>
        <w:spacing w:after="0" w:line="268" w:lineRule="auto"/>
        <w:tabs>
          <w:tab w:leader="none" w:pos="123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in any Certificate of Designations, no Member or Assignee thereof may Transfer all or any portion of its Units or other interest in the Company (or beneficial interest therein) without the prior consent of the Managing Member, which consent may be given or withheld, or made subject to such conditions (including, without limitation,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consent with respect to a Transfer of preferred Units shall not be unreasonably withheld, conditioned or denied by the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Any such determination in the Managing Member’s sole discretion in respect of Units (other than preferred Units) shall be final and binding. Such determinations with respect of Units (other than preferred Units) need not be uniform and may be made selectively among Members, whether or not such Members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Member transfers all or a portion of its Class B Units to a transferee in compliance with this Agreement, the Member shall surrender a number of shares of Class B Common Stock or Class D Common Stock to the Managing Member equal to the number of transferred Class B Units, such shares of Class B Common Stock or Class D Common Stock will be immediately cancelled, and the Managing Member shall issue the same number of shares of Class B Common Stock or Class D Common Stock (to the extent permitted by the Managing Member Charter) to such transferee upon its admittance to the Company as a Member.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0" w:name="page241"/>
    <w:bookmarkEnd w:id="240"/>
    <w:p>
      <w:pPr>
        <w:ind w:firstLine="987"/>
        <w:spacing w:after="0" w:line="301" w:lineRule="auto"/>
        <w:tabs>
          <w:tab w:leader="none" w:pos="1246"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otherwise to the contrary in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without the consent of the Managing Member or any other Person, each Member that is a Member holding at least 5% of the Class A Percentage Interest or Class B Percentage Interest, as applicable, may Transfer all or any portion of its Class A Units or Class B Units, as applicable, in a Transfer that complies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unless the Managing Member timely and reasonably objects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so long as such transfer does not increase the number of Members of the Company.</w:t>
      </w:r>
    </w:p>
    <w:p>
      <w:pPr>
        <w:spacing w:after="0" w:line="49" w:lineRule="exact"/>
        <w:rPr>
          <w:rFonts w:ascii="Arial" w:cs="Arial" w:eastAsia="Arial" w:hAnsi="Arial"/>
          <w:sz w:val="16"/>
          <w:szCs w:val="16"/>
          <w:color w:val="auto"/>
        </w:rPr>
      </w:pPr>
    </w:p>
    <w:p>
      <w:pPr>
        <w:ind w:right="40" w:firstLine="987"/>
        <w:spacing w:after="0" w:line="273" w:lineRule="auto"/>
        <w:tabs>
          <w:tab w:leader="none" w:pos="123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Notwithstanding anything otherwise to the contrary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each Member may Transfer Units in an Exchange pursuant to, and in accordance 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Member other than a Member holding at least 5% of the Class A Percentage Interest or Class B Percentage Interest, as applicable, that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if such policies conflict with the terms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 the provisions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apply in lieu thereof to any Exchange to the extent of such conflict.</w:t>
      </w:r>
    </w:p>
    <w:p>
      <w:pPr>
        <w:spacing w:after="0" w:line="69" w:lineRule="exact"/>
        <w:rPr>
          <w:rFonts w:ascii="Arial" w:cs="Arial" w:eastAsia="Arial" w:hAnsi="Arial"/>
          <w:sz w:val="17"/>
          <w:szCs w:val="17"/>
          <w:color w:val="auto"/>
        </w:rPr>
      </w:pPr>
    </w:p>
    <w:p>
      <w:pPr>
        <w:ind w:right="140" w:firstLine="987"/>
        <w:spacing w:after="0" w:line="254" w:lineRule="auto"/>
        <w:tabs>
          <w:tab w:leader="none" w:pos="12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Notwithstanding anything otherwise to the contrary in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 a Member that is a natural person may Transfer all or any portion of his or her Units without consideration to any member of his or her Family Group or (ii) a Member that is an entity may Transfer all or any portion of its Units to any Affiliate of such Member (including any partner, shareholder or member controlling or under common control with such Member and Affiliated investment fund or vehicle of such Member) and (iii) the Managing Member may implement other policies and procedures to permit the Transfer of Units by the other Members for personal planning purposes and any such Transfer effected in compliance with such policies and procedures shall not require the prior consent of the Managing Member, in the case of each of (i), (ii) and (iii), in a Transfer that complies with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8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b w:val="1"/>
          <w:bCs w:val="1"/>
          <w:color w:val="auto"/>
        </w:rPr>
        <w:t>Mandatory Exchanges.</w:t>
      </w:r>
      <w:r>
        <w:rPr>
          <w:rFonts w:ascii="Arial" w:cs="Arial" w:eastAsia="Arial" w:hAnsi="Arial"/>
          <w:sz w:val="18"/>
          <w:szCs w:val="18"/>
          <w:color w:val="auto"/>
        </w:rPr>
        <w:t xml:space="preserve"> The Managing Member may in its sole discretion at any time and from time to time, without the consent of any Member or other Person, cause to be Transferred to the Managing Member in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and all Units, except for (a) Units held by any Member holding at least 5% of the Class A Percentage Interest or Class B Percentage Interest, as applicable and (b) preferred Units. Any such determinations by the Managing Member need not be uniform and may be made selectively among Members, whether or not such Members are similarly situated.</w:t>
      </w:r>
    </w:p>
    <w:p>
      <w:pPr>
        <w:spacing w:after="0" w:line="7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b w:val="1"/>
          <w:bCs w:val="1"/>
          <w:color w:val="auto"/>
        </w:rPr>
        <w:t>Encumbrances.</w:t>
      </w:r>
      <w:r>
        <w:rPr>
          <w:rFonts w:ascii="Arial" w:cs="Arial" w:eastAsia="Arial" w:hAnsi="Arial"/>
          <w:sz w:val="16"/>
          <w:szCs w:val="16"/>
          <w:color w:val="auto"/>
        </w:rPr>
        <w:t xml:space="preserve"> No Member or Assignee may create an Encumbrance with respect to all or any portion of its Units (or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41" w:name="page242"/>
    <w:bookmarkEnd w:id="2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8.04 </w:t>
      </w:r>
      <w:r>
        <w:rPr>
          <w:rFonts w:ascii="Arial" w:cs="Arial" w:eastAsia="Arial" w:hAnsi="Arial"/>
          <w:sz w:val="18"/>
          <w:szCs w:val="18"/>
          <w:b w:val="1"/>
          <w:bCs w:val="1"/>
          <w:color w:val="auto"/>
        </w:rPr>
        <w:t>Further Restrictions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93" w:lineRule="auto"/>
        <w:tabs>
          <w:tab w:leader="none" w:pos="123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Units issued from time to time after the date of this Agreement, including Units issued under equity incentive plans of the Company or the Managing Member (or upon settlement of awards granted under such plans), may be subject to such additional or other terms and conditions, including with regard to vesting, forfeiture, minimum retained ownership and Transfer, as may be agreed between the Managing Member and the applicable Member and reflected in the books and records of the Company. Such requirements, provisions and restrictions need not be uniform and may be waived or released by the Managing Member in its sole discretion with respect to all or a portion of the Units owned by any one or more Members at any time and from time to time, and shall not constitute the breach of any duty hereunder or otherwise existing at law, in equity or otherwise.</w:t>
      </w:r>
    </w:p>
    <w:p>
      <w:pPr>
        <w:spacing w:after="0" w:line="56" w:lineRule="exact"/>
        <w:rPr>
          <w:rFonts w:ascii="Arial" w:cs="Arial" w:eastAsia="Arial" w:hAnsi="Arial"/>
          <w:sz w:val="16"/>
          <w:szCs w:val="16"/>
          <w:color w:val="auto"/>
        </w:rPr>
      </w:pPr>
    </w:p>
    <w:p>
      <w:pPr>
        <w:ind w:right="440" w:firstLine="987"/>
        <w:spacing w:after="0" w:line="277" w:lineRule="auto"/>
        <w:tabs>
          <w:tab w:leader="none" w:pos="12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Notwithstanding any contrary provision in this Agreement, in no event may any Transfer of a Unit (other than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be made by any Member or Assignee if the Managing Member determines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Unit;</w:t>
      </w:r>
    </w:p>
    <w:p>
      <w:pPr>
        <w:spacing w:after="0" w:line="117" w:lineRule="exact"/>
        <w:rPr>
          <w:rFonts w:ascii="Arial" w:cs="Arial" w:eastAsia="Arial" w:hAnsi="Arial"/>
          <w:sz w:val="18"/>
          <w:szCs w:val="18"/>
          <w:color w:val="auto"/>
        </w:rPr>
      </w:pPr>
    </w:p>
    <w:p>
      <w:pPr>
        <w:jc w:val="both"/>
        <w:ind w:left="440" w:right="40" w:firstLine="948"/>
        <w:spacing w:after="0" w:line="259" w:lineRule="auto"/>
        <w:tabs>
          <w:tab w:leader="none" w:pos="165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except pursuant to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such Transfer would require the registration of such transferred Unit or of any Class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78" w:lineRule="exact"/>
        <w:rPr>
          <w:rFonts w:ascii="Arial" w:cs="Arial" w:eastAsia="Arial" w:hAnsi="Arial"/>
          <w:sz w:val="18"/>
          <w:szCs w:val="18"/>
          <w:color w:val="auto"/>
        </w:rPr>
      </w:pPr>
    </w:p>
    <w:p>
      <w:pPr>
        <w:jc w:val="both"/>
        <w:ind w:left="440" w:right="140" w:firstLine="948"/>
        <w:spacing w:after="0" w:line="259" w:lineRule="auto"/>
        <w:tabs>
          <w:tab w:leader="none" w:pos="170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78" w:lineRule="exact"/>
        <w:rPr>
          <w:rFonts w:ascii="Arial" w:cs="Arial" w:eastAsia="Arial" w:hAnsi="Arial"/>
          <w:sz w:val="18"/>
          <w:szCs w:val="18"/>
          <w:color w:val="auto"/>
        </w:rPr>
      </w:pPr>
    </w:p>
    <w:p>
      <w:pPr>
        <w:ind w:left="440" w:firstLine="948"/>
        <w:spacing w:after="0" w:line="263" w:lineRule="auto"/>
        <w:tabs>
          <w:tab w:leader="none" w:pos="169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reasonably satisfactory to the Managing Member; or</w:t>
      </w:r>
    </w:p>
    <w:p>
      <w:pPr>
        <w:spacing w:after="0" w:line="75" w:lineRule="exact"/>
        <w:rPr>
          <w:rFonts w:ascii="Arial" w:cs="Arial" w:eastAsia="Arial" w:hAnsi="Arial"/>
          <w:sz w:val="18"/>
          <w:szCs w:val="18"/>
          <w:color w:val="auto"/>
        </w:rPr>
      </w:pPr>
    </w:p>
    <w:p>
      <w:pPr>
        <w:ind w:left="440" w:right="420" w:firstLine="948"/>
        <w:spacing w:after="0" w:line="342" w:lineRule="auto"/>
        <w:tabs>
          <w:tab w:leader="none" w:pos="1647"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Managing Member shall reasonably determine that such Transfer would pose a material risk that the Company would be treated as a “</w:t>
      </w:r>
      <w:r>
        <w:rPr>
          <w:rFonts w:ascii="Arial" w:cs="Arial" w:eastAsia="Arial" w:hAnsi="Arial"/>
          <w:sz w:val="16"/>
          <w:szCs w:val="16"/>
          <w:b w:val="1"/>
          <w:bCs w:val="1"/>
          <w:i w:val="1"/>
          <w:iCs w:val="1"/>
          <w:color w:val="auto"/>
        </w:rPr>
        <w:t>publicly traded partnership</w:t>
      </w:r>
      <w:r>
        <w:rPr>
          <w:rFonts w:ascii="Arial" w:cs="Arial" w:eastAsia="Arial" w:hAnsi="Arial"/>
          <w:sz w:val="16"/>
          <w:szCs w:val="16"/>
          <w:color w:val="auto"/>
        </w:rPr>
        <w:t>” within the meaning of Section 7704 of the Code and the regulations promulgated thereunder.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242" w:name="page243"/>
    <w:bookmarkEnd w:id="242"/>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determinations with respect to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made by the Managing Member in its sole discretion; provided, however, that all such determinations with respect to a Member holding at least 5% of the Class A Percentage Interest or Class B Percentage Interest, as applicable, shall be made by the Managing Member exercising its reasonable discretion.</w:t>
      </w:r>
    </w:p>
    <w:p>
      <w:pPr>
        <w:spacing w:after="0" w:line="76" w:lineRule="exact"/>
        <w:rPr>
          <w:sz w:val="20"/>
          <w:szCs w:val="20"/>
          <w:color w:val="auto"/>
        </w:rPr>
      </w:pPr>
    </w:p>
    <w:p>
      <w:pPr>
        <w:ind w:right="20" w:firstLine="987"/>
        <w:spacing w:after="0" w:line="291" w:lineRule="auto"/>
        <w:tabs>
          <w:tab w:leader="none" w:pos="123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addition, notwithstanding any contrary provision in this Agreement, to the extent the Managing Member shall reasonably determine that interests in the Company do not meet the requirements of Treasury Regulations Section 1.7704-1(h) (determined taking into account the rules of Treasury Regulations Section 1.7704- 1(h)(3), provided that, for such purpose, the Company and the Managing Member shall assume that each Original Member is treated as a single partner within the meaning of Regulations Section 1.7704 1(h) (determined taking into account the rules of Regulations Section 1.7704-1(h)(3)) unless otherwise required by applicable Law), the Managing Member may impose such restrictions on the Transfer of Units or other interests in the Company as the Managing Member may reasonably determine to be necessary or advisable so that the Company is not treated as a “</w:t>
      </w:r>
      <w:r>
        <w:rPr>
          <w:rFonts w:ascii="Arial" w:cs="Arial" w:eastAsia="Arial" w:hAnsi="Arial"/>
          <w:sz w:val="16"/>
          <w:szCs w:val="16"/>
          <w:b w:val="1"/>
          <w:bCs w:val="1"/>
          <w:i w:val="1"/>
          <w:iCs w:val="1"/>
          <w:color w:val="auto"/>
        </w:rPr>
        <w:t>publicly traded partnership</w:t>
      </w:r>
      <w:r>
        <w:rPr>
          <w:rFonts w:ascii="Arial" w:cs="Arial" w:eastAsia="Arial" w:hAnsi="Arial"/>
          <w:sz w:val="16"/>
          <w:szCs w:val="16"/>
          <w:color w:val="auto"/>
        </w:rPr>
        <w:t>” within the meaning of Section 7704 of the Code and the regulations promulgated thereunder.</w:t>
      </w:r>
    </w:p>
    <w:p>
      <w:pPr>
        <w:spacing w:after="0" w:line="58" w:lineRule="exact"/>
        <w:rPr>
          <w:rFonts w:ascii="Arial" w:cs="Arial" w:eastAsia="Arial" w:hAnsi="Arial"/>
          <w:sz w:val="16"/>
          <w:szCs w:val="16"/>
          <w:color w:val="auto"/>
        </w:rPr>
      </w:pPr>
    </w:p>
    <w:p>
      <w:pPr>
        <w:ind w:firstLine="987"/>
        <w:spacing w:after="0" w:line="342" w:lineRule="auto"/>
        <w:tabs>
          <w:tab w:leader="none" w:pos="124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Transfers of Units (other than (i) pursuant to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(ii) a Transfer of preferred Units) that are otherwise permitted by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only be made on the first day of a fiscal quarter of the Company, unless the Managing Member otherwise agrees.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any Transfer in violation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98" w:lineRule="exact"/>
        <w:rPr>
          <w:rFonts w:ascii="Arial" w:cs="Arial" w:eastAsia="Arial" w:hAnsi="Arial"/>
          <w:sz w:val="17"/>
          <w:szCs w:val="17"/>
          <w:color w:val="auto"/>
        </w:rPr>
      </w:pPr>
    </w:p>
    <w:p>
      <w:pPr>
        <w:ind w:right="140" w:firstLine="987"/>
        <w:spacing w:after="0" w:line="282" w:lineRule="auto"/>
        <w:tabs>
          <w:tab w:leader="none" w:pos="121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Promptly following the occurrence of any Transfer, the Company shall cause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Agreement to be updated to reflect the occurrence of such Transfer.</w:t>
      </w:r>
    </w:p>
    <w:p>
      <w:pPr>
        <w:spacing w:after="0" w:line="5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b w:val="1"/>
          <w:bCs w:val="1"/>
          <w:color w:val="auto"/>
        </w:rPr>
        <w:t>Rights of Assignees.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8.04b)</w:t>
      </w:r>
      <w:r>
        <w:rPr>
          <w:rFonts w:ascii="Arial" w:cs="Arial" w:eastAsia="Arial" w:hAnsi="Arial"/>
          <w:sz w:val="18"/>
          <w:szCs w:val="18"/>
          <w:color w:val="auto"/>
        </w:rPr>
        <w:t xml:space="preserve">, the Transferee of any permitted Transfer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be an assignee only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and only will receive, to the extent transferred, the distributions and allocations of income, gain, loss, deduction, credit or similar item to which the Member which transferred its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Units to one or more Assignees until such time as the Assignee(s) is admitted to the Company as a Member pursuant to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b w:val="1"/>
          <w:bCs w:val="1"/>
          <w:color w:val="auto"/>
        </w:rPr>
        <w:t>Admissions, Resignations and Removals</w:t>
      </w:r>
    </w:p>
    <w:p>
      <w:pPr>
        <w:spacing w:after="0" w:line="121" w:lineRule="exact"/>
        <w:rPr>
          <w:sz w:val="20"/>
          <w:szCs w:val="20"/>
          <w:color w:val="auto"/>
        </w:rPr>
      </w:pPr>
    </w:p>
    <w:p>
      <w:pPr>
        <w:ind w:right="180" w:firstLine="987"/>
        <w:spacing w:after="0" w:line="257" w:lineRule="auto"/>
        <w:tabs>
          <w:tab w:leader="none" w:pos="12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Person may be admitted to the Company as an additional Managing Member or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43" w:name="page244"/>
    <w:bookmarkEnd w:id="243"/>
    <w:p>
      <w:pPr>
        <w:ind w:right="540" w:firstLine="987"/>
        <w:spacing w:after="0" w:line="263" w:lineRule="auto"/>
        <w:tabs>
          <w:tab w:leader="none" w:pos="12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Member will be removed or entitled to resign from being a Member of the Company except in accordance with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hereof. Any additional Managing Member or substitute Managing Member admitted as a Managing Member of the Company pursuant to this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is hereby authorized to, and shall, continue the Company without dissolution.</w:t>
      </w:r>
    </w:p>
    <w:p>
      <w:pPr>
        <w:spacing w:after="0" w:line="75" w:lineRule="exact"/>
        <w:rPr>
          <w:rFonts w:ascii="Arial" w:cs="Arial" w:eastAsia="Arial" w:hAnsi="Arial"/>
          <w:sz w:val="18"/>
          <w:szCs w:val="18"/>
          <w:color w:val="auto"/>
        </w:rPr>
      </w:pPr>
    </w:p>
    <w:p>
      <w:pPr>
        <w:jc w:val="both"/>
        <w:ind w:right="200" w:firstLine="987"/>
        <w:spacing w:after="0" w:line="263" w:lineRule="auto"/>
        <w:tabs>
          <w:tab w:leader="none" w:pos="12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7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b w:val="1"/>
          <w:bCs w:val="1"/>
          <w:color w:val="auto"/>
        </w:rPr>
        <w:t>Admission of Assignees as Substitute Members.</w:t>
      </w:r>
      <w:r>
        <w:rPr>
          <w:rFonts w:ascii="Arial" w:cs="Arial" w:eastAsia="Arial" w:hAnsi="Arial"/>
          <w:sz w:val="18"/>
          <w:szCs w:val="18"/>
          <w:color w:val="auto"/>
        </w:rPr>
        <w:t xml:space="preserve"> An Assignee will become a substitute Member only if and when each of the following conditions is satisfied:</w:t>
      </w:r>
    </w:p>
    <w:p>
      <w:pPr>
        <w:spacing w:after="0" w:line="58" w:lineRule="exact"/>
        <w:rPr>
          <w:sz w:val="20"/>
          <w:szCs w:val="20"/>
          <w:color w:val="auto"/>
        </w:rPr>
      </w:pPr>
    </w:p>
    <w:p>
      <w:pPr>
        <w:jc w:val="both"/>
        <w:ind w:right="580" w:firstLine="987"/>
        <w:spacing w:after="0" w:line="286" w:lineRule="auto"/>
        <w:tabs>
          <w:tab w:leader="none" w:pos="12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Managing Member consents in writing to such admission, which consent may be given or withheld, or made subject to such conditions as are determined by the Managing Member, in each case in the Managing Member’s sole discretion, provided that with respect to an Assignee of preferred Units, the Managing Member shall not unreasonably withhold, condition or delay such consent;</w:t>
      </w:r>
    </w:p>
    <w:p>
      <w:pPr>
        <w:spacing w:after="0" w:line="57" w:lineRule="exact"/>
        <w:rPr>
          <w:rFonts w:ascii="Arial" w:cs="Arial" w:eastAsia="Arial" w:hAnsi="Arial"/>
          <w:sz w:val="17"/>
          <w:szCs w:val="17"/>
          <w:color w:val="auto"/>
        </w:rPr>
      </w:pPr>
    </w:p>
    <w:p>
      <w:pPr>
        <w:ind w:right="60" w:firstLine="987"/>
        <w:spacing w:after="0" w:line="259" w:lineRule="auto"/>
        <w:tabs>
          <w:tab w:leader="none" w:pos="12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written instruments (including, without limitation, copies of any instruments of Transfer and such Assignee’s consent to be bound by this Agreement as a substitute Member) that are in a form satisfactory to the Managing Member (as determined in its sole discretion, in the case of an Assignee of Units other than preferred Units, and as reasonably determined by the Managing Member, in the case of preferred Units);</w:t>
      </w:r>
    </w:p>
    <w:p>
      <w:pPr>
        <w:spacing w:after="0" w:line="78"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62" w:lineRule="exact"/>
        <w:rPr>
          <w:rFonts w:ascii="Arial" w:cs="Arial" w:eastAsia="Arial" w:hAnsi="Arial"/>
          <w:sz w:val="18"/>
          <w:szCs w:val="18"/>
          <w:color w:val="auto"/>
        </w:rPr>
      </w:pPr>
    </w:p>
    <w:p>
      <w:pPr>
        <w:ind w:right="240" w:firstLine="987"/>
        <w:spacing w:after="0" w:line="308" w:lineRule="auto"/>
        <w:tabs>
          <w:tab w:leader="none" w:pos="124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required by the Managing Member, the parties to the Transfer, or any one of them, pays all of the Company’s reasonable expenses connected with such Transfer (including, but not limited to, the reasonable legal and accounting fees of the Company).</w:t>
      </w:r>
    </w:p>
    <w:p>
      <w:pPr>
        <w:spacing w:after="0" w:line="3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b w:val="1"/>
          <w:bCs w:val="1"/>
          <w:color w:val="auto"/>
        </w:rPr>
        <w:t>Resignation and Removal of Members.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8.05</w:t>
      </w:r>
      <w:r>
        <w:rPr>
          <w:rFonts w:ascii="Arial" w:cs="Arial" w:eastAsia="Arial" w:hAnsi="Arial"/>
          <w:sz w:val="18"/>
          <w:szCs w:val="18"/>
          <w:color w:val="auto"/>
        </w:rPr>
        <w:t>, if a Member (other than the Managing Member) ceases to hold any Units then such Member shall cease to be a Member and to have the power to exercise any rights or powers of a member of the Company, and shall be deemed to have resigned from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44" w:name="page245"/>
    <w:bookmarkEnd w:id="244"/>
    <w:p>
      <w:pPr>
        <w:ind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8.09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In the event any transfer is permitted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transferring parties 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7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Allocations in Respect of Transferred Units.</w:t>
      </w:r>
      <w:r>
        <w:rPr>
          <w:rFonts w:ascii="Arial" w:cs="Arial" w:eastAsia="Arial" w:hAnsi="Arial"/>
          <w:sz w:val="18"/>
          <w:szCs w:val="18"/>
          <w:color w:val="auto"/>
        </w:rPr>
        <w:t xml:space="preserve">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Company shall allocate the Profits or Losses to the Members of the Company so as to take into account the varying interests of the Members in the Company using an “interim closing of the books” method in a manner that complies with the provisions of Section 706 of the Code and the Treasury Regulations thereunder; provided, however, that such allocations may instead be made in another manner that complies with the provisions of Section 706 of the Code and the Treasury Regulations thereunder and that is selected by the Managing Member in consultation with the Original Member Representative.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color w:val="auto"/>
        </w:rPr>
        <w:t>No Dissolution.</w:t>
      </w:r>
      <w:r>
        <w:rPr>
          <w:rFonts w:ascii="Arial" w:cs="Arial" w:eastAsia="Arial" w:hAnsi="Arial"/>
          <w:sz w:val="18"/>
          <w:szCs w:val="18"/>
          <w:color w:val="auto"/>
        </w:rPr>
        <w:t xml:space="preserve"> Except as required by the Act, the Company shall not be dissolved by the admission of additional Members or resignation of Members in accordance with the terms of this Agreement. The Company may be dissolved, liquidated, wound up and terminated only pursuant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Members hereby irrevocably waive any and all other rights they may have to cause a dissolution of the Company or a sale or partition of any or all of the Company assets.</w:t>
      </w:r>
    </w:p>
    <w:p>
      <w:pPr>
        <w:spacing w:after="0" w:line="7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b w:val="1"/>
          <w:bCs w:val="1"/>
          <w:color w:val="auto"/>
        </w:rPr>
        <w:t>Events Causing Dissolution.</w:t>
      </w:r>
      <w:r>
        <w:rPr>
          <w:rFonts w:ascii="Arial" w:cs="Arial" w:eastAsia="Arial" w:hAnsi="Arial"/>
          <w:sz w:val="18"/>
          <w:szCs w:val="18"/>
          <w:color w:val="auto"/>
        </w:rPr>
        <w:t xml:space="preserve"> The Company shall be dissolved and its affairs shall be wound up upon the occurrence of any of the following events:</w:t>
      </w:r>
    </w:p>
    <w:p>
      <w:pPr>
        <w:spacing w:after="0" w:line="58" w:lineRule="exact"/>
        <w:rPr>
          <w:sz w:val="20"/>
          <w:szCs w:val="20"/>
          <w:color w:val="auto"/>
        </w:rPr>
      </w:pPr>
    </w:p>
    <w:p>
      <w:pPr>
        <w:ind w:right="120" w:firstLine="987"/>
        <w:spacing w:after="0" w:line="277" w:lineRule="auto"/>
        <w:tabs>
          <w:tab w:leader="none" w:pos="123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upon the finding by a court of competent jurisdiction that it is not reasonably practicable to carry on the business of the Company in conformity with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event which makes it unlawful for the business of the Company to be carried on by the Members;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written consent of all Members;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245" w:name="page246"/>
    <w:bookmarkEnd w:id="245"/>
    <w:p>
      <w:pPr>
        <w:ind w:right="140" w:firstLine="987"/>
        <w:spacing w:after="0" w:line="255" w:lineRule="auto"/>
        <w:tabs>
          <w:tab w:leader="none" w:pos="12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determination of the Managing Member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dissolution pursuant to this clause (e),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80"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b w:val="1"/>
          <w:bCs w:val="1"/>
          <w:color w:val="auto"/>
        </w:rPr>
        <w:t>Distribution upon Dissolution.</w:t>
      </w:r>
      <w:r>
        <w:rPr>
          <w:rFonts w:ascii="Arial" w:cs="Arial" w:eastAsia="Arial" w:hAnsi="Arial"/>
          <w:sz w:val="18"/>
          <w:szCs w:val="18"/>
          <w:color w:val="auto"/>
        </w:rPr>
        <w:t xml:space="preserve"> Upon dissolution, the Company shall not be terminated and shall continue until the winding up of the affairs of the Company is completed. Upon the winding up of the Company, the Managing Member, or any other Person designated by the Managing Member (the “</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shall take full account of the assets and liabilities of the Company and shall, unless the Managing Member determines otherwise, liquidate the assets of the Company as promptly as is consistent with obtaining the fair value thereof. The proceeds of any liquidation shall be applied and distributed in the following order:</w:t>
      </w:r>
    </w:p>
    <w:p>
      <w:pPr>
        <w:spacing w:after="0" w:line="79" w:lineRule="exact"/>
        <w:rPr>
          <w:sz w:val="20"/>
          <w:szCs w:val="20"/>
          <w:color w:val="auto"/>
        </w:rPr>
      </w:pPr>
    </w:p>
    <w:p>
      <w:pPr>
        <w:ind w:right="80" w:firstLine="987"/>
        <w:spacing w:after="0" w:line="273" w:lineRule="auto"/>
        <w:tabs>
          <w:tab w:leader="none" w:pos="123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First, to the satisfaction of debts and liabilities of the Company (including satisfaction of all indebtedness to Members and/or their Affiliates to the extent otherwise permitted by law) including the expenses of liquidation, and including the establishment of any reserve which the Liquidation Agent shall deem reasonably necessary for any contingent, conditional or unmatured contractual liabilities or obligations of the Company (“</w:t>
      </w:r>
      <w:r>
        <w:rPr>
          <w:rFonts w:ascii="Arial" w:cs="Arial" w:eastAsia="Arial" w:hAnsi="Arial"/>
          <w:sz w:val="17"/>
          <w:szCs w:val="17"/>
          <w:b w:val="1"/>
          <w:bCs w:val="1"/>
          <w:i w:val="1"/>
          <w:iCs w:val="1"/>
          <w:color w:val="auto"/>
        </w:rPr>
        <w:t>Contingencies</w:t>
      </w:r>
      <w:r>
        <w:rPr>
          <w:rFonts w:ascii="Arial" w:cs="Arial" w:eastAsia="Arial" w:hAnsi="Arial"/>
          <w:sz w:val="17"/>
          <w:szCs w:val="17"/>
          <w:color w:val="auto"/>
        </w:rPr>
        <w:t xml:space="preserve">”). Any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w:t>
      </w:r>
      <w:r>
        <w:rPr>
          <w:rFonts w:ascii="Arial" w:cs="Arial" w:eastAsia="Arial" w:hAnsi="Arial"/>
          <w:sz w:val="17"/>
          <w:szCs w:val="17"/>
          <w:u w:val="single" w:color="auto"/>
          <w:color w:val="auto"/>
        </w:rPr>
        <w:t>Section 9.03</w:t>
      </w:r>
      <w:r>
        <w:rPr>
          <w:rFonts w:ascii="Arial" w:cs="Arial" w:eastAsia="Arial" w:hAnsi="Arial"/>
          <w:sz w:val="17"/>
          <w:szCs w:val="17"/>
          <w:color w:val="auto"/>
        </w:rPr>
        <w:t>; and</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balance, if any, to the Members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13"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b w:val="1"/>
          <w:bCs w:val="1"/>
          <w:color w:val="auto"/>
        </w:rPr>
        <w:t>Time for Liquidation.</w:t>
      </w:r>
      <w:r>
        <w:rPr>
          <w:rFonts w:ascii="Arial" w:cs="Arial" w:eastAsia="Arial" w:hAnsi="Arial"/>
          <w:sz w:val="17"/>
          <w:szCs w:val="17"/>
          <w:color w:val="auto"/>
        </w:rPr>
        <w:t xml:space="preserve"> A reasonable amount of time shall be allowed for the orderly liquidation of the assets of the Company and the discharge of liabilities to creditors so as to enable the Liquidation Agent to minimize the losses attendant upon such liquidation.</w:t>
      </w:r>
    </w:p>
    <w:p>
      <w:pPr>
        <w:spacing w:after="0" w:line="3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The Company shall terminate when all of the assets of the Company, after payment of or due provision for all debts, liabilities and obligations of the Company, shall have been distributed to the holders of Units in the manner provided for in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Certificate shall have been cancelled in the manner required by the Act.</w:t>
      </w:r>
    </w:p>
    <w:p>
      <w:pPr>
        <w:spacing w:after="0" w:line="68" w:lineRule="exact"/>
        <w:rPr>
          <w:sz w:val="20"/>
          <w:szCs w:val="20"/>
          <w:color w:val="auto"/>
        </w:rPr>
      </w:pPr>
    </w:p>
    <w:p>
      <w:pPr>
        <w:ind w:right="240" w:firstLine="440"/>
        <w:spacing w:after="0" w:line="256"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b w:val="1"/>
          <w:bCs w:val="1"/>
          <w:color w:val="auto"/>
        </w:rPr>
        <w:t>Claims of the Members.</w:t>
      </w:r>
      <w:r>
        <w:rPr>
          <w:rFonts w:ascii="Arial" w:cs="Arial" w:eastAsia="Arial" w:hAnsi="Arial"/>
          <w:sz w:val="18"/>
          <w:szCs w:val="18"/>
          <w:color w:val="auto"/>
        </w:rPr>
        <w:t xml:space="preserve">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during the existence of the Company, upon dissolution or termination of the Company or otherwise, except to the extent required by the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46" w:name="page247"/>
    <w:bookmarkEnd w:id="24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9.07 </w:t>
      </w:r>
      <w:r>
        <w:rPr>
          <w:rFonts w:ascii="Arial" w:cs="Arial" w:eastAsia="Arial" w:hAnsi="Arial"/>
          <w:sz w:val="16"/>
          <w:szCs w:val="16"/>
          <w:b w:val="1"/>
          <w:bCs w:val="1"/>
          <w:color w:val="auto"/>
        </w:rPr>
        <w:t>Survival of Certain Provisions.</w:t>
      </w:r>
      <w:r>
        <w:rPr>
          <w:rFonts w:ascii="Arial" w:cs="Arial" w:eastAsia="Arial" w:hAnsi="Arial"/>
          <w:sz w:val="16"/>
          <w:szCs w:val="16"/>
          <w:color w:val="auto"/>
        </w:rPr>
        <w:t xml:space="preserve"> Notwithstanding anything to the contrary in this Agreement, the provisions of </w:t>
      </w:r>
      <w:r>
        <w:rPr>
          <w:rFonts w:ascii="Arial" w:cs="Arial" w:eastAsia="Arial" w:hAnsi="Arial"/>
          <w:sz w:val="16"/>
          <w:szCs w:val="16"/>
          <w:u w:val="single" w:color="auto"/>
          <w:color w:val="auto"/>
        </w:rPr>
        <w:t>Sections 5.07, 10.01, 10.02,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12.09 and 12.10</w:t>
      </w:r>
      <w:r>
        <w:rPr>
          <w:rFonts w:ascii="Arial" w:cs="Arial" w:eastAsia="Arial" w:hAnsi="Arial"/>
          <w:sz w:val="18"/>
          <w:szCs w:val="18"/>
          <w:color w:val="auto"/>
        </w:rPr>
        <w:t xml:space="preserve"> shall survive the termination of the Company.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b w:val="1"/>
          <w:bCs w:val="1"/>
          <w:color w:val="auto"/>
        </w:rPr>
        <w:t>Liability of Members</w:t>
      </w:r>
    </w:p>
    <w:p>
      <w:pPr>
        <w:spacing w:after="0" w:line="121" w:lineRule="exact"/>
        <w:rPr>
          <w:sz w:val="20"/>
          <w:szCs w:val="20"/>
          <w:color w:val="auto"/>
        </w:rPr>
      </w:pPr>
    </w:p>
    <w:p>
      <w:pPr>
        <w:ind w:right="40" w:firstLine="987"/>
        <w:spacing w:after="0" w:line="263" w:lineRule="auto"/>
        <w:tabs>
          <w:tab w:leader="none" w:pos="12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Act.</w:t>
      </w:r>
    </w:p>
    <w:p>
      <w:pPr>
        <w:spacing w:after="0" w:line="75" w:lineRule="exact"/>
        <w:rPr>
          <w:rFonts w:ascii="Arial" w:cs="Arial" w:eastAsia="Arial" w:hAnsi="Arial"/>
          <w:sz w:val="18"/>
          <w:szCs w:val="18"/>
          <w:color w:val="auto"/>
        </w:rPr>
      </w:pPr>
    </w:p>
    <w:p>
      <w:pPr>
        <w:ind w:firstLine="987"/>
        <w:spacing w:after="0" w:line="272" w:lineRule="auto"/>
        <w:tabs>
          <w:tab w:leader="none" w:pos="124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(i) no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and (ii) the Managing Member shall not, to the fullest extent permitted by law, have duties (including fiduciary duties) to any Member or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Member and each Manager shall have the duty to act in accordance with the implied contractual covenant of good faith and fair dealing.</w:t>
      </w:r>
    </w:p>
    <w:p>
      <w:pPr>
        <w:spacing w:after="0" w:line="69" w:lineRule="exact"/>
        <w:rPr>
          <w:rFonts w:ascii="Arial" w:cs="Arial" w:eastAsia="Arial" w:hAnsi="Arial"/>
          <w:sz w:val="17"/>
          <w:szCs w:val="17"/>
          <w:color w:val="auto"/>
        </w:rPr>
      </w:pPr>
    </w:p>
    <w:p>
      <w:pPr>
        <w:ind w:right="20" w:firstLine="987"/>
        <w:spacing w:after="0" w:line="272" w:lineRule="auto"/>
        <w:tabs>
          <w:tab w:leader="none" w:pos="123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69" w:lineRule="exact"/>
        <w:rPr>
          <w:rFonts w:ascii="Arial" w:cs="Arial" w:eastAsia="Arial" w:hAnsi="Arial"/>
          <w:sz w:val="17"/>
          <w:szCs w:val="17"/>
          <w:color w:val="auto"/>
        </w:rPr>
      </w:pPr>
    </w:p>
    <w:p>
      <w:pPr>
        <w:ind w:right="60" w:firstLine="987"/>
        <w:spacing w:after="0" w:line="255" w:lineRule="auto"/>
        <w:tabs>
          <w:tab w:leader="none" w:pos="12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247" w:name="page248"/>
    <w:bookmarkEnd w:id="247"/>
    <w:p>
      <w:pPr>
        <w:ind w:left="-20" w:right="20" w:firstLine="987"/>
        <w:spacing w:after="0" w:line="255" w:lineRule="auto"/>
        <w:tabs>
          <w:tab w:leader="none" w:pos="12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or otherwise applicable provision of law or equity, whenever in this Agreement the Managing Member is permitted or required to make a decision (i) in its “sole discretion” or under a grant of similar authority or latitude, the Managing Member shall be entitled to consider such interests and factors as the Managers desire, including their own interests, and shall, to the 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b w:val="1"/>
          <w:bCs w:val="1"/>
          <w:color w:val="auto"/>
        </w:rPr>
        <w:t>Indemnification.</w:t>
      </w:r>
    </w:p>
    <w:p>
      <w:pPr>
        <w:spacing w:after="0" w:line="117" w:lineRule="exact"/>
        <w:rPr>
          <w:sz w:val="20"/>
          <w:szCs w:val="20"/>
          <w:color w:val="auto"/>
        </w:rPr>
      </w:pPr>
    </w:p>
    <w:p>
      <w:pPr>
        <w:ind w:left="-20" w:firstLine="987"/>
        <w:spacing w:after="0" w:line="284" w:lineRule="auto"/>
        <w:tabs>
          <w:tab w:leader="none" w:pos="1216" w:val="left"/>
        </w:tabs>
        <w:numPr>
          <w:ilvl w:val="0"/>
          <w:numId w:val="261"/>
        </w:numPr>
        <w:rPr>
          <w:rFonts w:ascii="Arial" w:cs="Arial" w:eastAsia="Arial" w:hAnsi="Arial"/>
          <w:sz w:val="16"/>
          <w:szCs w:val="16"/>
          <w:color w:val="auto"/>
        </w:rPr>
      </w:pPr>
      <w:r>
        <w:rPr>
          <w:rFonts w:ascii="Arial" w:cs="Arial" w:eastAsia="Arial" w:hAnsi="Arial"/>
          <w:sz w:val="16"/>
          <w:szCs w:val="16"/>
          <w:b w:val="1"/>
          <w:bCs w:val="1"/>
          <w:color w:val="auto"/>
        </w:rPr>
        <w:t xml:space="preserve">Exculpation and Indemnification. </w:t>
      </w:r>
      <w:r>
        <w:rPr>
          <w:rFonts w:ascii="Arial" w:cs="Arial" w:eastAsia="Arial" w:hAnsi="Arial"/>
          <w:sz w:val="16"/>
          <w:szCs w:val="16"/>
          <w:color w:val="auto"/>
        </w:rPr>
        <w:t>Notwithstanding any other provision of this Agreement, whether express or implied,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law, no Indemnitee shall be liable to the Company or any Member for any act or omission in relation to the Company or this Agreement or any transaction contemplated hereby taken or omitted by an Indemnitee unless such Indemnitee’s conduct constituted fraud, bad faith or willful misconduct. To the fullest extent permitted by law, as the same exists or hereafter be amended (but in the case of any such amendment, only to the extent that such amendment permits the Company to provide broader indemnification rights than such law permitted the Company to provide prior to such amendment), the Company shall indemnify any Indemnitee who was or is made or is threatened to be made a party to or is otherwise involved in any threatened, pending or completed action, suit or proceeding (brought in the right of the Company or otherwise), whether civil, criminal, administrative, arbitrative or investigative, and whether formal or informal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including appeals, by reason of his or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shall not be entitled to indemnification hereunder if, but only to the extent that, such Indemnitee’s conduct constituted fraud, bad faith or willful misconduct.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indemnify an Indemnitee in connection with any action, suit or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 The indemnification of an Indemnitee of the type identified in clause (e)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Arial" w:cs="Arial" w:eastAsia="Arial" w:hAnsi="Arial"/>
          <w:sz w:val="16"/>
          <w:szCs w:val="16"/>
          <w:b w:val="1"/>
          <w:bCs w:val="1"/>
          <w:i w:val="1"/>
          <w:iCs w:val="1"/>
          <w:color w:val="auto"/>
        </w:rPr>
        <w:t>Primary Indemnification</w:t>
      </w:r>
      <w:r>
        <w:rPr>
          <w:rFonts w:ascii="Arial" w:cs="Arial" w:eastAsia="Arial" w:hAnsi="Arial"/>
          <w:sz w:val="16"/>
          <w:szCs w:val="16"/>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Company. The indemnification of any other Indemnitee shall, to the extent not in conflict with such policy, be secondary to any and all payment to which such Indemnitee is entitled from any relevant insurance policy issued to or for the benefit of the Company or any Indemnitee.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60" w:top="274" w:right="479" w:bottom="1440" w:gutter="0" w:footer="0" w:header="0"/>
        </w:sectPr>
      </w:pPr>
    </w:p>
    <w:bookmarkStart w:id="248" w:name="page249"/>
    <w:bookmarkEnd w:id="248"/>
    <w:p>
      <w:pPr>
        <w:ind w:left="-20" w:right="20" w:firstLine="987"/>
        <w:spacing w:after="0" w:line="292" w:lineRule="auto"/>
        <w:tabs>
          <w:tab w:leader="none" w:pos="1226"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Advancement of Expenses. </w:t>
      </w:r>
      <w:r>
        <w:rPr>
          <w:rFonts w:ascii="Arial" w:cs="Arial" w:eastAsia="Arial" w:hAnsi="Arial"/>
          <w:sz w:val="16"/>
          <w:szCs w:val="16"/>
          <w:color w:val="auto"/>
        </w:rPr>
        <w:t>To the fullest extent permitted by law, the Company shall promptly pay reasonable expenses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otherwise.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pay expenses of an Indemnitee in connection with any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w:t>
      </w:r>
    </w:p>
    <w:p>
      <w:pPr>
        <w:spacing w:after="0" w:line="53" w:lineRule="exact"/>
        <w:rPr>
          <w:rFonts w:ascii="Arial" w:cs="Arial" w:eastAsia="Arial" w:hAnsi="Arial"/>
          <w:sz w:val="16"/>
          <w:szCs w:val="16"/>
          <w:color w:val="auto"/>
        </w:rPr>
      </w:pPr>
    </w:p>
    <w:p>
      <w:pPr>
        <w:ind w:left="-20" w:firstLine="987"/>
        <w:spacing w:after="0" w:line="258" w:lineRule="auto"/>
        <w:tabs>
          <w:tab w:leader="none" w:pos="1216"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Unpaid Claims. </w:t>
      </w:r>
      <w:r>
        <w:rPr>
          <w:rFonts w:ascii="Arial" w:cs="Arial" w:eastAsia="Arial" w:hAnsi="Arial"/>
          <w:sz w:val="18"/>
          <w:szCs w:val="18"/>
          <w:color w:val="auto"/>
        </w:rPr>
        <w:t>If a claim for indemnification (following the final disposition of such Proceeding) or advancement of expenses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is not paid in full within 30 days after a written claim therefor by any Indemnitee has been received by the Company, such Indemnitee may file proceedings to recover the unpaid amount of such claim and, if successful in whole or in part, shall be entitled to be paid the expense of prosecuting such claim. In any such action the Company shall have the burden of proving that such Indemnitee is not entitled to the requested indemnification or advancement of expenses under applicable Law.</w:t>
      </w:r>
    </w:p>
    <w:p>
      <w:pPr>
        <w:spacing w:after="0" w:line="75" w:lineRule="exact"/>
        <w:rPr>
          <w:rFonts w:ascii="Arial" w:cs="Arial" w:eastAsia="Arial" w:hAnsi="Arial"/>
          <w:sz w:val="18"/>
          <w:szCs w:val="18"/>
          <w:color w:val="auto"/>
        </w:rPr>
      </w:pPr>
    </w:p>
    <w:p>
      <w:pPr>
        <w:ind w:left="-20" w:right="260" w:firstLine="987"/>
        <w:spacing w:after="0" w:line="266" w:lineRule="auto"/>
        <w:tabs>
          <w:tab w:leader="none" w:pos="1226"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Insurance. (i) </w:t>
      </w:r>
      <w:r>
        <w:rPr>
          <w:rFonts w:ascii="Arial" w:cs="Arial" w:eastAsia="Arial" w:hAnsi="Arial"/>
          <w:sz w:val="18"/>
          <w:szCs w:val="18"/>
          <w:color w:val="auto"/>
        </w:rPr>
        <w:t>To the fullest extent permitted by law, the Company may purchase and maintain insurance on behalf of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against any liability asserted against such person, whether or not the Company would have the power to indemnify such person against such liability under the provisions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otherwise.</w:t>
      </w:r>
    </w:p>
    <w:p>
      <w:pPr>
        <w:spacing w:after="0" w:line="71" w:lineRule="exact"/>
        <w:rPr>
          <w:rFonts w:ascii="Arial" w:cs="Arial" w:eastAsia="Arial" w:hAnsi="Arial"/>
          <w:sz w:val="18"/>
          <w:szCs w:val="18"/>
          <w:color w:val="auto"/>
        </w:rPr>
      </w:pPr>
    </w:p>
    <w:p>
      <w:pPr>
        <w:ind w:left="420" w:right="20" w:firstLine="948"/>
        <w:spacing w:after="0" w:line="273" w:lineRule="auto"/>
        <w:tabs>
          <w:tab w:leader="none" w:pos="158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In the event of any payment by the Company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the Company shall be subrogated to the extent of such payment to all of the rights of recovery of the Indemnitee from any relevant other Person or under any insurance policy issued to or for the benefit of the Company, such relevant other Person, or any Indemnitee. Each Indemnitee agrees to execute all papers required and take all action necessary to secure such rights, including the execution of such documents as are necessary to enable the Company to bring suit to enforce any such rights in accordance with the terms of such insurance policy or other relevant document. The Company shall pay or reimburse all expenses actually and reasonably incurred by the Indemnitee in connection with such subrogation.</w:t>
      </w:r>
    </w:p>
    <w:p>
      <w:pPr>
        <w:spacing w:after="0" w:line="69" w:lineRule="exact"/>
        <w:rPr>
          <w:rFonts w:ascii="Arial" w:cs="Arial" w:eastAsia="Arial" w:hAnsi="Arial"/>
          <w:sz w:val="17"/>
          <w:szCs w:val="17"/>
          <w:color w:val="auto"/>
        </w:rPr>
      </w:pPr>
    </w:p>
    <w:p>
      <w:pPr>
        <w:ind w:left="420" w:right="200" w:firstLine="948"/>
        <w:spacing w:after="0" w:line="259" w:lineRule="auto"/>
        <w:tabs>
          <w:tab w:leader="none" w:pos="163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The Company shall not be liable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make any payment of amounts otherwise indemnifiable hereunder (including, but not limited to, judgments, fines and amounts paid in settlement, and excise taxes with respect to an employee benefit plan or penalties) if and to the extent that the applicable Indemnitee has otherwise actually received such payment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any insurance policy, contract, agreement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0" w:right="479" w:bottom="1440" w:gutter="0" w:footer="0" w:header="0"/>
        </w:sectPr>
      </w:pPr>
    </w:p>
    <w:bookmarkStart w:id="249" w:name="page250"/>
    <w:bookmarkEnd w:id="249"/>
    <w:p>
      <w:pPr>
        <w:ind w:left="4" w:right="40" w:firstLine="987"/>
        <w:spacing w:after="0" w:line="288" w:lineRule="auto"/>
        <w:tabs>
          <w:tab w:leader="none" w:pos="1240"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Non-Exclusivity of Rights. </w:t>
      </w:r>
      <w:r>
        <w:rPr>
          <w:rFonts w:ascii="Arial" w:cs="Arial" w:eastAsia="Arial" w:hAnsi="Arial"/>
          <w:sz w:val="16"/>
          <w:szCs w:val="16"/>
          <w:color w:val="auto"/>
        </w:rPr>
        <w:t>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10.02</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applicable to all actions, claims, suits or proceedings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commenced after the date of this Agreement, whether arising from acts or omissions to act occurring before or after its adoption. The provisions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deemed to be a contract between the Company and each person entitled to indemnification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legal representative thereof) who serves in such capacity at any time while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found to be invalid or limited in application by reason of any law or regulation, it shall not affect the validity of the remaining provisions hereof. The rights of indemnification provided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Company that indemnification of any person whom the Company is obligated to indemnify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shall be made to the fullest extent permitted by law.</w:t>
      </w:r>
    </w:p>
    <w:p>
      <w:pPr>
        <w:spacing w:after="0" w:line="16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18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shall not limit the right of the Company, to the extent and in the manner permitted by law, to indemnify and to advance expenses to, and purchase and maintain insurance on behalf of, persons other than persons 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EXCHANGE OF PAIRED INTERESTS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b w:val="1"/>
          <w:bCs w:val="1"/>
          <w:color w:val="auto"/>
        </w:rPr>
        <w:t>Exchange Procedure.</w:t>
      </w:r>
    </w:p>
    <w:p>
      <w:pPr>
        <w:spacing w:after="0" w:line="121" w:lineRule="exact"/>
        <w:rPr>
          <w:sz w:val="20"/>
          <w:szCs w:val="20"/>
          <w:color w:val="auto"/>
        </w:rPr>
      </w:pPr>
    </w:p>
    <w:p>
      <w:pPr>
        <w:ind w:left="4" w:right="60" w:firstLine="987"/>
        <w:spacing w:after="0" w:line="284" w:lineRule="auto"/>
        <w:tabs>
          <w:tab w:leader="none" w:pos="124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From and after 180 days following the date of the consummation of the transactions described in the Managing Member’s Registration Statement on Form S-4 (File No. [__]), each holder of Class B Units (other than the Managing Member)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shall be entitled, upon the terms and subject to the conditions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to surrender such Holder’s Paired Interests to the Company in exchange for the delivery of the Stock Exchange Payment or, at the election of the Managing Member, the Cash Exchange Payment (such exchange,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together with a Direct Exchange (as defined below), an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absent a waiver by the Managing Member, any such Exchange is for a minimum of the lesser of (i) [_____] Class B Units (which minimum shall be equitably adjusted in accordance with any adjustments to the Exchange Rate)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of the Class B Units held by such Holder.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0" w:right="459" w:bottom="1440" w:gutter="0" w:footer="0" w:header="0"/>
        </w:sectPr>
      </w:pPr>
    </w:p>
    <w:bookmarkStart w:id="250" w:name="page251"/>
    <w:bookmarkEnd w:id="250"/>
    <w:p>
      <w:pPr>
        <w:ind w:left="-20" w:firstLine="987"/>
        <w:spacing w:after="0" w:line="285" w:lineRule="auto"/>
        <w:tabs>
          <w:tab w:leader="none" w:pos="1226"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Holder shall exercise its right to make an Exchange as set forth in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by delivering to the Company, with a copy to the Managing Member, a written election of exchange in respect of the Paired Interests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 “</w:t>
      </w:r>
      <w:r>
        <w:rPr>
          <w:rFonts w:ascii="Arial" w:cs="Arial" w:eastAsia="Arial" w:hAnsi="Arial"/>
          <w:sz w:val="16"/>
          <w:szCs w:val="16"/>
          <w:b w:val="1"/>
          <w:bCs w:val="1"/>
          <w:i w:val="1"/>
          <w:iCs w:val="1"/>
          <w:color w:val="auto"/>
        </w:rPr>
        <w:t>Exchange Notice</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 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among other things, (i) the consummation of a purchase by another Person (whether in a tender or exchange offer, an underwritten offering or otherwise) of the shares of Class A Common Stock or Class C Common Stock into which the Exchanged Units are exchangeable, or contingent (including as to timing) upon the closing of an announced merger, consolidation or other transaction or event in which such shares of Class A Common Stock or Class C Common Stock would be exchanged or converted or become exchangeable for or convertible into, cash or other securities or property, (ii) the filing and substantially concurrent effectiveness of a resale registration statement if the applicable Holder possesses registration rights, and (iii) no Exchange Blackout Period being in effect on the Exchange Date. Notwithstanding anything to the contrary contained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if, in connection with an Exchange in accordance with this </w:t>
      </w:r>
      <w:r>
        <w:rPr>
          <w:rFonts w:ascii="Arial" w:cs="Arial" w:eastAsia="Arial" w:hAnsi="Arial"/>
          <w:sz w:val="16"/>
          <w:szCs w:val="16"/>
          <w:u w:val="single" w:color="auto"/>
          <w:color w:val="auto"/>
        </w:rPr>
        <w:t>Section 11.01</w:t>
      </w:r>
      <w:r>
        <w:rPr>
          <w:rFonts w:ascii="Arial" w:cs="Arial" w:eastAsia="Arial" w:hAnsi="Arial"/>
          <w:sz w:val="16"/>
          <w:szCs w:val="16"/>
          <w:color w:val="auto"/>
        </w:rPr>
        <w:t>, a filing is required under the HSR Act, then the Exchange Date with respect to all Exchanged Units which would be exchanged into shares of Class A Common Stock or Class C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Holder and the Managing Member agree to promptly take all actions required to make such filing under the HSR Act and the filing fee for such filing shall be paid by the Managing Member.</w:t>
      </w:r>
    </w:p>
    <w:p>
      <w:pPr>
        <w:spacing w:after="0" w:line="65" w:lineRule="exact"/>
        <w:rPr>
          <w:rFonts w:ascii="Arial" w:cs="Arial" w:eastAsia="Arial" w:hAnsi="Arial"/>
          <w:sz w:val="16"/>
          <w:szCs w:val="16"/>
          <w:color w:val="auto"/>
        </w:rPr>
      </w:pPr>
    </w:p>
    <w:p>
      <w:pPr>
        <w:ind w:left="-20" w:right="40" w:firstLine="987"/>
        <w:spacing w:after="0" w:line="275" w:lineRule="auto"/>
        <w:tabs>
          <w:tab w:leader="none" w:pos="121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Within three (3) Business Days of the giving of an Exchange Notice, the Managing Member, on behalf of the Company, may elect to settle all or a portion of the Exchange in cash in an amount equal to the Cash Exchange Payment (in lieu of shares of Class A Common Stock) by giving written notice of such election to the Exchanging Member within such three (3) Business Day period (such notice, the “</w:t>
      </w:r>
      <w:r>
        <w:rPr>
          <w:rFonts w:ascii="Arial" w:cs="Arial" w:eastAsia="Arial" w:hAnsi="Arial"/>
          <w:sz w:val="17"/>
          <w:szCs w:val="17"/>
          <w:b w:val="1"/>
          <w:bCs w:val="1"/>
          <w:i w:val="1"/>
          <w:iCs w:val="1"/>
          <w:color w:val="auto"/>
        </w:rPr>
        <w:t>Cash Exchange Notice</w:t>
      </w:r>
      <w:r>
        <w:rPr>
          <w:rFonts w:ascii="Arial" w:cs="Arial" w:eastAsia="Arial" w:hAnsi="Arial"/>
          <w:sz w:val="17"/>
          <w:szCs w:val="17"/>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68" w:lineRule="exact"/>
        <w:rPr>
          <w:rFonts w:ascii="Arial" w:cs="Arial" w:eastAsia="Arial" w:hAnsi="Arial"/>
          <w:sz w:val="17"/>
          <w:szCs w:val="17"/>
          <w:color w:val="auto"/>
        </w:rPr>
      </w:pPr>
    </w:p>
    <w:p>
      <w:pPr>
        <w:ind w:left="-20" w:right="20" w:firstLine="987"/>
        <w:spacing w:after="0" w:line="257" w:lineRule="auto"/>
        <w:tabs>
          <w:tab w:leader="none" w:pos="12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The Exchanging Member may elect to retract its Exchange Notice with respect to an Unrestricted Exchange by giving written notice of such election to the Company, with a copy to the Managing Member, no later than one Business Day prior to the Exchange Date. Subject to the last two sentences of this </w:t>
      </w:r>
      <w:r>
        <w:rPr>
          <w:rFonts w:ascii="Arial" w:cs="Arial" w:eastAsia="Arial" w:hAnsi="Arial"/>
          <w:sz w:val="18"/>
          <w:szCs w:val="18"/>
          <w:u w:val="single" w:color="auto"/>
          <w:color w:val="auto"/>
        </w:rPr>
        <w:t>Section 11.01(d)</w:t>
      </w:r>
      <w:r>
        <w:rPr>
          <w:rFonts w:ascii="Arial" w:cs="Arial" w:eastAsia="Arial" w:hAnsi="Arial"/>
          <w:sz w:val="18"/>
          <w:szCs w:val="18"/>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251" w:name="page252"/>
    <w:bookmarkEnd w:id="25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an Exchange Notice), the Exchanging Member may elect to retract its Exchange Notice by giving written notice of such election (a</w:t>
      </w:r>
    </w:p>
    <w:p>
      <w:pPr>
        <w:spacing w:after="0" w:line="35" w:lineRule="exact"/>
        <w:rPr>
          <w:sz w:val="20"/>
          <w:szCs w:val="20"/>
          <w:color w:val="auto"/>
        </w:rPr>
      </w:pPr>
    </w:p>
    <w:p>
      <w:pPr>
        <w:ind w:left="4" w:right="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Retraction Notice</w:t>
      </w:r>
      <w:r>
        <w:rPr>
          <w:rFonts w:ascii="Arial" w:cs="Arial" w:eastAsia="Arial" w:hAnsi="Arial"/>
          <w:sz w:val="17"/>
          <w:szCs w:val="17"/>
          <w:color w:val="auto"/>
        </w:rPr>
        <w:t xml:space="preserve">”) to the Company, with a copy to the Managing Member, no later than three Business Days prior to the Exchange Date. The giving of any notice pursuant to this </w:t>
      </w:r>
      <w:r>
        <w:rPr>
          <w:rFonts w:ascii="Arial" w:cs="Arial" w:eastAsia="Arial" w:hAnsi="Arial"/>
          <w:sz w:val="17"/>
          <w:szCs w:val="17"/>
          <w:u w:val="single" w:color="auto"/>
          <w:color w:val="auto"/>
        </w:rPr>
        <w:t>Section 11.01(d)</w:t>
      </w:r>
      <w:r>
        <w:rPr>
          <w:rFonts w:ascii="Arial" w:cs="Arial" w:eastAsia="Arial" w:hAnsi="Arial"/>
          <w:sz w:val="17"/>
          <w:szCs w:val="17"/>
          <w:color w:val="auto"/>
        </w:rPr>
        <w:t xml:space="preserve"> shall terminate all of the Exchanging Member’s, the Managing Member’s and the Company’s rights and obligations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arising from the retracted Exchange Notice (but not, for the avoidance of doubt, from any Exchange Notice not retracted or that may be delivered in the future). An Exchanging Member may deliver a Restricted Retraction Notice only once in every 12-month period (and any additional Restricted Retraction Notice delivered by such Exchanging Member within such 12-month period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pacing w:after="0" w:line="75" w:lineRule="exact"/>
        <w:rPr>
          <w:sz w:val="20"/>
          <w:szCs w:val="20"/>
          <w:color w:val="auto"/>
        </w:rPr>
      </w:pPr>
    </w:p>
    <w:p>
      <w:pPr>
        <w:ind w:left="4" w:right="20" w:firstLine="987"/>
        <w:spacing w:after="0" w:line="287" w:lineRule="auto"/>
        <w:tabs>
          <w:tab w:leader="none" w:pos="12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if the Managing Member closes an underwritten distribution of the shares of Class A Common Stock and the Members (other than, or in addition to, the Managing Member) were entitled to resell shares of Class A Common Stock in connection therewith (by the exercise by such Members of Exchange rights or otherwise) (a “</w:t>
      </w: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 xml:space="preserve">”), then the immediately succeeding Quarterly Exchange Date shall be automatically cancelled and of no force or effect (and no Member shall be entitled to exercise its Exchange right or deliver a Quarterly Exchange Date Notice with respect to an Exchange that is not an Unrestricted Exchange in respect of such Quarterly Exchange Date). 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or fewer and (ii) the Company and the Managing Member on shall not be deemed to have failed to comply with their respective obligations under the Investor Rights Agreement (as defined in the Business Combination Agreement) if a Secondary Offering cannot be undertaken due to the restriction set forth in the preceding clause (i).</w:t>
      </w:r>
    </w:p>
    <w:p>
      <w:pPr>
        <w:spacing w:after="0" w:line="6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color w:val="auto"/>
        </w:rPr>
        <w:t>Exchange Payment.</w:t>
      </w:r>
    </w:p>
    <w:p>
      <w:pPr>
        <w:spacing w:after="0" w:line="121" w:lineRule="exact"/>
        <w:rPr>
          <w:sz w:val="20"/>
          <w:szCs w:val="20"/>
          <w:color w:val="auto"/>
        </w:rPr>
      </w:pPr>
    </w:p>
    <w:p>
      <w:pPr>
        <w:ind w:left="1244" w:hanging="253"/>
        <w:spacing w:after="0"/>
        <w:tabs>
          <w:tab w:leader="none" w:pos="124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Exchange shall be consummated on the Exchange Date.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On the Exchange Date (to be effective immediately prior to the close of business on the Exchange Date), in the case of a Redemption,</w:t>
      </w:r>
    </w:p>
    <w:p>
      <w:pPr>
        <w:spacing w:after="0" w:line="46" w:lineRule="exact"/>
        <w:rPr>
          <w:rFonts w:ascii="Arial" w:cs="Arial" w:eastAsia="Arial" w:hAnsi="Arial"/>
          <w:sz w:val="16"/>
          <w:szCs w:val="16"/>
          <w:color w:val="auto"/>
        </w:rPr>
      </w:pPr>
    </w:p>
    <w:p>
      <w:pPr>
        <w:ind w:left="4" w:hanging="4"/>
        <w:spacing w:after="0" w:line="271" w:lineRule="auto"/>
        <w:tabs>
          <w:tab w:leader="none" w:pos="21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Managing Member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(provided that the Exchanging Member shall surrender the corresponding number of shares of Class B Common Stock or Class D Common Stock to the Managing Member and the Managing Member shall cancel such shares) free and clear of all liens and encumbrances, (iii) the Company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252" w:name="page253"/>
    <w:bookmarkEnd w:id="252"/>
    <w:p>
      <w:pPr>
        <w:ind w:left="4"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issue to the Managing Member a number of Class A Units equal to the number of Exchanged Units surrendered pursuant to clause (ii), (iv) solely to the extent necessary in connection with a Redemption, the Managing Member shall undertake all actions, including an issuance, reclassification, distribution, division or recapitalization, with respect to the Class A Common Stock to maintain a one-to-one ratio between the number of Class A Units owned by the Managing Member, directly or indirectly, and the number of outstanding shares of Class A Common Stock and Class C Common Stock, taking into account the issuance in clause (iii), any Stock Exchange Payment, and any other action taken in connection with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w:t>
      </w:r>
    </w:p>
    <w:p>
      <w:pPr>
        <w:spacing w:after="0" w:line="2" w:lineRule="exact"/>
        <w:rPr>
          <w:sz w:val="20"/>
          <w:szCs w:val="20"/>
          <w:color w:val="auto"/>
        </w:rPr>
      </w:pPr>
    </w:p>
    <w:p>
      <w:pPr>
        <w:ind w:left="4" w:right="320" w:hanging="4"/>
        <w:spacing w:after="0" w:line="260" w:lineRule="auto"/>
        <w:tabs>
          <w:tab w:leader="none" w:pos="25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Company shall (x) cancel the redeemed Exchanged Units and (y) transfer to the Exchanging Member the Cash Exchange Payment and/or the Stock Exchange Payment, as applicable.</w:t>
      </w:r>
    </w:p>
    <w:p>
      <w:pPr>
        <w:spacing w:after="0" w:line="77" w:lineRule="exact"/>
        <w:rPr>
          <w:rFonts w:ascii="Arial" w:cs="Arial" w:eastAsia="Arial" w:hAnsi="Arial"/>
          <w:sz w:val="18"/>
          <w:szCs w:val="18"/>
          <w:color w:val="auto"/>
        </w:rPr>
      </w:pPr>
    </w:p>
    <w:p>
      <w:pPr>
        <w:ind w:left="4" w:firstLine="987"/>
        <w:spacing w:after="0" w:line="269" w:lineRule="auto"/>
        <w:tabs>
          <w:tab w:leader="none" w:pos="12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On the Exchange Date (to be effective immediately prior to the close of business on the Exchange Date), in the case of a Direct Exchange, (i) the Managing Member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the Managing Member the Exchanged Units and the corresponding shares of Class B Common Stock or Class D Common Stock or any combination thereof (it being understood that the Managing Member shall cancel the surrendered shares of Class B Common Stock or Class D Common Stock), free and clear of all liens and encumbrances, and (iii) solely to the extent necessary in connection with a Direct Exchange, the Managing Member shall undertake all actions, including an issuance, reclassification, distribution, division or recapitalization, with respect to the shares of Class A Common Stock and Class C Common Stock to maintain a one-to-one ratio between the number of Class A Units owned by the Managing Member, directly or indirectly, and the number of outstanding shares of Class A Common Stock and Class C Common Stock, any Stock Exchange Payment, and any other action taken in connection with this </w:t>
      </w:r>
      <w:r>
        <w:rPr>
          <w:rFonts w:ascii="Arial" w:cs="Arial" w:eastAsia="Arial" w:hAnsi="Arial"/>
          <w:sz w:val="17"/>
          <w:szCs w:val="17"/>
          <w:u w:val="single" w:color="auto"/>
          <w:color w:val="auto"/>
        </w:rPr>
        <w:t>Section 11.02</w:t>
      </w:r>
      <w:r>
        <w:rPr>
          <w:rFonts w:ascii="Arial" w:cs="Arial" w:eastAsia="Arial" w:hAnsi="Arial"/>
          <w:sz w:val="17"/>
          <w:szCs w:val="17"/>
          <w:color w:val="auto"/>
        </w:rPr>
        <w:t>.</w:t>
      </w:r>
    </w:p>
    <w:p>
      <w:pPr>
        <w:spacing w:after="0" w:line="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b w:val="1"/>
          <w:bCs w:val="1"/>
          <w:color w:val="auto"/>
        </w:rPr>
        <w:t>Expenses and Restrictions.</w:t>
      </w:r>
    </w:p>
    <w:p>
      <w:pPr>
        <w:spacing w:after="0" w:line="121" w:lineRule="exact"/>
        <w:rPr>
          <w:sz w:val="20"/>
          <w:szCs w:val="20"/>
          <w:color w:val="auto"/>
        </w:rPr>
      </w:pPr>
    </w:p>
    <w:p>
      <w:pPr>
        <w:ind w:left="4" w:right="40" w:firstLine="987"/>
        <w:spacing w:after="0" w:line="272" w:lineRule="auto"/>
        <w:tabs>
          <w:tab w:leader="none" w:pos="12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Company, the Managing Member and each Exchanging Member shall bear its own expenses in connection with the consummation of any Exchange, whether or not any such Exchange is ultimately consummated, except that the Company shall bear transfer taxes, stamp taxes or duties, or other similar taxes in connection with, or arising by reason of, any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shares of Class A Common Stock are to be delivered in a name other than that of the Exchanging Member that requested the Exchange, then such Exchanging Member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69" w:lineRule="exact"/>
        <w:rPr>
          <w:rFonts w:ascii="Arial" w:cs="Arial" w:eastAsia="Arial" w:hAnsi="Arial"/>
          <w:sz w:val="17"/>
          <w:szCs w:val="17"/>
          <w:color w:val="auto"/>
        </w:rPr>
      </w:pPr>
    </w:p>
    <w:p>
      <w:pPr>
        <w:ind w:left="4" w:right="20" w:firstLine="987"/>
        <w:spacing w:after="0" w:line="259" w:lineRule="auto"/>
        <w:tabs>
          <w:tab w:leader="none" w:pos="125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Managing Member and the Company shall use commercially reasonable efforts to restrict issuances of Units in an amount sufficient for the Company to be eligible for the Private Placement Safe Harbor and, to the extent that the Managing Member or the Company determine that the Company does not meet the requirements of the Private Placement Safe Harbor at any point in any taxable year, the Managing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253" w:name="page254"/>
    <w:bookmarkEnd w:id="253"/>
    <w:p>
      <w:pPr>
        <w:ind w:left="4"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Member or the Company may impose such restrictions on Exchanges during such taxable year as the Managing Member or the Company may determine to be necessary or advisable so that the Company is not treated as a “publicly traded partnership” under Section 7704 of the Code. Notwithstanding anything to the contrary herein, no Exchange shall be permitted (and, if attempted, shall be void </w:t>
      </w:r>
      <w:r>
        <w:rPr>
          <w:rFonts w:ascii="Arial" w:cs="Arial" w:eastAsia="Arial" w:hAnsi="Arial"/>
          <w:sz w:val="18"/>
          <w:szCs w:val="18"/>
          <w:i w:val="1"/>
          <w:iCs w:val="1"/>
          <w:color w:val="auto"/>
        </w:rPr>
        <w:t>ab initio</w:t>
      </w:r>
      <w:r>
        <w:rPr>
          <w:rFonts w:ascii="Arial" w:cs="Arial" w:eastAsia="Arial" w:hAnsi="Arial"/>
          <w:sz w:val="18"/>
          <w:szCs w:val="18"/>
          <w:color w:val="auto"/>
        </w:rPr>
        <w:t>) if, in the good faith determination of the Managing Member or the Company, such an Exchange would pose a material risk that the Company would be a “publicly traded partnership” under Section 7704 of the Code.</w:t>
      </w:r>
    </w:p>
    <w:p>
      <w:pPr>
        <w:spacing w:after="0" w:line="80" w:lineRule="exact"/>
        <w:rPr>
          <w:sz w:val="20"/>
          <w:szCs w:val="20"/>
          <w:color w:val="auto"/>
        </w:rPr>
      </w:pPr>
    </w:p>
    <w:p>
      <w:pPr>
        <w:ind w:left="4" w:right="20" w:firstLine="987"/>
        <w:spacing w:after="0" w:line="287" w:lineRule="auto"/>
        <w:tabs>
          <w:tab w:leader="none" w:pos="12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For the avoidance of doubt, and notwithstanding anything to the contrary herein, a Holder shall not be entitled to effect an Exchange to the extent the Managing Member determines that such Exchange (i) would be prohibited by law or regulation (including, without limitation, the unavailability of any requisite registration statement filed under the Securities Act or any exemption from the registration requirements thereunder) or</w:t>
      </w:r>
    </w:p>
    <w:p>
      <w:pPr>
        <w:spacing w:after="0" w:line="2" w:lineRule="exact"/>
        <w:rPr>
          <w:rFonts w:ascii="Arial" w:cs="Arial" w:eastAsia="Arial" w:hAnsi="Arial"/>
          <w:sz w:val="16"/>
          <w:szCs w:val="16"/>
          <w:color w:val="auto"/>
        </w:rPr>
      </w:pPr>
    </w:p>
    <w:p>
      <w:pPr>
        <w:ind w:left="4" w:right="100" w:hanging="4"/>
        <w:spacing w:after="0" w:line="255" w:lineRule="auto"/>
        <w:tabs>
          <w:tab w:leader="none" w:pos="26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would otherwise not be permitted under this Agreement or any other agreements with the Managing Member or its subsidiaries to which such Holder may be party or any written policies of the Managing Member related to unlawful or inappropriate trading applicable to its directors, officers or other personnel.</w:t>
      </w:r>
    </w:p>
    <w:p>
      <w:pPr>
        <w:spacing w:after="0" w:line="81" w:lineRule="exact"/>
        <w:rPr>
          <w:rFonts w:ascii="Arial" w:cs="Arial" w:eastAsia="Arial" w:hAnsi="Arial"/>
          <w:sz w:val="18"/>
          <w:szCs w:val="18"/>
          <w:color w:val="auto"/>
        </w:rPr>
      </w:pPr>
    </w:p>
    <w:p>
      <w:pPr>
        <w:ind w:left="4" w:right="240" w:firstLine="987"/>
        <w:spacing w:after="0" w:line="277" w:lineRule="auto"/>
        <w:tabs>
          <w:tab w:leader="none" w:pos="125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The Managing Member may adopt reasonable procedures for the implementation of the exchange provisions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including, without limitation, procedures for the giving of notice of an election of exchange.</w:t>
      </w:r>
    </w:p>
    <w:p>
      <w:pPr>
        <w:spacing w:after="0" w:line="166"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b w:val="1"/>
          <w:bCs w:val="1"/>
          <w:color w:val="auto"/>
        </w:rPr>
        <w:t>Adjustment.</w:t>
      </w:r>
      <w:r>
        <w:rPr>
          <w:rFonts w:ascii="Arial" w:cs="Arial" w:eastAsia="Arial" w:hAnsi="Arial"/>
          <w:sz w:val="17"/>
          <w:szCs w:val="17"/>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shares of Class A Common Stock and the Class C Common Stock or (b) any subdivision (by any stock split, stock dividend or distribution, reclassification, reorganization, recapitalization or otherwise) or combination (by reverse stock split, reclassification, reorganization, recapitalization or otherwise) of the shares of Class A Common Stock and Class C Common Stock that is not accompanied by an identical subdivision or combination of the Class A Units, in each case, except in connection with any such action pursuant to Section 11.02(b)(iv). If there is any reclassification, reorganization, recapitalization or other similar transaction in which the shares Class A Common Stock or the Class C Common Stock are converted or changed into another security, securities or other property, then upon any subsequent Exchange, an exchanging Holder shall be entitled to receive the amount of such security, securities or other property that such exchanging 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Class B Unit.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254" w:name="page255"/>
    <w:bookmarkEnd w:id="25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11.05 </w:t>
      </w:r>
      <w:r>
        <w:rPr>
          <w:rFonts w:ascii="Arial" w:cs="Arial" w:eastAsia="Arial" w:hAnsi="Arial"/>
          <w:sz w:val="18"/>
          <w:szCs w:val="18"/>
          <w:b w:val="1"/>
          <w:bCs w:val="1"/>
          <w:color w:val="auto"/>
        </w:rPr>
        <w:t>Class A Common Stock and Class C Common Stock to be Issued.</w:t>
      </w:r>
    </w:p>
    <w:p>
      <w:pPr>
        <w:spacing w:after="0" w:line="121" w:lineRule="exact"/>
        <w:rPr>
          <w:sz w:val="20"/>
          <w:szCs w:val="20"/>
          <w:color w:val="auto"/>
        </w:rPr>
      </w:pPr>
    </w:p>
    <w:p>
      <w:pPr>
        <w:ind w:left="-20" w:right="20" w:firstLine="987"/>
        <w:spacing w:after="0" w:line="290" w:lineRule="auto"/>
        <w:tabs>
          <w:tab w:leader="none" w:pos="121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The Managing Member shall at all times reserve and keep available out of its authorized but unissued Class A Common Stock and Class C Common Stock, solely for the purpose of issuance upon an Exchange, such number of shares of Class A Common Stock and Class C Common Stock (as applicable) as may be deliverable upon any such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be construed to preclude the Company from satisfying its obligations in respect of the Exchange of the Exchanged Units by delivery of shares of Class A Common Stock or Class C Common Stock which are held in the treasury of the Managing Member or are held by the Company or any of their subsidiaries or by delivery of purchased shares of Class A Common Stock or Class C Common Stock (which may or may not be held in the treasury of the Managing Member or held by any subsidiary thereof), or by delivery of the Cash Exchange Payment. The Managing Member covenants that all shares of Class A Common Stock and Class C Common Stock issued upon an Exchange will, upon issuance, be validly issued, fully paid and non-assessable.</w:t>
      </w:r>
    </w:p>
    <w:p>
      <w:pPr>
        <w:spacing w:after="0" w:line="57" w:lineRule="exact"/>
        <w:rPr>
          <w:rFonts w:ascii="Arial" w:cs="Arial" w:eastAsia="Arial" w:hAnsi="Arial"/>
          <w:sz w:val="16"/>
          <w:szCs w:val="16"/>
          <w:color w:val="auto"/>
        </w:rPr>
      </w:pPr>
    </w:p>
    <w:p>
      <w:pPr>
        <w:ind w:left="-20" w:firstLine="987"/>
        <w:spacing w:after="0" w:line="254" w:lineRule="auto"/>
        <w:tabs>
          <w:tab w:leader="none" w:pos="12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Managing Member and the Company shall at all times ensure that the consummation by each of the Managing Member and the Company of the transactions contemplated by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without limitation, the issuance of shares of Class A Common Stock and Class C Common Stock) have been duly authorized by all necessary corporate or limited liability company action, as the case may be, on the part of the Managing Member and the Company, including, but not limited to, all actions necessary to ensure that the acquisition of shares of Class A Common Stock and Class C Common Stock pursuant to the transactions contemplated hereby, to the fullest extent of the Board’s power and authority and to the extent permitted by law, shall not be subject to the restrictions of any “moratorium,” “control share acquisition,” “business combination,” “fair price” or other form of anti-takeover laws and regulations of any jurisdiction that may purport to be applicable to this Agreement or the transactions contemplated by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20" w:firstLine="987"/>
        <w:spacing w:after="0" w:line="253" w:lineRule="auto"/>
        <w:tabs>
          <w:tab w:leader="none" w:pos="121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Managing Member and the Company agree that, to the extent that a registration statement under the Securities Act is effective and available for shares of Class A Common Stock to be delivered with respect to any Exchange, shares of Class A Common Stock that have been registered under the Securities Act shall be delivered in respect of such Exchange. In the event that any Exchange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is to be effected at a time when any required registration has not become effective or otherwise is unavailable, upon the request and with the reasonable cooperation of the Holder requesting such Exchange, the Managing Member and the Company shall use commercially reasonable efforts to promptly facilitate such Exchange pursuant to any reasonably available exemption from such registration requirements. The Managing Member shall use commercially reasonable efforts to list the shares of Class A Common Stock required to be delivered upon any Exchange prior to such delivery upon each national securities exchange or inter-dealer quotation system upon which the outstanding Class A Common Stock may be listed or traded at the time of such delivery.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60" w:top="270" w:right="479" w:bottom="1440" w:gutter="0" w:footer="0" w:header="0"/>
        </w:sectPr>
      </w:pPr>
    </w:p>
    <w:bookmarkStart w:id="255" w:name="page256"/>
    <w:bookmarkEnd w:id="255"/>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11.06 </w:t>
      </w:r>
      <w:r>
        <w:rPr>
          <w:rFonts w:ascii="Arial" w:cs="Arial" w:eastAsia="Arial" w:hAnsi="Arial"/>
          <w:sz w:val="16"/>
          <w:szCs w:val="16"/>
          <w:b w:val="1"/>
          <w:bCs w:val="1"/>
          <w:color w:val="auto"/>
        </w:rPr>
        <w:t>Direct Exchange.</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Managing Member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6"/>
          <w:szCs w:val="16"/>
          <w:u w:val="single" w:color="auto"/>
          <w:color w:val="auto"/>
        </w:rPr>
        <w:t>Section 11.02(c)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through a direct exchange of such Exchanged Units and with such consideration between the Exchanging Member and the Managing Member (a “</w:t>
      </w:r>
      <w:r>
        <w:rPr>
          <w:rFonts w:ascii="Arial" w:cs="Arial" w:eastAsia="Arial" w:hAnsi="Arial"/>
          <w:sz w:val="16"/>
          <w:szCs w:val="16"/>
          <w:b w:val="1"/>
          <w:bCs w:val="1"/>
          <w:i w:val="1"/>
          <w:iCs w:val="1"/>
          <w:color w:val="auto"/>
        </w:rPr>
        <w:t>Direct Exchange</w:t>
      </w:r>
      <w:r>
        <w:rPr>
          <w:rFonts w:ascii="Arial" w:cs="Arial" w:eastAsia="Arial" w:hAnsi="Arial"/>
          <w:sz w:val="16"/>
          <w:szCs w:val="16"/>
          <w:color w:val="auto"/>
        </w:rPr>
        <w:t xml:space="preserve">”). Upon such Direct Exchange pursuant to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the Managing Member shall acquire the Exchanged Units and shall be treated for all purposes of this Agreement as the owner of such Exchanged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election by the Managing Member shall not relieve the Company of its obligation arising with respect to the applicable Exchange Notice. The Managing Member may, at any time prior to an Exchange Date, deliver written notice (a “</w:t>
      </w:r>
      <w:r>
        <w:rPr>
          <w:rFonts w:ascii="Arial" w:cs="Arial" w:eastAsia="Arial" w:hAnsi="Arial"/>
          <w:sz w:val="16"/>
          <w:szCs w:val="16"/>
          <w:b w:val="1"/>
          <w:bCs w:val="1"/>
          <w:i w:val="1"/>
          <w:iCs w:val="1"/>
          <w:color w:val="auto"/>
        </w:rPr>
        <w:t>Direct Exchange Election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Company and the applicable Exchanging Member setting forth its election to exercise its right to consummate a Direct Exchange;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election does not prejudice the ability of the parties to consummate an Exchange or Direct Exchange on the Exchange Date. A Direct Exchange Election Notice may be revoked by the Managing Member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6"/>
          <w:szCs w:val="16"/>
          <w:u w:val="single" w:color="auto"/>
          <w:color w:val="auto"/>
        </w:rPr>
        <w:t>Section 11.06</w:t>
      </w:r>
      <w:r>
        <w:rPr>
          <w:rFonts w:ascii="Arial" w:cs="Arial" w:eastAsia="Arial" w:hAnsi="Arial"/>
          <w:sz w:val="16"/>
          <w:szCs w:val="16"/>
          <w:color w:val="auto"/>
        </w:rPr>
        <w:t>, a Direct Exchange shall be consummated pursuant to the same timeframe and in the same manner as the relevant Exchange would have been consummated had the Managing Member not delivered a Direct Exchange Election Notice.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b w:val="1"/>
          <w:bCs w:val="1"/>
          <w:color w:val="auto"/>
        </w:rPr>
        <w:t>Corporation Offer or Change of Control.</w:t>
      </w:r>
    </w:p>
    <w:p>
      <w:pPr>
        <w:spacing w:after="0" w:line="121" w:lineRule="exact"/>
        <w:rPr>
          <w:sz w:val="20"/>
          <w:szCs w:val="20"/>
          <w:color w:val="auto"/>
        </w:rPr>
      </w:pPr>
    </w:p>
    <w:p>
      <w:pPr>
        <w:ind w:right="20" w:firstLine="987"/>
        <w:spacing w:after="0" w:line="269" w:lineRule="auto"/>
        <w:tabs>
          <w:tab w:leader="none" w:pos="12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 the event that a tender offer, share exchange offer, issuer bid, take-over bid, recapitalization or similar transaction with respect to the shares of Class A Common Stock and Class C Common Stock (a “</w:t>
      </w:r>
      <w:r>
        <w:rPr>
          <w:rFonts w:ascii="Arial" w:cs="Arial" w:eastAsia="Arial" w:hAnsi="Arial"/>
          <w:sz w:val="17"/>
          <w:szCs w:val="17"/>
          <w:b w:val="1"/>
          <w:bCs w:val="1"/>
          <w:i w:val="1"/>
          <w:iCs w:val="1"/>
          <w:color w:val="auto"/>
        </w:rPr>
        <w:t>Corporation Offer</w:t>
      </w:r>
      <w:r>
        <w:rPr>
          <w:rFonts w:ascii="Arial" w:cs="Arial" w:eastAsia="Arial" w:hAnsi="Arial"/>
          <w:sz w:val="17"/>
          <w:szCs w:val="17"/>
          <w:color w:val="auto"/>
        </w:rPr>
        <w:t>”) is proposed by the Managing Member or is proposed to the Managing Member or its stockholders and approved by the Board or is otherwise effected or to be effected with the consent or approval of the Board or the Managing Member will undergo a Change of Control, the Holders shall be permitted to deliver an Exchange Notice (which Exchange Notice shall be effective immediately prior to the consummation of such Corporation Offer or Change of Control (and, for the avoidance of doubt, shall be contingent upon such Corporation Offer or Change of Control and not be effective if such Corporation Offer or Change of Control is not consummated)). In the case of a Corporation Offer proposed by the Managing Member, the Managing Member shall use its reasonable best efforts to expeditiously and in good faith take all such actions and do all such things as are necessary or desirable to enable and permit the Holders to participate in such Corporation Offer to the same extent or on an economically equivalent basis as the holders of shares of Class A Common Stock or Class C Common Stock without discrimination.</w:t>
      </w:r>
    </w:p>
    <w:p>
      <w:pPr>
        <w:spacing w:after="0" w:line="77" w:lineRule="exact"/>
        <w:rPr>
          <w:rFonts w:ascii="Arial" w:cs="Arial" w:eastAsia="Arial" w:hAnsi="Arial"/>
          <w:sz w:val="17"/>
          <w:szCs w:val="17"/>
          <w:color w:val="auto"/>
        </w:rPr>
      </w:pPr>
    </w:p>
    <w:p>
      <w:pPr>
        <w:ind w:right="200" w:firstLine="987"/>
        <w:spacing w:after="0" w:line="257"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Managing Member shall send written notice to the Company and the Holders at least 30 days prior to the closing of the transactions contemplated by any Corporation Offer or the date of Change of Control notifying them of their rights pursuant to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and setting forth (i) in the case of a Corporation Offer, (A) a copy of the written proposal or agreement pursuant to which such Corporation Offer will be effected, (B) the consideration payable in connection therewith, (C) the terms and conditions of transfer and payment and (D) the date and location of and procedures for selling Units or (B) in the case of a Change of Control, (A)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0" w:right="499" w:bottom="1440" w:gutter="0" w:footer="0" w:header="0"/>
        </w:sectPr>
      </w:pPr>
    </w:p>
    <w:bookmarkStart w:id="256" w:name="page257"/>
    <w:bookmarkEnd w:id="256"/>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event constituting such Change of Control, (B) the date of such Change of Control and (C) a copy of any written proposals or agreement relating thereto. In the event that the information set forth in such notice changes from that set forth in the initial notice, a subsequent notice shall be delivered by the Managing Member no less than seven days prior to the closing of the Corporation Offer or date of the Change of Control.</w:t>
      </w:r>
    </w:p>
    <w:p>
      <w:pPr>
        <w:spacing w:after="0" w:line="14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b w:val="1"/>
          <w:bCs w:val="1"/>
          <w:color w:val="auto"/>
        </w:rPr>
        <w:t>Specific Performance.</w:t>
      </w:r>
      <w:r>
        <w:rPr>
          <w:rFonts w:ascii="Arial" w:cs="Arial" w:eastAsia="Arial" w:hAnsi="Arial"/>
          <w:sz w:val="18"/>
          <w:szCs w:val="18"/>
          <w:color w:val="auto"/>
        </w:rPr>
        <w:t xml:space="preserve"> The Company and the Members (including the Managing Member) agree that irreparable damage would occur in the event that any of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18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b w:val="1"/>
          <w:bCs w:val="1"/>
          <w:color w:val="auto"/>
        </w:rPr>
        <w:t>Tax Treatment.</w:t>
      </w:r>
      <w:r>
        <w:rPr>
          <w:rFonts w:ascii="Arial" w:cs="Arial" w:eastAsia="Arial" w:hAnsi="Arial"/>
          <w:sz w:val="16"/>
          <w:szCs w:val="16"/>
          <w:color w:val="auto"/>
        </w:rPr>
        <w:t xml:space="preserve"> As required by the Code and the Treasury Regulations promulgated thereunder, the Managing Member, the Company and the applicable Exchange Member shall report any Exchange relating to such Exchange Member consummated hereunder as a taxable sale of the Exchanged Units (together with an equal number of shares of Class B Common Stock or Class D Common Stock) to the Managing Member in exchange for (a) the payment by the Managing Member of the Stock Exchange Payment, the Cash Exchange Payment, or other applicable consideration to the Exchanging Member and, if applicable, (b) corresponding payments under the Tax Receivable Agreement, and no such party shall take a contrary position on any income tax return, amendment thereof or communication with a taxing authority unless an alternate position is permitted under the Code and Treasury Regulations promulgated thereunder and the Managing Member consents in writing (such consent not to be unreasonably withheld, conditioned or delayed). Further, in connection with any Exchange consummated hereunder, the Company and/or the Managing Member shall use commercially reasonable efforts to provide the exchanging Holder with all reasonably necessary information to enable the exchanging Holder to file its income tax returns for the taxable year that includes such Exchange, including information with respect to Section 751 of the Code assets (including relevant information regarding “unrealized receivables” or “inventory items”) and Section 743(b) of the Code basis adjustments (in each case including estimates) as soon as reasonably practicable and in all events the Company and/or the Managing member shall provide such information within 90 days following the close of such taxable year. Within 30 days following the Exchange Date, the Managing Member shall deliver a Section 743 of the Code notification to the Company in accordance with Treasury Regulations Section 1.743-1(k)(2).</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The Managing Member and the Company shall be entitled to deduct and withhold from any payments made to an Exchanging Member pursuant to any Exchange consummated under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all Taxes that each of the Managing Member and the Company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Managing Member or the Company, as applicable, a certificate, dated as of the Exchange Date, in a form reasonably acceptable to the Managing Member, certifying as to such Exchanging Member’s taxpayer identification number and that such Exchanging Member is a not a foreign person for purposes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57" w:name="page258"/>
    <w:bookmarkEnd w:id="25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1445 and Section 1446(f) of the Code (which certificate may be an Internal Revenue Service Form W-9 if then sufficient for such purposes under applicable law) (such certificate, a “</w:t>
      </w:r>
      <w:r>
        <w:rPr>
          <w:rFonts w:ascii="Arial" w:cs="Arial" w:eastAsia="Arial" w:hAnsi="Arial"/>
          <w:sz w:val="17"/>
          <w:szCs w:val="17"/>
          <w:b w:val="1"/>
          <w:bCs w:val="1"/>
          <w:i w:val="1"/>
          <w:iCs w:val="1"/>
          <w:color w:val="auto"/>
        </w:rPr>
        <w:t>Non-Foreign Person Certificate</w:t>
      </w:r>
      <w:r>
        <w:rPr>
          <w:rFonts w:ascii="Arial" w:cs="Arial" w:eastAsia="Arial" w:hAnsi="Arial"/>
          <w:sz w:val="17"/>
          <w:szCs w:val="17"/>
          <w:color w:val="auto"/>
        </w:rPr>
        <w:t>”). If an Exchanging Member is unable to provide a Non-Foreign Person Certificate in connection with an Exchange, then (a) such Exchanging Member shall provide a certificate substantially in the form described in Treasury Regulations Section 1.1446(f)-2(c)(2)(ii)(B) or (b) the Company shall deliver a certificate reasonably acceptable to the Managing Member and substantially in the form described in Treasury Regulations Section 1.1446(f)-2(c)(2)(ii)(C), in each case, setting forth the liabilities of the Company allocated to the Exchanged Units subject to the Exchange under Section 752 of the Code, and the Managing Member or the Company, as applicable, shall be permitted to withhold on the amount realized by such Exchanging Member in respect of such Exchange as provided in Section 1446(f) of the Code and the Treasury Regulations promulgated thereunder. The Managing Member or the Company, as applicable, may at their sole discretion reduce the number of shares of Class A Common Stock or Class C Common Stock issued to a Holder in an Exchange in an amount that corresponds to the amount of the required withholding described in the immediately preceding sentence and all such amounts shall be treated as having been paid to such Holder.</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b w:val="1"/>
          <w:bCs w:val="1"/>
          <w:color w:val="auto"/>
        </w:rPr>
        <w:t>Independent Nature of Holders’ Rights and Obligations.</w:t>
      </w:r>
      <w:r>
        <w:rPr>
          <w:rFonts w:ascii="Arial" w:cs="Arial" w:eastAsia="Arial" w:hAnsi="Arial"/>
          <w:sz w:val="17"/>
          <w:szCs w:val="17"/>
          <w:color w:val="auto"/>
        </w:rPr>
        <w:t xml:space="preserve"> The obligations of each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are several and not joint with the obligations of any other Holder, and no Holder shall be responsible in any way for the performance of the obligations of any other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decision of each Holder to enter into this Agreement has been made by such Holder independently of any other Holder. Nothing contained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no action taken by any Holder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deemed to constitute the Holders as a partnership, an association, a joint venture or any other kind of entity, or create a presumption that the Holders are in any way acting in concert or as a group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Managing Member acknowledges that the Holders are not acting in concert or as a group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Managing Member agrees that it shall not assert any such claim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79"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requests, claims, demands and other communications hereunder shall be in writing and shall be given (and 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58" w:name="page259"/>
    <w:bookmarkEnd w:id="258"/>
    <w:p>
      <w:pPr>
        <w:ind w:left="1420" w:right="7920" w:hanging="439"/>
        <w:spacing w:after="0" w:line="258" w:lineRule="auto"/>
        <w:tabs>
          <w:tab w:leader="none" w:pos="1405"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 Opal Fuels LLC</w:t>
      </w:r>
    </w:p>
    <w:p>
      <w:pPr>
        <w:spacing w:after="0" w:line="1" w:lineRule="exact"/>
        <w:rPr>
          <w:rFonts w:ascii="Arial" w:cs="Arial" w:eastAsia="Arial" w:hAnsi="Arial"/>
          <w:sz w:val="18"/>
          <w:szCs w:val="18"/>
          <w:color w:val="auto"/>
        </w:rPr>
      </w:pPr>
    </w:p>
    <w:p>
      <w:pPr>
        <w:ind w:left="1420" w:right="644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(14th Floor) White Plains, New York 10601</w:t>
      </w:r>
    </w:p>
    <w:p>
      <w:pPr>
        <w:ind w:left="1420"/>
        <w:spacing w:after="0"/>
        <w:rPr>
          <w:rFonts w:ascii="Arial" w:cs="Arial" w:eastAsia="Arial" w:hAnsi="Arial"/>
          <w:sz w:val="18"/>
          <w:szCs w:val="18"/>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Chief Financial Officer</w:t>
      </w:r>
    </w:p>
    <w:p>
      <w:pPr>
        <w:spacing w:after="0" w:line="116" w:lineRule="exact"/>
        <w:rPr>
          <w:sz w:val="20"/>
          <w:szCs w:val="20"/>
          <w:color w:val="auto"/>
        </w:rPr>
      </w:pPr>
    </w:p>
    <w:p>
      <w:pPr>
        <w:ind w:left="1420" w:hanging="439"/>
        <w:spacing w:after="0"/>
        <w:tabs>
          <w:tab w:leader="none" w:pos="14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to any Member, to such Member</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at the address of such Member as set forth on </w:t>
      </w:r>
      <w:r>
        <w:rPr>
          <w:rFonts w:ascii="Arial" w:cs="Arial" w:eastAsia="Arial" w:hAnsi="Arial"/>
          <w:sz w:val="18"/>
          <w:szCs w:val="18"/>
          <w:b w:val="1"/>
          <w:bCs w:val="1"/>
          <w:color w:val="auto"/>
        </w:rPr>
        <w:t>Exhibit A</w:t>
      </w:r>
    </w:p>
    <w:p>
      <w:pPr>
        <w:spacing w:after="0" w:line="9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b w:val="1"/>
          <w:bCs w:val="1"/>
          <w:color w:val="auto"/>
        </w:rPr>
        <w:t>Cumulative Remedies.</w:t>
      </w:r>
      <w:r>
        <w:rPr>
          <w:rFonts w:ascii="Arial" w:cs="Arial" w:eastAsia="Arial" w:hAnsi="Arial"/>
          <w:sz w:val="18"/>
          <w:szCs w:val="18"/>
          <w:color w:val="auto"/>
        </w:rPr>
        <w:t xml:space="preserve">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w:t>
      </w:r>
    </w:p>
    <w:p>
      <w:pPr>
        <w:spacing w:after="0" w:line="68"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 xml:space="preserve">12.04 </w:t>
      </w:r>
      <w:r>
        <w:rPr>
          <w:rFonts w:ascii="Arial" w:cs="Arial" w:eastAsia="Arial" w:hAnsi="Arial"/>
          <w:sz w:val="18"/>
          <w:szCs w:val="18"/>
          <w:b w:val="1"/>
          <w:bCs w:val="1"/>
          <w:color w:val="auto"/>
        </w:rPr>
        <w:t>Binding Effect.</w:t>
      </w:r>
      <w:r>
        <w:rPr>
          <w:rFonts w:ascii="Arial" w:cs="Arial" w:eastAsia="Arial" w:hAnsi="Arial"/>
          <w:sz w:val="18"/>
          <w:szCs w:val="18"/>
          <w:color w:val="auto"/>
        </w:rPr>
        <w:t xml:space="preserve"> This Agreement shall be binding upon and inure to the benefit of all of the parties and, to the extent permitted by this Agreement, their successors, executors, administrators, heirs, legal representatives and assigns.</w:t>
      </w:r>
    </w:p>
    <w:p>
      <w:pPr>
        <w:spacing w:after="0" w:line="54"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b w:val="1"/>
          <w:bCs w:val="1"/>
          <w:color w:val="auto"/>
        </w:rPr>
        <w:t>Interpretation.</w:t>
      </w:r>
      <w:r>
        <w:rPr>
          <w:rFonts w:ascii="Arial" w:cs="Arial" w:eastAsia="Arial" w:hAnsi="Arial"/>
          <w:sz w:val="18"/>
          <w:szCs w:val="18"/>
          <w:color w:val="auto"/>
        </w:rPr>
        <w:t xml:space="preserve">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w:t>
      </w:r>
    </w:p>
    <w:p>
      <w:pPr>
        <w:spacing w:after="0" w:line="72" w:lineRule="exact"/>
        <w:rPr>
          <w:sz w:val="20"/>
          <w:szCs w:val="20"/>
          <w:color w:val="auto"/>
        </w:rPr>
      </w:pPr>
    </w:p>
    <w:p>
      <w:pPr>
        <w:ind w:left="440" w:right="20"/>
        <w:spacing w:after="0" w:line="255" w:lineRule="auto"/>
        <w:rPr>
          <w:sz w:val="20"/>
          <w:szCs w:val="20"/>
          <w:color w:val="auto"/>
        </w:rPr>
      </w:pPr>
      <w:r>
        <w:rPr>
          <w:rFonts w:ascii="Arial" w:cs="Arial" w:eastAsia="Arial" w:hAnsi="Arial"/>
          <w:sz w:val="18"/>
          <w:szCs w:val="18"/>
          <w:color w:val="auto"/>
        </w:rPr>
        <w:t>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440" w:top="274" w:right="539" w:bottom="1440" w:gutter="0" w:footer="0" w:header="0"/>
        </w:sectPr>
      </w:pPr>
    </w:p>
    <w:bookmarkStart w:id="259" w:name="page260"/>
    <w:bookmarkEnd w:id="259"/>
    <w:p>
      <w:pPr>
        <w:ind w:left="4" w:right="8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12.06 </w:t>
      </w:r>
      <w:r>
        <w:rPr>
          <w:rFonts w:ascii="Arial" w:cs="Arial" w:eastAsia="Arial" w:hAnsi="Arial"/>
          <w:sz w:val="17"/>
          <w:szCs w:val="17"/>
          <w:b w:val="1"/>
          <w:bCs w:val="1"/>
          <w:color w:val="auto"/>
        </w:rPr>
        <w:t>Counterparts.</w:t>
      </w:r>
      <w:r>
        <w:rPr>
          <w:rFonts w:ascii="Arial" w:cs="Arial" w:eastAsia="Arial" w:hAnsi="Arial"/>
          <w:sz w:val="17"/>
          <w:szCs w:val="17"/>
          <w:color w:val="auto"/>
        </w:rPr>
        <w:t xml:space="preserve"> This Agreement may be executed and delivered (including by email or facsimile transmission)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w:t>
      </w:r>
    </w:p>
    <w:p>
      <w:pPr>
        <w:spacing w:after="0" w:line="57" w:lineRule="exact"/>
        <w:rPr>
          <w:sz w:val="20"/>
          <w:szCs w:val="20"/>
          <w:color w:val="auto"/>
        </w:rPr>
      </w:pPr>
    </w:p>
    <w:p>
      <w:pPr>
        <w:ind w:left="4" w:right="580" w:firstLine="440"/>
        <w:spacing w:after="0" w:line="314" w:lineRule="auto"/>
        <w:rPr>
          <w:sz w:val="20"/>
          <w:szCs w:val="20"/>
          <w:color w:val="auto"/>
        </w:rPr>
      </w:pPr>
      <w:r>
        <w:rPr>
          <w:rFonts w:ascii="Arial" w:cs="Arial" w:eastAsia="Arial" w:hAnsi="Arial"/>
          <w:sz w:val="16"/>
          <w:szCs w:val="16"/>
          <w:color w:val="auto"/>
        </w:rPr>
        <w:t xml:space="preserve">12.07 </w:t>
      </w:r>
      <w:r>
        <w:rPr>
          <w:rFonts w:ascii="Arial" w:cs="Arial" w:eastAsia="Arial" w:hAnsi="Arial"/>
          <w:sz w:val="16"/>
          <w:szCs w:val="16"/>
          <w:b w:val="1"/>
          <w:bCs w:val="1"/>
          <w:color w:val="auto"/>
        </w:rPr>
        <w:t>Further Assurances.</w:t>
      </w:r>
      <w:r>
        <w:rPr>
          <w:rFonts w:ascii="Arial" w:cs="Arial" w:eastAsia="Arial" w:hAnsi="Arial"/>
          <w:sz w:val="16"/>
          <w:szCs w:val="16"/>
          <w:color w:val="auto"/>
        </w:rPr>
        <w:t xml:space="preserve"> Each Member shall perform all other acts and execute and deliver all other documents as may be necessary or appropriate to carry out the purposes and intent of this Agreement. In the event of any conflict between this Agreement and any Certificate of Designations, unless otherwise expressly set forth in such Certificate of Designations, the Certificate of Designations shall control.</w:t>
      </w:r>
    </w:p>
    <w:p>
      <w:pPr>
        <w:spacing w:after="0" w:line="34" w:lineRule="exact"/>
        <w:rPr>
          <w:sz w:val="20"/>
          <w:szCs w:val="20"/>
          <w:color w:val="auto"/>
        </w:rPr>
      </w:pPr>
    </w:p>
    <w:p>
      <w:pPr>
        <w:jc w:val="both"/>
        <w:ind w:left="4" w:right="380" w:firstLine="440"/>
        <w:spacing w:after="0" w:line="266" w:lineRule="auto"/>
        <w:rPr>
          <w:sz w:val="20"/>
          <w:szCs w:val="20"/>
          <w:color w:val="auto"/>
        </w:rPr>
      </w:pPr>
      <w:r>
        <w:rPr>
          <w:rFonts w:ascii="Arial" w:cs="Arial" w:eastAsia="Arial" w:hAnsi="Arial"/>
          <w:sz w:val="18"/>
          <w:szCs w:val="18"/>
          <w:color w:val="auto"/>
        </w:rPr>
        <w:t xml:space="preserve">12.08 </w:t>
      </w:r>
      <w:r>
        <w:rPr>
          <w:rFonts w:ascii="Arial" w:cs="Arial" w:eastAsia="Arial" w:hAnsi="Arial"/>
          <w:sz w:val="18"/>
          <w:szCs w:val="18"/>
          <w:b w:val="1"/>
          <w:bCs w:val="1"/>
          <w:color w:val="auto"/>
        </w:rPr>
        <w:t>Entire Agreement; Construction.</w:t>
      </w:r>
      <w:r>
        <w:rPr>
          <w:rFonts w:ascii="Arial" w:cs="Arial" w:eastAsia="Arial" w:hAnsi="Arial"/>
          <w:sz w:val="18"/>
          <w:szCs w:val="18"/>
          <w:color w:val="auto"/>
        </w:rPr>
        <w:t xml:space="preserve"> This Agreement constitutes the entire agreement among the parties hereto pertaining to the subject matter hereof and supersedes all prior agreements and understandings, whether oral or written, pertaining thereto (including, without limitation, the Existing Agreement).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12.09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shall be governed by, and construed in accordance with, the law of the State of Delaware.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Submission to Jurisdiction; Waiver of Jury Trial.</w:t>
      </w:r>
    </w:p>
    <w:p>
      <w:pPr>
        <w:spacing w:after="0" w:line="121" w:lineRule="exact"/>
        <w:rPr>
          <w:sz w:val="20"/>
          <w:szCs w:val="20"/>
          <w:color w:val="auto"/>
        </w:rPr>
      </w:pPr>
    </w:p>
    <w:p>
      <w:pPr>
        <w:ind w:left="4" w:firstLine="987"/>
        <w:spacing w:after="0" w:line="282" w:lineRule="auto"/>
        <w:tabs>
          <w:tab w:leader="none" w:pos="12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Any and all disputes which cannot be settled amicably with respect to this Agreement, including any action (at law or in equity), claim, litigation, suit, arbitration, hearing, audit, review, inquiry, proceeding or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6"/>
          <w:szCs w:val="16"/>
          <w:u w:val="single" w:color="auto"/>
          <w:color w:val="auto"/>
        </w:rPr>
        <w:t>Section 12.10</w:t>
      </w:r>
      <w:r>
        <w:rPr>
          <w:rFonts w:ascii="Arial" w:cs="Arial" w:eastAsia="Arial" w:hAnsi="Arial"/>
          <w:sz w:val="16"/>
          <w:szCs w:val="16"/>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1" w:lineRule="exact"/>
        <w:rPr>
          <w:rFonts w:ascii="Arial" w:cs="Arial" w:eastAsia="Arial" w:hAnsi="Arial"/>
          <w:sz w:val="16"/>
          <w:szCs w:val="16"/>
          <w:color w:val="auto"/>
        </w:rPr>
      </w:pPr>
    </w:p>
    <w:p>
      <w:pPr>
        <w:ind w:left="304" w:hanging="304"/>
        <w:spacing w:after="0"/>
        <w:tabs>
          <w:tab w:leader="none" w:pos="30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to the laying of venue of any of the aforesaid actions arising out of or in connection with this Agreement brought in the courts referred to above;</w:t>
      </w:r>
    </w:p>
    <w:p>
      <w:pPr>
        <w:spacing w:after="0" w:line="32" w:lineRule="exact"/>
        <w:rPr>
          <w:rFonts w:ascii="Arial" w:cs="Arial" w:eastAsia="Arial" w:hAnsi="Arial"/>
          <w:sz w:val="16"/>
          <w:szCs w:val="16"/>
          <w:color w:val="auto"/>
        </w:rPr>
      </w:pPr>
    </w:p>
    <w:p>
      <w:pPr>
        <w:ind w:left="4" w:right="240" w:hanging="4"/>
        <w:spacing w:after="0" w:line="260" w:lineRule="auto"/>
        <w:tabs>
          <w:tab w:leader="none" w:pos="28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such action brought in any such court has been brought in an inconvenient forum and (C) that this Agreement, or the subject matter hereof or thereof, may not be enforced in or by such courts.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0" w:right="479" w:bottom="1440" w:gutter="0" w:footer="0" w:header="0"/>
        </w:sectPr>
      </w:pPr>
    </w:p>
    <w:bookmarkStart w:id="260" w:name="page261"/>
    <w:bookmarkEnd w:id="260"/>
    <w:p>
      <w:pPr>
        <w:ind w:right="200" w:firstLine="987"/>
        <w:spacing w:after="0" w:line="311" w:lineRule="auto"/>
        <w:tabs>
          <w:tab w:leader="none" w:pos="1246"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40" w:lineRule="exact"/>
        <w:rPr>
          <w:rFonts w:ascii="Arial" w:cs="Arial" w:eastAsia="Arial" w:hAnsi="Arial"/>
          <w:sz w:val="16"/>
          <w:szCs w:val="16"/>
          <w:color w:val="auto"/>
        </w:rPr>
      </w:pPr>
    </w:p>
    <w:p>
      <w:pPr>
        <w:ind w:right="280" w:firstLine="987"/>
        <w:spacing w:after="0" w:line="259" w:lineRule="auto"/>
        <w:tabs>
          <w:tab w:leader="none" w:pos="123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8"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Except as otherwise specified in this Agreement, the Company shall be responsible for all costs and expenses, including, without limitation, fees and disbursements of counsel, financial advisors and accountants, incurred by the Members and the Company in connection with the preparation, negotiation, and operation of this Agreement.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right="80" w:firstLine="987"/>
        <w:spacing w:after="0" w:line="290" w:lineRule="auto"/>
        <w:tabs>
          <w:tab w:leader="none" w:pos="123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This Agreement (including the Annexes hereto) may be amended, supplemented, waived or modified by the Managing Member in its sole discretion without the approval of any other Member or other Person so long as such amendment is executed and delivered to the Company by the Original Member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(x) the Series A Preferred Units are converted into Class B Units pursuant to the terms of the applicable Certificate of Designations and (y) the holders of such converted Series A Preferred Units hold a majority of the outstanding Class A Units and Class B Units combined (such holders, the “</w:t>
      </w:r>
      <w:r>
        <w:rPr>
          <w:rFonts w:ascii="Arial" w:cs="Arial" w:eastAsia="Arial" w:hAnsi="Arial"/>
          <w:sz w:val="16"/>
          <w:szCs w:val="16"/>
          <w:b w:val="1"/>
          <w:bCs w:val="1"/>
          <w:i w:val="1"/>
          <w:iCs w:val="1"/>
          <w:color w:val="auto"/>
        </w:rPr>
        <w:t>Converted Series A Holders</w:t>
      </w:r>
      <w:r>
        <w:rPr>
          <w:rFonts w:ascii="Arial" w:cs="Arial" w:eastAsia="Arial" w:hAnsi="Arial"/>
          <w:sz w:val="16"/>
          <w:szCs w:val="16"/>
          <w:color w:val="auto"/>
        </w:rPr>
        <w:t>”), then (A) the execution and delivery to the Company of any amendment, supplement, waiver or modification by the Converted Series A Holders shall be required (except as otherwise expressly set forth in this Agreement) and (B) the execution and the execution and delivery by the Original Member Representative shall only be required with respect to any amendment, supplement, waiver or modification which amends, supplements, waives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74" w:right="499" w:bottom="1440" w:gutter="0" w:footer="0" w:header="0"/>
        </w:sectPr>
      </w:pPr>
    </w:p>
    <w:bookmarkStart w:id="261" w:name="page262"/>
    <w:bookmarkEnd w:id="2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modifies the rights and privileges of the Original Member Representative as set forth in </w:t>
      </w:r>
      <w:r>
        <w:rPr>
          <w:rFonts w:ascii="Arial" w:cs="Arial" w:eastAsia="Arial" w:hAnsi="Arial"/>
          <w:sz w:val="16"/>
          <w:szCs w:val="16"/>
          <w:u w:val="single" w:color="auto"/>
          <w:color w:val="auto"/>
        </w:rPr>
        <w:t>Sections 5.06</w:t>
      </w:r>
      <w:r>
        <w:rPr>
          <w:rFonts w:ascii="Arial" w:cs="Arial" w:eastAsia="Arial" w:hAnsi="Arial"/>
          <w:sz w:val="16"/>
          <w:szCs w:val="16"/>
          <w:color w:val="auto"/>
        </w:rPr>
        <w:t xml:space="preserve">, </w:t>
      </w:r>
      <w:r>
        <w:rPr>
          <w:rFonts w:ascii="Arial" w:cs="Arial" w:eastAsia="Arial" w:hAnsi="Arial"/>
          <w:sz w:val="16"/>
          <w:szCs w:val="16"/>
          <w:u w:val="single" w:color="auto"/>
          <w:color w:val="auto"/>
        </w:rPr>
        <w:t>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8.10</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(i) the Managing Member may, without the written consent of any Member or any other Person, amend, supplement, waive or modify any provision of this Agreement, and execute, swear to, acknowledge, deliver, file and record whatever documents may be required in connection therewith, to reflect: (1) any amendment, supplement, waiver or modification that the Managing Member determines in its reasonable discretion to be necessary or appropriate in connection with the creation, authorization or issuance of Units or any Class of equity interest in the Company pursuant to Section 7.01(b) hereof; (2) the admission, substitution, or withdrawal of Members in accordance with this Agreement, pursuant to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hereof; (3) a change in the name of the Company, the location of the principal place of business of the Company, the registered agent of the Company or the registered office of the Company; (4) any amendment, supplement, waiver or modification that the Managing Member determines in its reasonable discretion to be necessary or appropriate to address changes in U.S. federal income tax regulations, legislation or interpretation; and/or (5) a change in the Fiscal Year or taxable year of the Company and any other changes that the Managing Member determines to be necessary or appropriate as a result of a change in the Fiscal Year or taxable year of the Company including a change in the dates on which distributions are to be made by the Company and (ii) Article XI of this Agreement may be amended or modified, in whole or in part, only with the written consent of the Managing Member and the Members holding at least a majority of the then outstanding Vested Class B Units. Notwithstanding the foregoing, no amendment, including any amendment effected by way of merger, consolidation or transfer of all or substantially all the assets of the Company, may materially and adversely affect the rights of a Class without the consent of a majority in interest of such Class.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 Notwithstanding the foregoing and any other provision of this Agreement, this Agreement (including the Annexes hereto) may not be amended, supplemented, waived or modified, including any amendment effected by way of merger, consolidation or transfer of all or substantially all the assets of the Company and its Subsidiaries, in a manner that requires the approval of the holders of any Class created pursuant to a Certificate of Designations unless such approval is first obtained.</w:t>
      </w:r>
    </w:p>
    <w:p>
      <w:pPr>
        <w:spacing w:after="0" w:line="72" w:lineRule="exact"/>
        <w:rPr>
          <w:sz w:val="20"/>
          <w:szCs w:val="20"/>
          <w:color w:val="auto"/>
        </w:rPr>
      </w:pPr>
    </w:p>
    <w:p>
      <w:pPr>
        <w:ind w:right="120" w:firstLine="987"/>
        <w:spacing w:after="0" w:line="259" w:lineRule="auto"/>
        <w:tabs>
          <w:tab w:leader="none" w:pos="12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78" w:lineRule="exact"/>
        <w:rPr>
          <w:rFonts w:ascii="Arial" w:cs="Arial" w:eastAsia="Arial" w:hAnsi="Arial"/>
          <w:sz w:val="18"/>
          <w:szCs w:val="18"/>
          <w:color w:val="auto"/>
        </w:rPr>
      </w:pPr>
    </w:p>
    <w:p>
      <w:pPr>
        <w:ind w:right="140" w:firstLine="987"/>
        <w:spacing w:after="0" w:line="259" w:lineRule="auto"/>
        <w:tabs>
          <w:tab w:leader="none" w:pos="123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Notwithstanding the requirements of </w:t>
      </w:r>
      <w:r>
        <w:rPr>
          <w:rFonts w:ascii="Arial" w:cs="Arial" w:eastAsia="Arial" w:hAnsi="Arial"/>
          <w:sz w:val="18"/>
          <w:szCs w:val="18"/>
          <w:u w:val="single" w:color="auto"/>
          <w:color w:val="auto"/>
        </w:rPr>
        <w:t>Section 12.12(a)</w:t>
      </w:r>
      <w:r>
        <w:rPr>
          <w:rFonts w:ascii="Arial" w:cs="Arial" w:eastAsia="Arial" w:hAnsi="Arial"/>
          <w:sz w:val="18"/>
          <w:szCs w:val="18"/>
          <w:color w:val="auto"/>
        </w:rPr>
        <w:t>, the Managing Member may, in its sole discretion, unilaterally amend this Agreement on or before the effective date of the final regulations to provide for (i) the election of a safe harbor under Proposed Treasury Regulations Section 1.83-3(l) (or any similar provision) under which the fair market value of a Company interest (or interest in an entity treated as a partnership for U.S. federal income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62" w:name="page263"/>
    <w:bookmarkEnd w:id="262"/>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that is transferred is treated as being equal to the liquidation value of that interest, (ii) an agreement by the Company and each of its Members to comply with all of the requirements set forth in such regulations and Notice 2005-43 (and any other guidance provided by the Internal Revenue Service with respect to such election) with respect to all Company interests (or interest in an entity treated as a partnership for U.S. federal income tax purposes) transferred in connection with the performance of services while the election remains effective, (iii) the allocation of items of income, gains, deductions and losses required by the final regulations similar to Proposed Treasury Regulations Section 1.704-1(b)(4)(xii)(b) and (c), 1.704-1(b)(2)(iv)(b)(1) and any other related amendments.</w:t>
      </w:r>
    </w:p>
    <w:p>
      <w:pPr>
        <w:spacing w:after="0" w:line="84" w:lineRule="exact"/>
        <w:rPr>
          <w:sz w:val="20"/>
          <w:szCs w:val="20"/>
          <w:color w:val="auto"/>
        </w:rPr>
      </w:pPr>
    </w:p>
    <w:p>
      <w:pPr>
        <w:ind w:left="4" w:right="500" w:firstLine="987"/>
        <w:spacing w:after="0" w:line="263" w:lineRule="auto"/>
        <w:tabs>
          <w:tab w:leader="none" w:pos="125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Except as may be otherwise required by law in connection with the winding-up, liquidation, or dissolution of the Company, each Member hereby irrevocably waives any and all rights that it may have to maintain an action for judicial accounting or for partition of any of the Company’s property.</w:t>
      </w:r>
    </w:p>
    <w:p>
      <w:pPr>
        <w:spacing w:after="0" w:line="72"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b w:val="1"/>
          <w:bCs w:val="1"/>
          <w:color w:val="auto"/>
        </w:rPr>
        <w:t>No Third Party Beneficiaries.</w:t>
      </w:r>
      <w:r>
        <w:rPr>
          <w:rFonts w:ascii="Arial" w:cs="Arial" w:eastAsia="Arial" w:hAnsi="Arial"/>
          <w:sz w:val="17"/>
          <w:szCs w:val="17"/>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employee, officer, director, agent or indemnitee of any Person who is bound by this Agreement or its Affiliates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intended third party beneficiary of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and shall be entitled to enforce its rights thereunder.</w:t>
      </w:r>
    </w:p>
    <w:p>
      <w:pPr>
        <w:spacing w:after="0" w:line="60"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and subheadings in this Agreement are included for convenience and identification only and are in no way intended to describe, interpret, define or limit the scope, extent or intent of this Agreement or any provision hereof.</w:t>
      </w:r>
    </w:p>
    <w:p>
      <w:pPr>
        <w:spacing w:after="0" w:line="5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b w:val="1"/>
          <w:bCs w:val="1"/>
          <w:color w:val="auto"/>
        </w:rPr>
        <w:t>Power of Attorney.</w:t>
      </w:r>
      <w:r>
        <w:rPr>
          <w:rFonts w:ascii="Arial" w:cs="Arial" w:eastAsia="Arial" w:hAnsi="Arial"/>
          <w:sz w:val="16"/>
          <w:szCs w:val="16"/>
          <w:color w:val="auto"/>
        </w:rPr>
        <w:t xml:space="preserve"> Each Member, by its execution hereof, hereby makes, constitutes and appoints the Company as its true and lawful 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amendments to the Certificate required or permitted by law or the provisions of this Agreement; (c) all certificates and other instruments (including consents and ratifications which the Members have agreed to provide upon a matter receiving the agreed support of Members) deemed advisable by the Managing Member to carry out the provisions of this Agreement and Law or to permit the Company to become or to continue as a limited liability company or entity wherein the Members have limited liability in each jurisdiction where the Company may be doing business; (d) all instruments that the Managing Member deems appropriate to reflect a change or modification of this Agreement or the Company in accordance with this Agreement, including, without limitation, the admission of additional Members or substituted Members pursuant to the provisions of this Agreement; (e) all conveyances and other instruments or papers deemed advisable by the Managing Member to effect the liquidation and termination of the Company; and</w:t>
      </w:r>
    </w:p>
    <w:p>
      <w:pPr>
        <w:spacing w:after="0" w:line="1" w:lineRule="exact"/>
        <w:rPr>
          <w:sz w:val="20"/>
          <w:szCs w:val="20"/>
          <w:color w:val="auto"/>
        </w:rPr>
      </w:pPr>
    </w:p>
    <w:p>
      <w:pPr>
        <w:ind w:left="5364" w:right="780" w:hanging="5364"/>
        <w:spacing w:after="0" w:line="433" w:lineRule="auto"/>
        <w:tabs>
          <w:tab w:leader="none" w:pos="2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fictitious or assumed name certificates required or permitted (in light of the Company’s activities) to be filed on behalf of the Company. -62-</w:t>
      </w:r>
    </w:p>
    <w:p>
      <w:pPr>
        <w:sectPr>
          <w:pgSz w:w="11900" w:h="16838" w:orient="portrait"/>
          <w:cols w:equalWidth="0" w:num="1">
            <w:col w:w="11004"/>
          </w:cols>
          <w:pgMar w:left="436" w:top="274" w:right="459" w:bottom="1440" w:gutter="0" w:footer="0" w:header="0"/>
        </w:sectPr>
      </w:pPr>
    </w:p>
    <w:bookmarkStart w:id="263" w:name="page264"/>
    <w:bookmarkEnd w:id="263"/>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12.16 </w:t>
      </w:r>
      <w:r>
        <w:rPr>
          <w:rFonts w:ascii="Arial" w:cs="Arial" w:eastAsia="Arial" w:hAnsi="Arial"/>
          <w:sz w:val="17"/>
          <w:szCs w:val="17"/>
          <w:b w:val="1"/>
          <w:bCs w:val="1"/>
          <w:color w:val="auto"/>
        </w:rPr>
        <w:t>Separate Agreements; Schedules.</w:t>
      </w:r>
      <w:r>
        <w:rPr>
          <w:rFonts w:ascii="Arial" w:cs="Arial" w:eastAsia="Arial" w:hAnsi="Arial"/>
          <w:sz w:val="17"/>
          <w:szCs w:val="17"/>
          <w:color w:val="auto"/>
        </w:rPr>
        <w:t xml:space="preserve"> Notwithstanding any other provision of this Agreement, including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the Managing Member in its sole discretion may, or may cause the Company to, without the approval of any Member or other Person, enter into separate subscription, letter or other agreements with individual Members that have become or will become Members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Member(s) party thereto notwithstanding the provisions of this Agreement. The Managing Member in its sole discretion,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 Notwithstanding anything to the contrary, solely for U.S. federal income tax purposes, this Agreement and any other separate agreement described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constitute a “partnership agreement” within the meaning of Section 761 of the Code.</w:t>
      </w:r>
    </w:p>
    <w:p>
      <w:pPr>
        <w:spacing w:after="0" w:line="69"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Partnership Status.</w:t>
      </w:r>
      <w:r>
        <w:rPr>
          <w:rFonts w:ascii="Arial" w:cs="Arial" w:eastAsia="Arial" w:hAnsi="Arial"/>
          <w:sz w:val="18"/>
          <w:szCs w:val="18"/>
          <w:color w:val="auto"/>
        </w:rPr>
        <w:t xml:space="preserve"> The Members intend to treat the Company as a partnership for U.S. federal income tax purposes and notwithstanding anything to the contrary herein, no election to the contrary shall be made without the consent of each of the Members.</w:t>
      </w:r>
    </w:p>
    <w:p>
      <w:pPr>
        <w:spacing w:after="0" w:line="54"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12.18 </w:t>
      </w:r>
      <w:r>
        <w:rPr>
          <w:rFonts w:ascii="Arial" w:cs="Arial" w:eastAsia="Arial" w:hAnsi="Arial"/>
          <w:sz w:val="17"/>
          <w:szCs w:val="17"/>
          <w:b w:val="1"/>
          <w:bCs w:val="1"/>
          <w:color w:val="auto"/>
        </w:rPr>
        <w:t>Delivery by Facsimile or Email.</w:t>
      </w:r>
      <w:r>
        <w:rPr>
          <w:rFonts w:ascii="Arial" w:cs="Arial" w:eastAsia="Arial" w:hAnsi="Arial"/>
          <w:sz w:val="17"/>
          <w:szCs w:val="17"/>
          <w:color w:val="auto"/>
        </w:rPr>
        <w:t xml:space="preserve">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0" w:right="479" w:bottom="1440" w:gutter="0" w:footer="0" w:header="0"/>
        </w:sectPr>
      </w:pPr>
    </w:p>
    <w:bookmarkStart w:id="264" w:name="page265"/>
    <w:bookmarkEnd w:id="26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entered into this Agreement or have caused this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authorized officers, in each case as of the date first above stated.</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HoldCo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[Signature page - Amended and Restated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Limited Liability Company Agreement of Opal Fuels LLC]</w:t>
      </w:r>
    </w:p>
    <w:p>
      <w:pPr>
        <w:sectPr>
          <w:pgSz w:w="11900" w:h="16838" w:orient="portrait"/>
          <w:cols w:equalWidth="0" w:num="1">
            <w:col w:w="10560"/>
          </w:cols>
          <w:pgMar w:left="440" w:top="270" w:right="899" w:bottom="1440" w:gutter="0" w:footer="0" w:header="0"/>
        </w:sectPr>
      </w:pPr>
    </w:p>
    <w:bookmarkStart w:id="265" w:name="page266"/>
    <w:bookmarkEnd w:id="265"/>
    <w:tbl>
      <w:tblPr>
        <w:tblLayout w:type="fixed"/>
        <w:tblInd w:w="76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120" w:type="dxa"/>
            <w:vAlign w:val="bottom"/>
          </w:tcPr>
          <w:p>
            <w:pPr>
              <w:jc w:val="center"/>
              <w:ind w:right="2257"/>
              <w:spacing w:after="0"/>
              <w:rPr>
                <w:sz w:val="20"/>
                <w:szCs w:val="20"/>
                <w:color w:val="auto"/>
              </w:rPr>
            </w:pPr>
            <w:r>
              <w:rPr>
                <w:rFonts w:ascii="Arial" w:cs="Arial" w:eastAsia="Arial" w:hAnsi="Arial"/>
                <w:sz w:val="18"/>
                <w:szCs w:val="18"/>
                <w:b w:val="1"/>
                <w:bCs w:val="1"/>
                <w:color w:val="auto"/>
              </w:rPr>
              <w:t>EXHIBIT A</w:t>
            </w:r>
          </w:p>
        </w:tc>
      </w:tr>
      <w:tr>
        <w:trPr>
          <w:trHeight w:val="378"/>
        </w:trPr>
        <w:tc>
          <w:tcPr>
            <w:tcW w:w="2360" w:type="dxa"/>
            <w:vAlign w:val="bottom"/>
          </w:tcPr>
          <w:p>
            <w:pPr>
              <w:spacing w:after="0"/>
              <w:rPr>
                <w:sz w:val="20"/>
                <w:szCs w:val="20"/>
                <w:color w:val="auto"/>
              </w:rPr>
            </w:pPr>
            <w:r>
              <w:rPr>
                <w:rFonts w:ascii="Arial" w:cs="Arial" w:eastAsia="Arial" w:hAnsi="Arial"/>
                <w:sz w:val="14"/>
                <w:szCs w:val="14"/>
                <w:color w:val="auto"/>
              </w:rPr>
              <w:t>Member Name</w:t>
            </w:r>
          </w:p>
        </w:tc>
        <w:tc>
          <w:tcPr>
            <w:tcW w:w="5120" w:type="dxa"/>
            <w:vAlign w:val="bottom"/>
          </w:tcPr>
          <w:p>
            <w:pPr>
              <w:jc w:val="center"/>
              <w:ind w:left="3997"/>
              <w:spacing w:after="0"/>
              <w:rPr>
                <w:sz w:val="20"/>
                <w:szCs w:val="20"/>
                <w:color w:val="auto"/>
              </w:rPr>
            </w:pPr>
            <w:r>
              <w:rPr>
                <w:rFonts w:ascii="Arial" w:cs="Arial" w:eastAsia="Arial" w:hAnsi="Arial"/>
                <w:sz w:val="14"/>
                <w:szCs w:val="14"/>
                <w:color w:val="auto"/>
                <w:w w:val="89"/>
              </w:rPr>
              <w:t>Percentage</w:t>
            </w:r>
          </w:p>
        </w:tc>
      </w:tr>
      <w:tr>
        <w:trPr>
          <w:trHeight w:val="175"/>
        </w:trPr>
        <w:tc>
          <w:tcPr>
            <w:tcW w:w="2360" w:type="dxa"/>
            <w:vAlign w:val="bottom"/>
          </w:tcPr>
          <w:p>
            <w:pPr>
              <w:spacing w:after="0"/>
              <w:rPr>
                <w:sz w:val="20"/>
                <w:szCs w:val="20"/>
                <w:color w:val="auto"/>
              </w:rPr>
            </w:pPr>
            <w:r>
              <w:rPr>
                <w:rFonts w:ascii="Arial" w:cs="Arial" w:eastAsia="Arial" w:hAnsi="Arial"/>
                <w:sz w:val="14"/>
                <w:szCs w:val="14"/>
                <w:color w:val="auto"/>
              </w:rPr>
              <w:t>and Address</w:t>
            </w:r>
          </w:p>
        </w:tc>
        <w:tc>
          <w:tcPr>
            <w:tcW w:w="5120" w:type="dxa"/>
            <w:vAlign w:val="bottom"/>
          </w:tcPr>
          <w:p>
            <w:pPr>
              <w:jc w:val="center"/>
              <w:ind w:left="3997"/>
              <w:spacing w:after="0"/>
              <w:rPr>
                <w:sz w:val="20"/>
                <w:szCs w:val="20"/>
                <w:color w:val="auto"/>
              </w:rPr>
            </w:pPr>
            <w:r>
              <w:rPr>
                <w:rFonts w:ascii="Arial" w:cs="Arial" w:eastAsia="Arial" w:hAnsi="Arial"/>
                <w:sz w:val="14"/>
                <w:szCs w:val="14"/>
                <w:color w:val="auto"/>
                <w:w w:val="94"/>
              </w:rPr>
              <w:t>Interest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OPAL HoldCo LLC</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2360" w:type="dxa"/>
            <w:vAlign w:val="bottom"/>
          </w:tcPr>
          <w:p>
            <w:pPr>
              <w:spacing w:after="0"/>
              <w:rPr>
                <w:sz w:val="24"/>
                <w:szCs w:val="24"/>
                <w:color w:val="auto"/>
              </w:rPr>
            </w:pPr>
          </w:p>
        </w:tc>
        <w:tc>
          <w:tcPr>
            <w:tcW w:w="5120" w:type="dxa"/>
            <w:vAlign w:val="bottom"/>
          </w:tcPr>
          <w:p>
            <w:pPr>
              <w:jc w:val="center"/>
              <w:ind w:right="2257"/>
              <w:spacing w:after="0"/>
              <w:rPr>
                <w:sz w:val="20"/>
                <w:szCs w:val="20"/>
                <w:color w:val="auto"/>
              </w:rPr>
            </w:pPr>
            <w:r>
              <w:rPr>
                <w:rFonts w:ascii="Arial" w:cs="Arial" w:eastAsia="Arial" w:hAnsi="Arial"/>
                <w:sz w:val="18"/>
                <w:szCs w:val="18"/>
                <w:color w:val="auto"/>
                <w:w w:val="98"/>
              </w:rPr>
              <w:t>Exhibit B</w:t>
            </w:r>
          </w:p>
        </w:tc>
      </w:tr>
    </w:tbl>
    <w:p>
      <w:pPr>
        <w:jc w:val="center"/>
        <w:ind w:right="2257"/>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6" w:name="page267"/>
    <w:bookmarkEnd w:id="2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Post-Closing Company Units Allocation Schedule</w:t>
      </w:r>
    </w:p>
    <w:p>
      <w:pPr>
        <w:sectPr>
          <w:pgSz w:w="11900" w:h="16838" w:orient="portrait"/>
          <w:cols w:equalWidth="0" w:num="1">
            <w:col w:w="9019"/>
          </w:cols>
          <w:pgMar w:left="1440" w:top="270"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Post-Closing ACT Shares Allocation Schedule</w:t>
      </w:r>
    </w:p>
    <w:p>
      <w:pPr>
        <w:sectPr>
          <w:pgSz w:w="11900" w:h="16838" w:orient="portrait"/>
          <w:cols w:equalWidth="0" w:num="1">
            <w:col w:w="9019"/>
          </w:cols>
          <w:pgMar w:left="1440" w:top="270" w:right="1440"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Earnout Allocation Schedule</w:t>
      </w:r>
    </w:p>
    <w:p>
      <w:pPr>
        <w:sectPr>
          <w:pgSz w:w="11900" w:h="16838" w:orient="portrait"/>
          <w:cols w:equalWidth="0" w:num="1">
            <w:col w:w="9019"/>
          </w:cols>
          <w:pgMar w:left="1440" w:top="270"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is being entered into as of the date set forth on the signature page hereto, by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between ArcLight Clean Transition Corp. II, a Cayman Islands exempted company (“</w:t>
      </w:r>
      <w:r>
        <w:rPr>
          <w:rFonts w:ascii="Arial" w:cs="Arial" w:eastAsia="Arial" w:hAnsi="Arial"/>
          <w:sz w:val="17"/>
          <w:szCs w:val="17"/>
          <w:u w:val="single" w:color="auto"/>
          <w:color w:val="auto"/>
        </w:rPr>
        <w:t>ArcLight</w:t>
      </w:r>
      <w:r>
        <w:rPr>
          <w:rFonts w:ascii="Arial" w:cs="Arial" w:eastAsia="Arial" w:hAnsi="Arial"/>
          <w:sz w:val="17"/>
          <w:szCs w:val="17"/>
          <w:color w:val="auto"/>
        </w:rPr>
        <w:t>”), and the undersigned subscriber (the “</w:t>
      </w:r>
      <w:r>
        <w:rPr>
          <w:rFonts w:ascii="Arial" w:cs="Arial" w:eastAsia="Arial" w:hAnsi="Arial"/>
          <w:sz w:val="17"/>
          <w:szCs w:val="17"/>
          <w:u w:val="single" w:color="auto"/>
          <w:color w:val="auto"/>
        </w:rPr>
        <w:t>Investor</w:t>
      </w:r>
      <w:r>
        <w:rPr>
          <w:rFonts w:ascii="Arial" w:cs="Arial" w:eastAsia="Arial" w:hAnsi="Arial"/>
          <w:sz w:val="17"/>
          <w:szCs w:val="17"/>
          <w:color w:val="auto"/>
        </w:rPr>
        <w: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Business Combination Agreement, dated as of the date hereof (as may be amended, supplemented or otherwise modified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ArcLight and Opal Fuels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which, among other things, ArcLight will (directly or indirectly) acquire equity interests and equity-linked securities of the Company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for the consideration described therein, and ArcLight will become the sole managing member of the Company, on the terms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therein (such merger, the “</w:t>
      </w:r>
      <w:r>
        <w:rPr>
          <w:rFonts w:ascii="Arial" w:cs="Arial" w:eastAsia="Arial" w:hAnsi="Arial"/>
          <w:sz w:val="16"/>
          <w:szCs w:val="16"/>
          <w:u w:val="single" w:color="auto"/>
          <w:color w:val="auto"/>
        </w:rPr>
        <w:t>Transaction</w:t>
      </w:r>
      <w:r>
        <w:rPr>
          <w:rFonts w:ascii="Arial" w:cs="Arial" w:eastAsia="Arial" w:hAnsi="Arial"/>
          <w:sz w:val="16"/>
          <w:szCs w:val="16"/>
          <w:color w:val="auto"/>
        </w:rPr>
        <w:t>”). In connection with the Transaction, ArcLight is seeking commitments from interested investors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following the Domestication (as defined below) and prior to the closing of the Transaction, shares of ArcLight’s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in a private placement for a purchase price of $10.00 per share (the “</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On or about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Subscription Agreement, ArcLight is entering into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Subscription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other investors (the “</w:t>
      </w:r>
      <w:r>
        <w:rPr>
          <w:rFonts w:ascii="Arial" w:cs="Arial" w:eastAsia="Arial" w:hAnsi="Arial"/>
          <w:sz w:val="17"/>
          <w:szCs w:val="17"/>
          <w:u w:val="single" w:color="auto"/>
          <w:color w:val="auto"/>
        </w:rPr>
        <w:t>Other Investors</w:t>
      </w:r>
      <w:r>
        <w:rPr>
          <w:rFonts w:ascii="Arial" w:cs="Arial" w:eastAsia="Arial" w:hAnsi="Arial"/>
          <w:sz w:val="17"/>
          <w:szCs w:val="17"/>
          <w:color w:val="auto"/>
        </w:rPr>
        <w:t>” and together with the Investor,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Investors</w:t>
      </w:r>
      <w:r>
        <w:rPr>
          <w:rFonts w:ascii="Arial" w:cs="Arial" w:eastAsia="Arial" w:hAnsi="Arial"/>
          <w:sz w:val="17"/>
          <w:szCs w:val="17"/>
          <w:color w:val="auto"/>
        </w:rPr>
        <w:t>”), severally and not jointly, pursuant to which the Investors, severally and not jointly, have agreed to purchase on the closing date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inclusive of the Shares subscribed for by the Investor under this Subscription Agreement, an aggregate amount of up to 12,500,000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the Per Share Purchase Price.</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Prior to the closing of the Transaction (and as more fully described in the Business Combination Agreement), ArcLight will domesticate as a Delaware corporation in accordance with Section 388 of the General Corporation Law of the State of Delaware and Part XII of the Cayman Islands Companies Law (2020 Revision)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The aggregate purchase price to be paid by the Investor for the subscribed Shares (as set forth on the signature page hereto) is referred to herein as the “</w:t>
      </w:r>
      <w:r>
        <w:rPr>
          <w:rFonts w:ascii="Arial" w:cs="Arial" w:eastAsia="Arial" w:hAnsi="Arial"/>
          <w:sz w:val="18"/>
          <w:szCs w:val="18"/>
          <w:u w:val="single" w:color="auto"/>
          <w:color w:val="auto"/>
        </w:rPr>
        <w:t>Subscription Amount</w:t>
      </w:r>
      <w:r>
        <w:rPr>
          <w:rFonts w:ascii="Arial" w:cs="Arial" w:eastAsia="Arial" w:hAnsi="Arial"/>
          <w:sz w:val="18"/>
          <w:szCs w:val="18"/>
          <w:color w:val="auto"/>
        </w:rPr>
        <w:t>.”</w:t>
      </w:r>
    </w:p>
    <w:p>
      <w:pPr>
        <w:spacing w:after="0" w:line="187"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In connection therewith, and in consideration of the foregoing and the mutual representations, warranties and covenants, and subject to the conditions, set forth herein, and intending to be legally bound hereby, each of the Investor and ArcLight acknowledges and agrees as follows:</w:t>
      </w:r>
    </w:p>
    <w:p>
      <w:pPr>
        <w:spacing w:after="0" w:line="16" w:lineRule="exact"/>
        <w:rPr>
          <w:sz w:val="20"/>
          <w:szCs w:val="20"/>
          <w:color w:val="auto"/>
        </w:rPr>
      </w:pPr>
    </w:p>
    <w:p>
      <w:pPr>
        <w:ind w:right="140" w:firstLine="436"/>
        <w:spacing w:after="0" w:line="293" w:lineRule="auto"/>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The Investor hereby subscribes for and agrees to purchase from ArcLight, and ArcLight agrees to issue and sell to the Investor, the number of Shares set forth on the signature page of this Subscription Agreement on the terms and subject to the conditions provided for herein. The Investor acknowledges and agrees that the Investor’s subscription for the Shares shall be deemed to be accepted by ArcLight only when this Subscription Agreement is signed by a duly authorized person by or on behalf of ArcLight; ArcLight may do so in counterpart form. The Investor acknowledges and agrees that, as a result of the Domestication, the Shares that will be issued pursuant hereto shall be shares of common stock in a Delaware corporation (and not, for the avoidance of doubt, ordinary shares in a Cayman Islands exempted company).</w:t>
      </w:r>
    </w:p>
    <w:p>
      <w:pPr>
        <w:spacing w:after="0" w:line="56" w:lineRule="exact"/>
        <w:rPr>
          <w:rFonts w:ascii="Arial" w:cs="Arial" w:eastAsia="Arial" w:hAnsi="Arial"/>
          <w:sz w:val="16"/>
          <w:szCs w:val="16"/>
          <w:color w:val="auto"/>
        </w:rPr>
      </w:pPr>
    </w:p>
    <w:p>
      <w:pPr>
        <w:ind w:right="80" w:firstLine="436"/>
        <w:spacing w:after="0" w:line="290" w:lineRule="auto"/>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is contingent upon the substantially concurrent consummation of the Transaction. The Closing shall occur on the date of, and substantially concurrently with and conditioned upon the effectiveness of, the Transaction. Upon (a) satisfaction or waiver of the conditions set forth in Section 3 below and (b) delivery of written notice from (or on behalf of) ArcLight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ArcLight reasonably expects all conditions to the closing of the Transaction to be satisfied or waived on a date that is not less than five (5) business days from the date on which the Closing Notice is delivered to the Investor, the Investor shall deliver to ArcLight, two (2) business days prior to the closing date specified in the Closing Notice (the “</w:t>
      </w:r>
      <w:r>
        <w:rPr>
          <w:rFonts w:ascii="Arial" w:cs="Arial" w:eastAsia="Arial" w:hAnsi="Arial"/>
          <w:sz w:val="16"/>
          <w:szCs w:val="16"/>
          <w:u w:val="single" w:color="auto"/>
          <w:color w:val="auto"/>
        </w:rPr>
        <w:t>Closing Date</w:t>
      </w:r>
      <w:r>
        <w:rPr>
          <w:rFonts w:ascii="Arial" w:cs="Arial" w:eastAsia="Arial" w:hAnsi="Arial"/>
          <w:sz w:val="16"/>
          <w:szCs w:val="16"/>
          <w:color w:val="auto"/>
        </w:rPr>
        <w:t>”), (i) the Subscription Amount by wire transfer of United States dollars in immediately available funds to the account(s) specified by ArcLight in the Closing Notice, to be held by ArcLight until the Closing pursuant to the terms and conditions herein, and (ii) any other information that is reasonably</w:t>
      </w:r>
    </w:p>
    <w:p>
      <w:pPr>
        <w:sectPr>
          <w:pgSz w:w="11900" w:h="16838" w:orient="portrait"/>
          <w:cols w:equalWidth="0" w:num="1">
            <w:col w:w="11020"/>
          </w:cols>
          <w:pgMar w:left="440" w:top="121" w:right="439" w:bottom="1440" w:gutter="0" w:footer="0" w:header="0"/>
        </w:sectPr>
      </w:pPr>
    </w:p>
    <w:bookmarkStart w:id="270" w:name="page271"/>
    <w:bookmarkEnd w:id="2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requested in the Closing Notice in order for ArcLight to issue the Investor’s Shares, including without limitation, the legal name of the person in whose name such Shares are to be issued and a duly executed Internal Revenue Service Form W-9 or W-8 of such person, as applicable. Notwithstanding the foregoing and for the avoidance of doubt, in the case of a Investor that is an “investment company” registered under the Investment Company Act of 1940, as amended, Investor shall deliver to ArcLight on the anticipated Closing Date the Subscription Amount for the Shares by wire transfer of U.S. dollars in immediately available funds to the account specified by ArcLight in the Closing Notice (which account shall not be an escrow account) against delivery to the undersigned of the Shares in book entry form, including evidence from ArcLight’s transfer agent of such issuance, on the Closing Date as described below. On the Closing Date, ArcLight shall issue the number of Shares to the Investor set forth on the signature page to this Subscription Agreement and subsequently cause such Shares to be registered in book entry form, free and clear of any liens or other restrictions (other than those arising under applicable securities laws), in the name of the Investor on ArcLight’s share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ArcLight’s obligation to issue the Shares to the Investor is contingent upon ArcLight having received the Subscription Amount in full accordance with this Section 2. In the event that the consummation of the Transaction does not occur within three (3) business days after the anticipated Closing Date specified in the Closing Notice, unless otherwise agreed to in writing by ArcLight and the Investor, ArcLight shall promptly (but in no event later than two (2) business days thereafter) return the Subscription Amount so delivered by the Investor to ArcLight by wire transfer in immediately available funds to the account specified by the Investor, and any book entries shall be deemed cancelled. Notwithstanding such return or cancellation, unless and until this Subscription Agreement is terminated in accordance with Section 8 herein, the Investor shall remain obligated (A) to redeliver the Subscription Amount to ArcLight in accordance with the applicable timing described above, to be held in escrow following ArcLight’s delivery to the Investor of a new Closing Notice and (B) to consummate the Closing immediately prior to or substantially concurrently with the consummation of the Transaction. For purposes of this Subscription Agreement, “business day” shall mean a day, other than a Saturday or Sunday, on which commercial banks in New York, New York and Boston, Massachusetts are open for the general transaction of business.</w:t>
      </w:r>
    </w:p>
    <w:p>
      <w:pPr>
        <w:spacing w:after="0" w:line="61" w:lineRule="exact"/>
        <w:rPr>
          <w:sz w:val="20"/>
          <w:szCs w:val="20"/>
          <w:color w:val="auto"/>
        </w:rPr>
      </w:pPr>
    </w:p>
    <w:p>
      <w:pPr>
        <w:ind w:left="620" w:hanging="184"/>
        <w:spacing w:after="0"/>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00" w:firstLine="987"/>
        <w:spacing w:after="0" w:line="277" w:lineRule="auto"/>
        <w:tabs>
          <w:tab w:leader="none" w:pos="116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62" w:lineRule="exact"/>
        <w:rPr>
          <w:rFonts w:ascii="Arial" w:cs="Arial" w:eastAsia="Arial" w:hAnsi="Arial"/>
          <w:sz w:val="18"/>
          <w:szCs w:val="18"/>
          <w:color w:val="auto"/>
        </w:rPr>
      </w:pPr>
    </w:p>
    <w:p>
      <w:pPr>
        <w:ind w:left="980" w:firstLine="408"/>
        <w:spacing w:after="0" w:line="257" w:lineRule="auto"/>
        <w:tabs>
          <w:tab w:leader="none" w:pos="159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that 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threatened in writing a proceeding seeking to impose any such restraint or prohibition;</w:t>
      </w:r>
    </w:p>
    <w:p>
      <w:pPr>
        <w:spacing w:after="0" w:line="79" w:lineRule="exact"/>
        <w:rPr>
          <w:rFonts w:ascii="Arial" w:cs="Arial" w:eastAsia="Arial" w:hAnsi="Arial"/>
          <w:sz w:val="18"/>
          <w:szCs w:val="18"/>
          <w:color w:val="auto"/>
        </w:rPr>
      </w:pPr>
    </w:p>
    <w:p>
      <w:pPr>
        <w:ind w:left="980" w:firstLine="408"/>
        <w:spacing w:after="0" w:line="263" w:lineRule="auto"/>
        <w:tabs>
          <w:tab w:leader="none" w:pos="164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subject to official notice of issuance, and that no suspension of the listing or qualification for offering or sale or trading on Nasdaq or, to ArcLight’s knowledge, no initiation nor threatening of any proceedings for such purposes, shall have occurred and be continuing; and</w:t>
      </w:r>
    </w:p>
    <w:p>
      <w:pPr>
        <w:spacing w:after="0" w:line="75" w:lineRule="exact"/>
        <w:rPr>
          <w:rFonts w:ascii="Arial" w:cs="Arial" w:eastAsia="Arial" w:hAnsi="Arial"/>
          <w:sz w:val="18"/>
          <w:szCs w:val="18"/>
          <w:color w:val="auto"/>
        </w:rPr>
      </w:pPr>
    </w:p>
    <w:p>
      <w:pPr>
        <w:ind w:left="980" w:right="200" w:firstLine="408"/>
        <w:spacing w:after="0" w:line="301" w:lineRule="auto"/>
        <w:tabs>
          <w:tab w:leader="none" w:pos="1696" w:val="left"/>
        </w:tabs>
        <w:numPr>
          <w:ilvl w:val="2"/>
          <w:numId w:val="286"/>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 under the Business Combination Agreement shall have been satisfied (as determined by the parties to the Business Combination Agreement and other than those conditions under the Business Combination Agreement which, by their nature, are to be satisfied at the closing of the Transaction, including to the extent that any such condition is dependent upon the consummation of the purchase and sale of the Shares pursuant to this Subscription Agreement) or waived.</w:t>
      </w:r>
    </w:p>
    <w:p>
      <w:pPr>
        <w:spacing w:after="0" w:line="49" w:lineRule="exact"/>
        <w:rPr>
          <w:rFonts w:ascii="Arial" w:cs="Arial" w:eastAsia="Arial" w:hAnsi="Arial"/>
          <w:sz w:val="16"/>
          <w:szCs w:val="16"/>
          <w:color w:val="auto"/>
        </w:rPr>
      </w:pPr>
    </w:p>
    <w:p>
      <w:pPr>
        <w:ind w:right="80" w:firstLine="987"/>
        <w:spacing w:after="0" w:line="277" w:lineRule="auto"/>
        <w:tabs>
          <w:tab w:leader="none" w:pos="117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obligation of ArcLight to consummate the issuance and sale of the Shares pursuant to this Subscription Agreement is subject to the following conditions:</w:t>
      </w:r>
    </w:p>
    <w:p>
      <w:pPr>
        <w:spacing w:after="0" w:line="62" w:lineRule="exact"/>
        <w:rPr>
          <w:rFonts w:ascii="Arial" w:cs="Arial" w:eastAsia="Arial" w:hAnsi="Arial"/>
          <w:sz w:val="18"/>
          <w:szCs w:val="18"/>
          <w:color w:val="auto"/>
        </w:rPr>
      </w:pPr>
    </w:p>
    <w:p>
      <w:pPr>
        <w:ind w:left="980" w:right="140" w:firstLine="408"/>
        <w:spacing w:after="0" w:line="263" w:lineRule="auto"/>
        <w:tabs>
          <w:tab w:leader="none" w:pos="159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that all representations and warranties of the Investor contained in this Subscription Agreement shall be true and correct in all material respects (other than representations and warranties that are qualified as to materiality, which representations and warranties shall be true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71" w:name="page272"/>
    <w:bookmarkEnd w:id="271"/>
    <w:p>
      <w:pPr>
        <w:ind w:left="9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all respects) at and as of the Closing Date (unless they specifically speak as of an earlier date, in which case they shall be true and correct in all material respects (other than representations and warranties that are qualified as to materiality, which representations and warranties shall be true in all respects) as of such date), and consummation of the Closing shall constitute a reaffirmation by the Investor of each of the representations and warranties of the Investor contained in this Subscription Agreement as of the Closing Date; and</w:t>
      </w:r>
    </w:p>
    <w:p>
      <w:pPr>
        <w:spacing w:after="0" w:line="49" w:lineRule="exact"/>
        <w:rPr>
          <w:sz w:val="20"/>
          <w:szCs w:val="20"/>
          <w:color w:val="auto"/>
        </w:rPr>
      </w:pPr>
    </w:p>
    <w:p>
      <w:pPr>
        <w:ind w:left="980" w:right="100" w:firstLine="408"/>
        <w:spacing w:after="0" w:line="263" w:lineRule="auto"/>
        <w:tabs>
          <w:tab w:leader="none" w:pos="1646"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that as of the Closing Date the Investor shall have performed, satisfied and complied in all material respects with all agreements, conditions and covenants required by this Subscription Agreement to have been performed, satisfied or complied with by it at or prior to the Closing.</w:t>
      </w:r>
    </w:p>
    <w:p>
      <w:pPr>
        <w:spacing w:after="0" w:line="75" w:lineRule="exact"/>
        <w:rPr>
          <w:rFonts w:ascii="Arial" w:cs="Arial" w:eastAsia="Arial" w:hAnsi="Arial"/>
          <w:sz w:val="18"/>
          <w:szCs w:val="18"/>
          <w:color w:val="auto"/>
        </w:rPr>
      </w:pPr>
    </w:p>
    <w:p>
      <w:pPr>
        <w:ind w:right="500" w:firstLine="987"/>
        <w:spacing w:after="0" w:line="277" w:lineRule="auto"/>
        <w:tabs>
          <w:tab w:leader="none" w:pos="116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is subject to the following additional conditions:</w:t>
      </w:r>
    </w:p>
    <w:p>
      <w:pPr>
        <w:spacing w:after="0" w:line="62" w:lineRule="exact"/>
        <w:rPr>
          <w:rFonts w:ascii="Arial" w:cs="Arial" w:eastAsia="Arial" w:hAnsi="Arial"/>
          <w:sz w:val="18"/>
          <w:szCs w:val="18"/>
          <w:color w:val="auto"/>
        </w:rPr>
      </w:pPr>
    </w:p>
    <w:p>
      <w:pPr>
        <w:ind w:left="980" w:right="40" w:firstLine="408"/>
        <w:spacing w:after="0" w:line="301" w:lineRule="auto"/>
        <w:tabs>
          <w:tab w:leader="none" w:pos="1596"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all representations and warranties of ArcLight contained in this Subscription Agreement shall be true and correct in all material respects (other than representations and warranties that are qualified as to materiality, which representations and warranties shall be true in all respects) at and as of the Closing Date, and consummation of the Closing shall constitute a reaffirmation by ArcLight of each of the representations and warranties of ArcLight contained in this Subscription Agreement as of the Closing Date;</w:t>
      </w:r>
    </w:p>
    <w:p>
      <w:pPr>
        <w:spacing w:after="0" w:line="49" w:lineRule="exact"/>
        <w:rPr>
          <w:rFonts w:ascii="Arial" w:cs="Arial" w:eastAsia="Arial" w:hAnsi="Arial"/>
          <w:sz w:val="16"/>
          <w:szCs w:val="16"/>
          <w:color w:val="auto"/>
        </w:rPr>
      </w:pPr>
    </w:p>
    <w:p>
      <w:pPr>
        <w:ind w:left="980" w:right="500" w:firstLine="408"/>
        <w:spacing w:after="0" w:line="342" w:lineRule="auto"/>
        <w:tabs>
          <w:tab w:leader="none" w:pos="1646"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ArcLight shall have performed, satisfied or complied in all material respects with all agreements, conditions and covenants required by this Subscription Agreement to have been performed, satisfied or complied with by it at or prior to the Closing; and</w:t>
      </w:r>
    </w:p>
    <w:p>
      <w:pPr>
        <w:spacing w:after="0" w:line="15" w:lineRule="exact"/>
        <w:rPr>
          <w:rFonts w:ascii="Arial" w:cs="Arial" w:eastAsia="Arial" w:hAnsi="Arial"/>
          <w:sz w:val="16"/>
          <w:szCs w:val="16"/>
          <w:color w:val="auto"/>
        </w:rPr>
      </w:pPr>
    </w:p>
    <w:p>
      <w:pPr>
        <w:ind w:left="980" w:firstLine="408"/>
        <w:spacing w:after="0" w:line="263" w:lineRule="auto"/>
        <w:tabs>
          <w:tab w:leader="none" w:pos="1696" w:val="left"/>
        </w:tabs>
        <w:numPr>
          <w:ilvl w:val="2"/>
          <w:numId w:val="288"/>
        </w:numPr>
        <w:rPr>
          <w:rFonts w:ascii="Arial" w:cs="Arial" w:eastAsia="Arial" w:hAnsi="Arial"/>
          <w:sz w:val="18"/>
          <w:szCs w:val="18"/>
          <w:color w:val="auto"/>
        </w:rPr>
      </w:pPr>
      <w:r>
        <w:rPr>
          <w:rFonts w:ascii="Arial" w:cs="Arial" w:eastAsia="Arial" w:hAnsi="Arial"/>
          <w:sz w:val="18"/>
          <w:szCs w:val="18"/>
          <w:color w:val="auto"/>
        </w:rPr>
        <w:t>no amendment, modification or waiver of the Business Combination Agreement (as the same exists on the date hereof as provided to the Investor) or any terms thereof shall have occurred that would materially and adversely affect the economic benefits that the Investor would receive under this Subscription Agreement.</w:t>
      </w:r>
    </w:p>
    <w:p>
      <w:pPr>
        <w:spacing w:after="0" w:line="75" w:lineRule="exact"/>
        <w:rPr>
          <w:rFonts w:ascii="Arial" w:cs="Arial" w:eastAsia="Arial" w:hAnsi="Arial"/>
          <w:sz w:val="18"/>
          <w:szCs w:val="18"/>
          <w:color w:val="auto"/>
        </w:rPr>
      </w:pPr>
    </w:p>
    <w:p>
      <w:pPr>
        <w:jc w:val="both"/>
        <w:ind w:right="160" w:firstLine="436"/>
        <w:spacing w:after="0" w:line="259" w:lineRule="auto"/>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or prior to the Closing, the parties hereto shall execute and deliver such additional documents and take such additional actions as the parties reasonably may deem to be practical and necessary in order to consummate the subscription as contemplated by this Subscription Agreement. At or prior to the Closing, the Investor shall deliver to ArcLight a duly completed and executed Internal Revenue Service Form W-9 or appropriate Form W-8, as applicable.</w:t>
      </w:r>
    </w:p>
    <w:p>
      <w:pPr>
        <w:spacing w:after="0" w:line="78" w:lineRule="exact"/>
        <w:rPr>
          <w:rFonts w:ascii="Arial" w:cs="Arial" w:eastAsia="Arial" w:hAnsi="Arial"/>
          <w:sz w:val="18"/>
          <w:szCs w:val="18"/>
          <w:color w:val="auto"/>
        </w:rPr>
      </w:pPr>
    </w:p>
    <w:p>
      <w:pPr>
        <w:ind w:left="620" w:hanging="184"/>
        <w:spacing w:after="0"/>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ArcLight Representations and Warranties</w:t>
      </w:r>
      <w:r>
        <w:rPr>
          <w:rFonts w:ascii="Arial" w:cs="Arial" w:eastAsia="Arial" w:hAnsi="Arial"/>
          <w:sz w:val="18"/>
          <w:szCs w:val="18"/>
          <w:color w:val="auto"/>
        </w:rPr>
        <w:t>. ArcLight represents and warrants to the Investor that:</w:t>
      </w:r>
    </w:p>
    <w:p>
      <w:pPr>
        <w:spacing w:after="0" w:line="117" w:lineRule="exact"/>
        <w:rPr>
          <w:rFonts w:ascii="Arial" w:cs="Arial" w:eastAsia="Arial" w:hAnsi="Arial"/>
          <w:sz w:val="18"/>
          <w:szCs w:val="18"/>
          <w:color w:val="auto"/>
        </w:rPr>
      </w:pPr>
    </w:p>
    <w:p>
      <w:pPr>
        <w:ind w:right="20" w:firstLine="987"/>
        <w:spacing w:after="0" w:line="257" w:lineRule="auto"/>
        <w:tabs>
          <w:tab w:leader="none" w:pos="116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ArcLight is an exempted company duly incorporated, validly existing and in good standing under the laws of the Cayman Islands (to the extent such concept exists in such jurisdiction). ArcLight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ArcLight will be duly incorporated, validly existing as a corporation and in good standing under the laws of the State of Delaware.</w:t>
      </w:r>
    </w:p>
    <w:p>
      <w:pPr>
        <w:spacing w:after="0" w:line="79" w:lineRule="exact"/>
        <w:rPr>
          <w:rFonts w:ascii="Arial" w:cs="Arial" w:eastAsia="Arial" w:hAnsi="Arial"/>
          <w:sz w:val="18"/>
          <w:szCs w:val="18"/>
          <w:color w:val="auto"/>
        </w:rPr>
      </w:pPr>
    </w:p>
    <w:p>
      <w:pPr>
        <w:ind w:right="80" w:firstLine="987"/>
        <w:spacing w:after="0" w:line="279" w:lineRule="auto"/>
        <w:tabs>
          <w:tab w:leader="none" w:pos="117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ArcLight’s certificate of incorporation or bylaws (each as amended on the Closing Date), by contract or under the General Corporation Law of the State of Delaware.</w:t>
      </w:r>
    </w:p>
    <w:p>
      <w:pPr>
        <w:spacing w:after="0" w:line="63" w:lineRule="exact"/>
        <w:rPr>
          <w:rFonts w:ascii="Arial" w:cs="Arial" w:eastAsia="Arial" w:hAnsi="Arial"/>
          <w:sz w:val="17"/>
          <w:szCs w:val="17"/>
          <w:color w:val="auto"/>
        </w:rPr>
      </w:pPr>
    </w:p>
    <w:p>
      <w:pPr>
        <w:ind w:right="40" w:firstLine="987"/>
        <w:spacing w:after="0" w:line="279" w:lineRule="auto"/>
        <w:tabs>
          <w:tab w:leader="none" w:pos="116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This Subscription Agreement has been duly authorized, executed and delivered by ArcLight and, assuming that this Subscription Agreement constitutes the valid and binding agreement of the Investor, this Subscription Agreement is enforceable against ArcLight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2" w:name="page273"/>
    <w:bookmarkEnd w:id="272"/>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execution, delivery, and performance of the transactions contemplated by, this Subscription Agreement, including the issuance and sale of the Shares hereunder, and the compliance by ArcLight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ArcLight or any of its subsidiaries pursuant to the terms of (i) any indenture, mortgage, deed of trust, loan agreement, lease, license or other agreement or instrument to which ArcLight or any of its subsidiaries is a party or by which ArcLight or any of its subsidiaries is bound or to which any of the property or assets of ArcLight is subject that would reasonably be expected to have a material adverse effect on the business, properties, assets, liabilities, financial condition or results of operations of ArcLight and its subsidiaries, taken as a whole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or materially affect the validity of the Shares or the legal authority of ArcLight to comply in all material respects with the terms of this Subscription Agreement; (ii) result in any violation of the provisions of the organizational documents of ArcLight or its subsidiaries; or (iii) result in any violation of any statute or any judgment, order, rule or regulation of any court or governmental agency or body, domestic or foreign, having jurisdiction over ArcLight or its subsidiaries or any of their properties that would reasonably be expected to have a Material Adverse Effect or materially affect the validity of the Shares or the legal authority of ArcLight to comply in all material respects with this Subscription Agreement.</w:t>
      </w:r>
    </w:p>
    <w:p>
      <w:pPr>
        <w:spacing w:after="0" w:line="78"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e. There are no securities or instruments issued by ArcLight or to which ArcLight is a party containing anti-dilution or similar provisions that will be triggered by the issuance of the Shares pursuant to this Subscription Agreement or any Other Subscription Agreement, in each case, that have not been or will not be validly waived on or prior to the Closing Date.</w:t>
      </w:r>
    </w:p>
    <w:p>
      <w:pPr>
        <w:spacing w:after="0" w:line="76"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f. ArcLight is not in default or violation (and no event has occurred which, with notice or the lapse of time or both, would constitute a default or violation) of any term, condition or provision of (i) ArcLight’s organizational documents, (ii) any loan or credit agreement, guarantee, note, bond, mortgage, indenture, lease or other agreement, permit, franchise or license to which ArcLight is now a party or by which ArcLight’s properties or assets are bound or (iii) any statute or any judgment, order, rule or regulation of any court or governmental agency or body, domestic or foreign, having jurisdiction over ArcLight or any of its properties, except, in the case of clauses (ii) and (iii), for defaults or violations that have not had and would not reasonably be expected to have, individually or in the aggregate, a Material Adverse Effect.</w:t>
      </w:r>
    </w:p>
    <w:p>
      <w:pPr>
        <w:spacing w:after="0" w:line="70"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g. ArcLight has made available to the Investor (including via the Securities and Exchange Commission’s (“</w:t>
      </w:r>
      <w:r>
        <w:rPr>
          <w:rFonts w:ascii="Arial" w:cs="Arial" w:eastAsia="Arial" w:hAnsi="Arial"/>
          <w:sz w:val="17"/>
          <w:szCs w:val="17"/>
          <w:u w:val="single" w:color="auto"/>
          <w:color w:val="auto"/>
        </w:rPr>
        <w:t>SEC</w:t>
      </w:r>
      <w:r>
        <w:rPr>
          <w:rFonts w:ascii="Arial" w:cs="Arial" w:eastAsia="Arial" w:hAnsi="Arial"/>
          <w:sz w:val="17"/>
          <w:szCs w:val="17"/>
          <w:color w:val="auto"/>
        </w:rPr>
        <w:t>”) EDGAR system) a copy of each form, report, statement, schedule, prospectus, proxy, registration statement, and other document, if any, filed by ArcLight with the SEC since its initial registration of the Shares (the “</w:t>
      </w:r>
      <w:r>
        <w:rPr>
          <w:rFonts w:ascii="Arial" w:cs="Arial" w:eastAsia="Arial" w:hAnsi="Arial"/>
          <w:sz w:val="17"/>
          <w:szCs w:val="17"/>
          <w:u w:val="single" w:color="auto"/>
          <w:color w:val="auto"/>
        </w:rPr>
        <w:t>SEC Documents”).</w:t>
      </w:r>
      <w:r>
        <w:rPr>
          <w:rFonts w:ascii="Arial" w:cs="Arial" w:eastAsia="Arial" w:hAnsi="Arial"/>
          <w:sz w:val="17"/>
          <w:szCs w:val="17"/>
          <w:color w:val="auto"/>
        </w:rPr>
        <w:t xml:space="preserve"> As of their respective dates, all SEC Documents complied in all material respects with the applicable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the rules and regulations of the SEC promulgated thereunder applicable to the SEC Documents. None of the SEC Documents filed under the Exchange Act (except to the extent that information contained in any SEC Document has been superseded by a later timely filed SEC Document) contained, when filed, any untrue statement of a material fact or omitted to state a material fact required to be stated therein or necessary in order to make the statements therein, in the light of the circumstances under which they were made, not misleading, in the case of any SEC Document that is a registration statement, or included, when filed, any untrue statement of a material fact or omitted to state a material fact necessary in order to make the statements therein, in the light of the circumstances under which they were made, not misleading, in the case of all other SEC Documents;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information regarding the Company and its subsidiaries included in the proxy statement to be filed by ArcLight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Transaction or information regarding ArcLight’s affiliates included in any SEC Document or filed as an exhibit thereto, the representation and warranty in this sentence is made to ArcLight’s knowledge in the case of all other SEC Documents. The financial statements of ArcLight included in the SEC Documents comply in all material respects with applicable accounting requirements and the rules and regulations of the SEC with respect thereto as in effect at the time of filing and fairly present in all material respects the financial position of ArcLight as of and for the dates thereof and the results of operations and cash flows for the periods then ended, subject, in the case of unaudited statements, to normal, year-end audit adjustments. ArcLight has timely filed each report, statement, schedule, prospectus and registration statement that ArcLight was required to file with the SEC since its inception. There are no outstanding or unresolved comments in comment letters received by ArcLight from the staff of the SEC with respect to any of the SEC Documents.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3" w:name="page274"/>
    <w:bookmarkEnd w:id="273"/>
    <w:p>
      <w:pPr>
        <w:ind w:left="4" w:right="14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ArcLight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ArcLight of this Subscription Agreement (including, without limitation, the issuance of the Shares), other than</w:t>
      </w:r>
    </w:p>
    <w:p>
      <w:pPr>
        <w:spacing w:after="0" w:line="2" w:lineRule="exact"/>
        <w:rPr>
          <w:sz w:val="20"/>
          <w:szCs w:val="20"/>
          <w:color w:val="auto"/>
        </w:rPr>
      </w:pPr>
    </w:p>
    <w:p>
      <w:pPr>
        <w:jc w:val="both"/>
        <w:ind w:left="4" w:right="180" w:hanging="4"/>
        <w:spacing w:after="0" w:line="295" w:lineRule="auto"/>
        <w:tabs>
          <w:tab w:leader="none" w:pos="21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filings with the SEC, (ii) filings required by applicable state securities laws, (iii) filings required in accordance with Section 13 of this Subscription Agreement, (iv) filings required by the Nasdaq, including with respect to obtaining approval of ArcLight’s shareholders, and (v) filings that the failure of which to obtain would not be reasonably be expected to have, individually or in the aggregate, a Material Adverse Effect or have a material adverse effect on ArcLight’s ability to consummate the transactions contemplated hereby, including the sale and issuance of the Shares.</w:t>
      </w:r>
    </w:p>
    <w:p>
      <w:pPr>
        <w:spacing w:after="0" w:line="53" w:lineRule="exact"/>
        <w:rPr>
          <w:rFonts w:ascii="Arial" w:cs="Arial" w:eastAsia="Arial" w:hAnsi="Arial"/>
          <w:sz w:val="16"/>
          <w:szCs w:val="16"/>
          <w:color w:val="auto"/>
        </w:rPr>
      </w:pPr>
    </w:p>
    <w:p>
      <w:pPr>
        <w:ind w:left="4" w:right="60" w:firstLine="987"/>
        <w:spacing w:after="0" w:line="257" w:lineRule="auto"/>
        <w:tabs>
          <w:tab w:leader="none" w:pos="113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ArcLight, threatened against ArcLight or (ii) judgment, decree, injunction, ruling or order of any governmental entity or arbitrator outstanding against ArcLight. ArcLight is in compliance with all applicable laws, except where such non-compliance would not reasonably be expected to have a Material Adverse Effect.</w:t>
      </w:r>
    </w:p>
    <w:p>
      <w:pPr>
        <w:spacing w:after="0" w:line="79" w:lineRule="exact"/>
        <w:rPr>
          <w:rFonts w:ascii="Arial" w:cs="Arial" w:eastAsia="Arial" w:hAnsi="Arial"/>
          <w:sz w:val="18"/>
          <w:szCs w:val="18"/>
          <w:color w:val="auto"/>
        </w:rPr>
      </w:pPr>
    </w:p>
    <w:p>
      <w:pPr>
        <w:ind w:left="4" w:firstLine="987"/>
        <w:spacing w:after="0" w:line="286" w:lineRule="auto"/>
        <w:tabs>
          <w:tab w:leader="none" w:pos="113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As of the date of this Subscription Agreement, the authorized capital stock of ArcLight consists of (i) 500,000,000 Class A ordinary shares, (ii) 50,000,000 Class B ordinary shares and (iii) 5,000,000 preference shares, each with a par value of $0.0001 per share. As of the date of this Subscription Agreement, (A) 31,116,305 Class A ordinary shares of ArcLight are issued and outstanding, (B) 7,779,076 Class B ordinary shares of ArcLight are issued and outstanding, (C) 15,446,522 warrants to purchase Class A ordinary shares of ArcLight are issued and outstanding, and (D) no preference shares are issued and outstanding. All (1) issued and outstanding Class A ordinary shares and Class B ordinary shares of ArcLight have been duly authorized and validly issued, are fully paid and are nonassessable and are not subject to preemptive rights and (2) outstanding warrants have been duly authorized and validly issued and are not subject to preemptive rights. Except as set forth above and pursuant to the Other Subscription Agreements, the Business Combination Agreement and the other agreements and arrangements referred to therein or in the SEC Reports, as of the date hereof, there are no outstanding options, warrants or other rights to subscribe for, purchase or acquire from ArcLight any Class A ordinary shares, Class B ordinary shares or other equity interests in ArcLight, or securities convertible into or exchangeable or exercisable for such equity interests. As of the date hereof, ArcLight has no subsidiaries, and does not own, directly or indirectly, interests or investments (whether equity or debt) in any person, whether incorporated or unincorporated. There are no shareholder agreements, voting trusts or other agreements or understandings to which ArcLight is a party or by which it is bound relating to the voting of any securities of ArcLight, other than (1) as set forth in the SEC Reports and (2) as contemplated by the Business Combination Agreement.</w:t>
      </w:r>
    </w:p>
    <w:p>
      <w:pPr>
        <w:spacing w:after="0" w:line="62" w:lineRule="exact"/>
        <w:rPr>
          <w:rFonts w:ascii="Arial" w:cs="Arial" w:eastAsia="Arial" w:hAnsi="Arial"/>
          <w:sz w:val="16"/>
          <w:szCs w:val="16"/>
          <w:color w:val="auto"/>
        </w:rPr>
      </w:pPr>
    </w:p>
    <w:p>
      <w:pPr>
        <w:ind w:left="4" w:right="140" w:firstLine="987"/>
        <w:spacing w:after="0" w:line="255" w:lineRule="auto"/>
        <w:tabs>
          <w:tab w:leader="none" w:pos="117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As of the date hereof, the issued and outstanding Shares of ArcLight are registered pursuant to Section 12(b) of the Exchange Act, and are listed for trading on Nasdaq under the symbol “ACTD” (it being understood that the trading symbol will be changed in connection with the Transaction). Except as disclosed in the SEC Reports, as of the date hereof, there is no suit, action, proceeding or investigation pending or, to the knowledge of ArcLight, threatened against ArcLight by Nasdaq or the SEC, respectively, to prohibit or terminate the listing of ArcLight’s Shares on Nasdaq or to deregister the Shares under the Exchange Act. ArcLight has taken no action that is designed to terminate the registration of the Shares under the Exchange Act.</w:t>
      </w:r>
    </w:p>
    <w:p>
      <w:pPr>
        <w:spacing w:after="0" w:line="84" w:lineRule="exact"/>
        <w:rPr>
          <w:rFonts w:ascii="Arial" w:cs="Arial" w:eastAsia="Arial" w:hAnsi="Arial"/>
          <w:sz w:val="18"/>
          <w:szCs w:val="18"/>
          <w:color w:val="auto"/>
        </w:rPr>
      </w:pPr>
    </w:p>
    <w:p>
      <w:pPr>
        <w:ind w:left="4" w:firstLine="987"/>
        <w:spacing w:after="0" w:line="277" w:lineRule="auto"/>
        <w:tabs>
          <w:tab w:leader="none" w:pos="112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ArcLight is not, and immediately after receipt of payment for the Shares will not be, an “investment company” within the meaning of the Investment Company Act of 1940, as amended.</w:t>
      </w:r>
    </w:p>
    <w:p>
      <w:pPr>
        <w:spacing w:after="0" w:line="62" w:lineRule="exact"/>
        <w:rPr>
          <w:rFonts w:ascii="Arial" w:cs="Arial" w:eastAsia="Arial" w:hAnsi="Arial"/>
          <w:sz w:val="18"/>
          <w:szCs w:val="18"/>
          <w:color w:val="auto"/>
        </w:rPr>
      </w:pPr>
    </w:p>
    <w:p>
      <w:pPr>
        <w:ind w:left="4" w:right="20" w:firstLine="987"/>
        <w:spacing w:after="0" w:line="279" w:lineRule="auto"/>
        <w:tabs>
          <w:tab w:leader="none" w:pos="1225"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Assuming the accuracy of the Investor’s and Other Investors’ representations and warranties set forth in Section 6 of this Subscription Agreement, (i) no registration under the Securities Act is required for the offer and sale of the Shares by ArcLight to the Investor under this Subscription Agreement, (ii) the Shares were not offered by any form of general solicitation or general advertising and (iii) the Shares are not being offered in a manner involving a public offering under, or in a distribution in violation of, the Securities Act or any state securities laws.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74" w:name="page275"/>
    <w:bookmarkEnd w:id="274"/>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Other than the Other Subscription Agreements, the Business Combination Agreement and any other agreement contemplated by the Business Combination Agreement, ArcLight has not entered into any side letter or similar agreement with any Investor in connection with such Investor’s direct or indirect investment in ArcLight or with any Other Investor (other than with respect to terms particular to the regulatory requirements of such subscriber or its affiliates or related funds). No Other Subscription Agreement includes terms and conditions that are more advantageous to any Other Investor than the Investor hereunder (other than terms particular to the regulatory requirements of such subscriber or its affiliates or related funds), and such Other Subscription Agreements have not been amended or modified in any material respect following the date of this Subscription Agreement to include any such terms and conditions.</w:t>
      </w:r>
    </w:p>
    <w:p>
      <w:pPr>
        <w:spacing w:after="0" w:line="6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o. Other than fees payable to the Placement Agents (as defined below), ArcLight has not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undersigned could become liable. Other than the Placement Agents (as defined below), ArcLight is not aware of any person that has been or will be paid (directly or indirectly) remuneration for solicitation of purchasers in connection with the sale of any Shares.</w:t>
      </w:r>
    </w:p>
    <w:p>
      <w:pPr>
        <w:spacing w:after="0" w:line="8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p. ArcLight and any of its directors and officers and, to the best of ArcLight’s knowledge, the Company, any of the Company’s directors and officers and any of ArcLight’s and the Company’s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any other Executive Order issued by the President of the United States and administered by OFAC (collectively “</w:t>
      </w:r>
      <w:r>
        <w:rPr>
          <w:rFonts w:ascii="Arial" w:cs="Arial" w:eastAsia="Arial" w:hAnsi="Arial"/>
          <w:sz w:val="16"/>
          <w:szCs w:val="16"/>
          <w:u w:val="single" w:color="auto"/>
          <w:color w:val="auto"/>
        </w:rPr>
        <w:t>OFAC Lists</w:t>
      </w:r>
      <w:r>
        <w:rPr>
          <w:rFonts w:ascii="Arial" w:cs="Arial" w:eastAsia="Arial" w:hAnsi="Arial"/>
          <w:sz w:val="16"/>
          <w:szCs w:val="16"/>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5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q. ArcLight and any of its directors and officers and, to the best of ArcLight’s knowledge, the Company, any of the Company’s directors and officers and any of ArcLight’s and the Company’s employees, representatives, agents and any person acting on its or their behalf has not engaged in any activity or conduct which would violate any applicable anti-bribery, anti-corruption or anti-money laundering laws, regulations or rules in any applicable jurisdiction (including, without limitation, the U.S. Foreign Corrupt Practices Act of 1977, as amended) (the “</w:t>
      </w:r>
      <w:r>
        <w:rPr>
          <w:rFonts w:ascii="Arial" w:cs="Arial" w:eastAsia="Arial" w:hAnsi="Arial"/>
          <w:sz w:val="16"/>
          <w:szCs w:val="16"/>
          <w:u w:val="single" w:color="auto"/>
          <w:color w:val="auto"/>
        </w:rPr>
        <w:t>ABC Legislation</w:t>
      </w:r>
      <w:r>
        <w:rPr>
          <w:rFonts w:ascii="Arial" w:cs="Arial" w:eastAsia="Arial" w:hAnsi="Arial"/>
          <w:sz w:val="16"/>
          <w:szCs w:val="16"/>
          <w:color w:val="auto"/>
        </w:rPr>
        <w:t>”).</w:t>
      </w:r>
    </w:p>
    <w:p>
      <w:pPr>
        <w:spacing w:after="0" w:line="4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r. ArcLight and, to the best of ArcLight’s knowledge, the Company has instituted and maintains systems, policies and procedures designed to prevent violation of the ABC Legislation.</w:t>
      </w:r>
    </w:p>
    <w:p>
      <w:pPr>
        <w:spacing w:after="0" w:line="62"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s. No action, suit or proceeding by or before any court or governmental or regulatory agency, authority or body or any arbitrator having jurisdiction over ArcLight or, to the best of ArcLight’s knowledge, the Company with respect to the ABC Legislation is pending and, to the best of ArcLight’s knowledge, no such actions, suits or proceedings are threatened or contemplated.</w:t>
      </w:r>
    </w:p>
    <w:p>
      <w:pPr>
        <w:spacing w:after="0" w:line="76"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t. ArcLight acknowledges and agrees that, notwithstanding anything herein to the contrary, the Shares may be pledged by Investor in connection with a bona fide margin agreement, which shall not be deemed to be a transfer, sale or assignment of the Shares hereunder,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ArcLight with any notice thereof or otherwise make any delivery to ArcLight pursuant to this Subscription Agreement; provided, however, that none of ArcLight, the Company, or their respective counsels shall be required to take any action (or refrain from taking any action) in connection with any such pledge and no such pledge or foreclosure by any lender pursuant thereto shall relieve the Investor of its obligations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5" w:name="page276"/>
    <w:bookmarkEnd w:id="275"/>
    <w:p>
      <w:pPr>
        <w:ind w:left="620" w:hanging="184"/>
        <w:spacing w:after="0"/>
        <w:tabs>
          <w:tab w:leader="none" w:pos="62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Representations and Warranties</w:t>
      </w:r>
      <w:r>
        <w:rPr>
          <w:rFonts w:ascii="Arial" w:cs="Arial" w:eastAsia="Arial" w:hAnsi="Arial"/>
          <w:sz w:val="18"/>
          <w:szCs w:val="18"/>
          <w:color w:val="auto"/>
        </w:rPr>
        <w:t>. The Investor represents and warrants to ArcLight that:</w:t>
      </w:r>
    </w:p>
    <w:p>
      <w:pPr>
        <w:spacing w:after="0" w:line="117" w:lineRule="exact"/>
        <w:rPr>
          <w:rFonts w:ascii="Arial" w:cs="Arial" w:eastAsia="Arial" w:hAnsi="Arial"/>
          <w:sz w:val="18"/>
          <w:szCs w:val="18"/>
          <w:color w:val="auto"/>
        </w:rPr>
      </w:pPr>
    </w:p>
    <w:p>
      <w:pPr>
        <w:ind w:right="20" w:firstLine="987"/>
        <w:spacing w:after="0" w:line="290" w:lineRule="auto"/>
        <w:tabs>
          <w:tab w:leader="none" w:pos="116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The Investor (i) is a “qualified institutional buyer” (as defined in Rule 144A under the Securities Act), an institutional “accredited investor” (within the meaning of Rule 501(a) under the Securities Act), or an “institutional account” (as defined in FINRA Rule 4512(c)), in each case, satisfying the applicable requirements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(ii) is not an underwriter (as defined in Section 2(a)(11) of the Securities Act); (iii) is acquiring the Shares only for his, her 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The Investor is not an entity formed for the specific purpose of acquiring the Shares.</w:t>
      </w:r>
    </w:p>
    <w:p>
      <w:pPr>
        <w:spacing w:after="0" w:line="57" w:lineRule="exact"/>
        <w:rPr>
          <w:rFonts w:ascii="Arial" w:cs="Arial" w:eastAsia="Arial" w:hAnsi="Arial"/>
          <w:sz w:val="16"/>
          <w:szCs w:val="16"/>
          <w:color w:val="auto"/>
        </w:rPr>
      </w:pPr>
    </w:p>
    <w:p>
      <w:pPr>
        <w:ind w:firstLine="987"/>
        <w:spacing w:after="0" w:line="287" w:lineRule="auto"/>
        <w:tabs>
          <w:tab w:leader="none" w:pos="117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Investor acknowledges and agrees that the Shares are being offered in a transaction not involving any public offering within the meaning of the Securities Act and that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ArcLight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the foregoing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be eligible for offer, resale, transfer, pledge or disposition pursuant to Rule 144 promulgated under the Securities Act until at least one year from the Closing Date. The Investor acknowledges and agrees that it has been advised to consult legal counsel and tax and accounting advisors prior to making any offer, resale, transfer, pledge or disposition of any of the Shares.</w:t>
      </w:r>
    </w:p>
    <w:p>
      <w:pPr>
        <w:spacing w:after="0" w:line="59" w:lineRule="exact"/>
        <w:rPr>
          <w:rFonts w:ascii="Arial" w:cs="Arial" w:eastAsia="Arial" w:hAnsi="Arial"/>
          <w:sz w:val="16"/>
          <w:szCs w:val="16"/>
          <w:color w:val="auto"/>
        </w:rPr>
      </w:pPr>
    </w:p>
    <w:p>
      <w:pPr>
        <w:ind w:right="60" w:firstLine="987"/>
        <w:spacing w:after="0" w:line="257" w:lineRule="auto"/>
        <w:tabs>
          <w:tab w:leader="none" w:pos="116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is purchasing the Shares from ArcLight. The Investor further acknowledges that there have been no representations, warranties, covenants and agreements made to the Investor by or on behalf of ArcLight,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ArcLight expressly set forth in this Subscription Agreement.</w:t>
      </w:r>
    </w:p>
    <w:p>
      <w:pPr>
        <w:spacing w:after="0" w:line="79" w:lineRule="exact"/>
        <w:rPr>
          <w:rFonts w:ascii="Arial" w:cs="Arial" w:eastAsia="Arial" w:hAnsi="Arial"/>
          <w:sz w:val="18"/>
          <w:szCs w:val="18"/>
          <w:color w:val="auto"/>
        </w:rPr>
      </w:pPr>
    </w:p>
    <w:p>
      <w:pPr>
        <w:ind w:right="40" w:firstLine="987"/>
        <w:spacing w:after="0" w:line="287" w:lineRule="auto"/>
        <w:tabs>
          <w:tab w:leader="none" w:pos="117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Investor acknowledges and agrees that either (1) the Investor’s acquisition and holding of the Shares will not constitute or result in a non-exempt prohibited transaction under Section 406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Section 4975 of the Internal Revenue Code of 1986, as amended, or any applicable similar law or (2) the Investor is not a Benefit Plan Investor as contemplated by</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102" w:lineRule="exact"/>
        <w:rPr>
          <w:rFonts w:ascii="Arial" w:cs="Arial" w:eastAsia="Arial" w:hAnsi="Arial"/>
          <w:sz w:val="16"/>
          <w:szCs w:val="16"/>
          <w:color w:val="auto"/>
        </w:rPr>
      </w:pPr>
    </w:p>
    <w:p>
      <w:pPr>
        <w:ind w:right="180" w:firstLine="987"/>
        <w:spacing w:after="0" w:line="269" w:lineRule="auto"/>
        <w:tabs>
          <w:tab w:leader="none" w:pos="1161"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The Investor acknowledges and agrees that the Investor has received and has had an adequate opportunity to review such financial and other information as the Investor deems necessary in order to make an investment decision with respect to the Shares, including, with respect to ArcLight, the Transaction and the business of the Company and its subsidiaries. Without limiting the generality of the foregoing, the Investor acknowledges that he, she or it has reviewed the SEC Reports.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 and have made its own assessment and satisfied itself concerning relevant tax and other economic considerations. The Investor further acknowledges that the information provided to the Investor may change and ArcLight is under no obligation to inform the Investor regarding any such changes, except to the extent such changes would reasonably be expected to cause the failure of ArcLight to satisfy a condition to the Investor’s obligations at the Closing set forth in </w:t>
      </w:r>
      <w:r>
        <w:rPr>
          <w:rFonts w:ascii="Arial" w:cs="Arial" w:eastAsia="Arial" w:hAnsi="Arial"/>
          <w:sz w:val="17"/>
          <w:szCs w:val="17"/>
          <w:u w:val="single" w:color="auto"/>
          <w:color w:val="auto"/>
        </w:rPr>
        <w:t>Section 3(c)</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76" w:name="page277"/>
    <w:bookmarkEnd w:id="276"/>
    <w:p>
      <w:pPr>
        <w:ind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Investor became aware of this offering of the Shares solely by means of direct contact between the Investor and ArcLight, the Company or a representative of ArcLight or the Company (including the Placement Agents), and the Shares were offered to the Investor solely by direct contact between the Investor and ArcLight, the Company or a representative of ArcLight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ArcLight, the Company, the Placement Agents, any of their respective affiliates or any control persons, officers, directors, employees, partners, agents or representatives of any of the foregoing), other than the representations and warranties of ArcLight contained in Section 5 of this Subscription Agreement, in making its investment or decision to invest in ArcLight.</w:t>
      </w:r>
    </w:p>
    <w:p>
      <w:pPr>
        <w:spacing w:after="0" w:line="7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g. The Investor acknowledges that it is aware that there are substantial risks incident to the purchase and ownership of the Shares, including those set forth in ArcLight’s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 The Investor is able to fend for itself in the transactions contemplated herein and has such knowledge and experience in financial and business matters as to be capable of evaluating the merits and risks of the investment.</w:t>
      </w:r>
    </w:p>
    <w:p>
      <w:pPr>
        <w:spacing w:after="0" w:line="53"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h. 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ArcLight. The Investor acknowledges specifically that a possibility of total loss exists.</w:t>
      </w:r>
    </w:p>
    <w:p>
      <w:pPr>
        <w:spacing w:after="0" w:line="79"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i. In making its decision to purchase the Shares, the Investor has relied solely upon independent investigation, the Investor Presentation provided to the Investor, and ArcLight’s representations, warranties, covenants and agreements herein. Without limiting the generality of the foregoing, the Investor has not relied on any statements or other information provided by or on behalf of the Placement Agents or any of their affiliates or any control persons, officers, directors, employees, partners, agents or representatives of any of the foregoing concerning ArcLight, the Company, the Transaction, the Business Combination Agreement, this Subscription Agreement or the transactions contemplated hereby or thereby, the Shares or the offer and sale of the Shares.</w:t>
      </w:r>
    </w:p>
    <w:p>
      <w:pPr>
        <w:spacing w:after="0" w:line="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j. The Investor acknowledges that certain information provided to such Investor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The Investor acknowledges that such information and projections were prepared without the participation of the Placement Agents and that the Placement Agents do not assume responsibility for independent verification of, or the accuracy or completeness of, such information or projections.</w:t>
      </w:r>
    </w:p>
    <w:p>
      <w:pPr>
        <w:spacing w:after="0" w:line="53"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k. The Investor acknowledges and agrees that no federal or state agency has passed upon or endorsed the merits of the offering of the Shares or made any findings or determination as to the fairness of this investment.</w:t>
      </w:r>
    </w:p>
    <w:p>
      <w:pPr>
        <w:spacing w:after="0" w:line="6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l. The Investor, if not an individual,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7" w:name="page278"/>
    <w:bookmarkEnd w:id="277"/>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violate any provisions of the Investor’s organizational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ArcLight,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74"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n. The Investor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or, any other list of prohibited or restricted parties promulgated by OFAC, the Department of Commerce, or the Department of State (collectively, the “</w:t>
      </w:r>
      <w:r>
        <w:rPr>
          <w:rFonts w:ascii="Arial" w:cs="Arial" w:eastAsia="Arial" w:hAnsi="Arial"/>
          <w:sz w:val="17"/>
          <w:szCs w:val="17"/>
          <w:u w:val="single" w:color="auto"/>
          <w:color w:val="auto"/>
        </w:rPr>
        <w:t>Sanctions List</w:t>
      </w:r>
      <w:r>
        <w:rPr>
          <w:rFonts w:ascii="Arial" w:cs="Arial" w:eastAsia="Arial" w:hAnsi="Arial"/>
          <w:sz w:val="17"/>
          <w:szCs w:val="17"/>
          <w:color w:val="auto"/>
        </w:rPr>
        <w:t xml:space="preserve">”), or a person or entity prohibited by any OFAC sanctions program, (ii) owned, directly or indirectly, or controlled by, or acting on behalf of, one or more persons that are named on the Sanctions List, (iii) a Designated National as defined in the Cuban Assets Control Regulations, 31 C.F.R. Part 515, or (iii) a non-U.S. shell bank or providing banking services indirectly to a non-U.S. shell bank. The Investor agrees to provide law enforcement agencies, if requested thereby, such records as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is permitted to do so under applicable law. If the Investor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Sanctions List. To the extent required by applicable law, the Investor maintains policies and procedures reasonably designed to ensure that the funds held by the Investor and used to purchase the Shares were legally derived.</w:t>
      </w:r>
    </w:p>
    <w:p>
      <w:pPr>
        <w:spacing w:after="0" w:line="78"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o. The Investor acknowledges that no disclosure or offering document has been prepared by Citigroup Global Markets Inc. (“</w:t>
      </w:r>
      <w:r>
        <w:rPr>
          <w:rFonts w:ascii="Arial" w:cs="Arial" w:eastAsia="Arial" w:hAnsi="Arial"/>
          <w:sz w:val="18"/>
          <w:szCs w:val="18"/>
          <w:u w:val="single" w:color="auto"/>
          <w:color w:val="auto"/>
        </w:rPr>
        <w:t>Citi</w:t>
      </w:r>
      <w:r>
        <w:rPr>
          <w:rFonts w:ascii="Arial" w:cs="Arial" w:eastAsia="Arial" w:hAnsi="Arial"/>
          <w:sz w:val="18"/>
          <w:szCs w:val="18"/>
          <w:color w:val="auto"/>
        </w:rPr>
        <w:t>”), Barclays Capital Inc. (“</w:t>
      </w:r>
      <w:r>
        <w:rPr>
          <w:rFonts w:ascii="Arial" w:cs="Arial" w:eastAsia="Arial" w:hAnsi="Arial"/>
          <w:sz w:val="18"/>
          <w:szCs w:val="18"/>
          <w:u w:val="single" w:color="auto"/>
          <w:color w:val="auto"/>
        </w:rPr>
        <w:t>Barclays</w:t>
      </w:r>
      <w:r>
        <w:rPr>
          <w:rFonts w:ascii="Arial" w:cs="Arial" w:eastAsia="Arial" w:hAnsi="Arial"/>
          <w:sz w:val="18"/>
          <w:szCs w:val="18"/>
          <w:color w:val="auto"/>
        </w:rPr>
        <w:t>”), Credit Suisse (USA) Inc. (“</w:t>
      </w:r>
      <w:r>
        <w:rPr>
          <w:rFonts w:ascii="Arial" w:cs="Arial" w:eastAsia="Arial" w:hAnsi="Arial"/>
          <w:sz w:val="18"/>
          <w:szCs w:val="18"/>
          <w:u w:val="single" w:color="auto"/>
          <w:color w:val="auto"/>
        </w:rPr>
        <w:t>CS</w:t>
      </w:r>
      <w:r>
        <w:rPr>
          <w:rFonts w:ascii="Arial" w:cs="Arial" w:eastAsia="Arial" w:hAnsi="Arial"/>
          <w:sz w:val="18"/>
          <w:szCs w:val="18"/>
          <w:color w:val="auto"/>
        </w:rPr>
        <w:t>”) and BofA Securities, Inc. (“</w:t>
      </w:r>
      <w:r>
        <w:rPr>
          <w:rFonts w:ascii="Arial" w:cs="Arial" w:eastAsia="Arial" w:hAnsi="Arial"/>
          <w:sz w:val="18"/>
          <w:szCs w:val="18"/>
          <w:u w:val="single" w:color="auto"/>
          <w:color w:val="auto"/>
        </w:rPr>
        <w:t>BofA</w:t>
      </w:r>
      <w:r>
        <w:rPr>
          <w:rFonts w:ascii="Arial" w:cs="Arial" w:eastAsia="Arial" w:hAnsi="Arial"/>
          <w:sz w:val="18"/>
          <w:szCs w:val="18"/>
          <w:color w:val="auto"/>
        </w:rPr>
        <w:t>” and together with Citi, Barclays and CS,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in connection with the offer and sale of the Shares.</w:t>
      </w:r>
    </w:p>
    <w:p>
      <w:pPr>
        <w:spacing w:after="0" w:line="76"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color w:val="auto"/>
        </w:rPr>
        <w:t>p. Neither the Placement Agents, nor any of their affiliates nor any control persons, officers, directors, employees, partners, agents or representatives of any of the foregoing have made any independent investigation with respect to ArcLight, the Company or its subsidiaries or any of their respective businesses, or the Shares or the accuracy, completeness or adequacy of any information supplied to the Investor by ArcLight.</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q. In connection with the issue and purchase of the Shares, the Placement Agents have not acted as the Investor’s financial advisor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fiduciary.</w:t>
      </w:r>
    </w:p>
    <w:p>
      <w:pPr>
        <w:spacing w:after="0" w:line="103"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r. The Investor acknowledges and agrees that the Placement Agents shall not be liable to the Investor (including in contract, tort, under federal or state securities laws or otherwise) for any action heretofore or hereafter taken or omitted to be taken by any of them in connection with this Subscription Agreement. On behalf of it and its affiliates, the Investor releases the Placement Agents in respect of any losses, claims, damages, obligations, penalties, judgments, awards, liabilities, costs, expenses or disbursements related to this Subscription Agreement. The Investor agrees not to commence any litigation or bring any claim against the Placement Agents in any court or any other forum which relates to, may arise out of, or is in connection with, this Subscription Agreement. This undertaking is given freely and after obtaining independent legal advice.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8" w:name="page279"/>
    <w:bookmarkEnd w:id="278"/>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 The Investor acknowledges that it is aware that BofA and CS are each a Placement Agent and are also acting as financial advisor to the Company in connection with the Transaction.</w:t>
      </w:r>
    </w:p>
    <w:p>
      <w:pPr>
        <w:spacing w:after="0" w:line="62"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 The Investor has or has commitments to have and, when required to deliver payment to ArcLight pursuant to Section 2 above, will have, sufficient funds to pay the Subscription Amount and consummate the purchase and sale of the Shares pursuant to this Subscription Agreement.</w:t>
      </w:r>
    </w:p>
    <w:p>
      <w:pPr>
        <w:spacing w:after="0" w:line="1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 The Investor acknowledges that (i) the purchase and sale of Shares hereunder meets the exemptions from filing under FINRA Rule 5123(b)(1)(A), (C) or (J) and the institutional customer exemption under FINRA Rule 2111(b); (ii) it is a sophisticated investor, experienced in investing in private equity and capital markets transactions and capable of evaluating investment risks independently, both in general and with regard to all transactions and investment strategies involving a security or securities; and (iii) it has exercised independent judgment in evaluating its participation in the purchase of the Securities.</w:t>
      </w:r>
    </w:p>
    <w:p>
      <w:pPr>
        <w:spacing w:after="0" w:line="8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v. The Investor acknowledges that the Placement Agents may have acquired, or during the term of the Shares may acquire, non-public information with respect to ArcLight, which the Investor agrees need not be provided to it.</w:t>
      </w:r>
    </w:p>
    <w:p>
      <w:pPr>
        <w:spacing w:after="0" w:line="6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 The Investor acknowledges and agrees that ArcLight may complete additional financings in the future to develop its business and fund its ongoing development, including to finance the Transaction, and such future financings may have a dilutive effect on current securityholders of ArcLight, including the Investor, but there is no assurance that such financing will be available, on reasonable terms or at all, and if not available, ArcLight may be unable to fund its ongoing development.</w:t>
      </w:r>
    </w:p>
    <w:p>
      <w:pPr>
        <w:spacing w:after="0" w:line="79" w:lineRule="exact"/>
        <w:rPr>
          <w:sz w:val="20"/>
          <w:szCs w:val="20"/>
          <w:color w:val="auto"/>
        </w:rPr>
      </w:pPr>
    </w:p>
    <w:p>
      <w:pPr>
        <w:ind w:right="360" w:firstLine="991"/>
        <w:spacing w:after="0" w:line="257" w:lineRule="auto"/>
        <w:rPr>
          <w:sz w:val="20"/>
          <w:szCs w:val="20"/>
          <w:color w:val="auto"/>
        </w:rPr>
      </w:pPr>
      <w:r>
        <w:rPr>
          <w:rFonts w:ascii="Arial" w:cs="Arial" w:eastAsia="Arial" w:hAnsi="Arial"/>
          <w:sz w:val="18"/>
          <w:szCs w:val="18"/>
          <w:color w:val="auto"/>
        </w:rPr>
        <w:t>x. The Investor acknowledges and agrees that ArcLight continues to review the “Staff Statement on Accounting and Reporting Considerations for Warrants Issued by Special Purpose Acquisition Companies” issued by the SEC staff on April 12, 2021 and its implications, including on the financial statements and other information included in its SEC Reports, and any restatement, revision or other modification of such filings relating to or arising from such review, any subsequent related agreements or other guidance from the staff of the SEC shall be deemed not material for purposes of this Subscription Agreement.</w:t>
      </w:r>
    </w:p>
    <w:p>
      <w:pPr>
        <w:spacing w:after="0" w:line="80" w:lineRule="exact"/>
        <w:rPr>
          <w:sz w:val="20"/>
          <w:szCs w:val="20"/>
          <w:color w:val="auto"/>
        </w:rPr>
      </w:pPr>
    </w:p>
    <w:p>
      <w:pPr>
        <w:ind w:left="620" w:hanging="184"/>
        <w:spacing w:after="0"/>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1"/>
        <w:spacing w:after="0" w:line="285" w:lineRule="auto"/>
        <w:rPr>
          <w:rFonts w:ascii="Arial" w:cs="Arial" w:eastAsia="Arial" w:hAnsi="Arial"/>
          <w:sz w:val="18"/>
          <w:szCs w:val="18"/>
          <w:color w:val="auto"/>
        </w:rPr>
      </w:pPr>
      <w:r>
        <w:rPr>
          <w:rFonts w:ascii="Arial" w:cs="Arial" w:eastAsia="Arial" w:hAnsi="Arial"/>
          <w:sz w:val="16"/>
          <w:szCs w:val="16"/>
          <w:color w:val="auto"/>
        </w:rPr>
        <w:t>a. In the event that the Shares are not registered in connection with the consummation of the Transaction, ArcLight agrees that, within fifteen (15) business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offering of the resale of the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(i) sixty (60) calendar days after the filing thereof (or ninety (90) calendar days after the filing thereof if the SEC notifies ArcLight that it will “review” the Registration Statement) and (ii) ten (10) business days after ArcLight is notified (orally or in writing, whichever is earlier) by the SEC that the Registration Statement will not be “reviewed” or will not be subject to further review (such date,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ArcLight agrees to cause such Registration Statement, or another shelf registration statement that includes the Shares to be sold pursuant to this Subscription Agreement, to remain effective until the earliest of (i) the third anniversary of the Closing, (ii) the date on which the Investor ceases to hold any Shares issued pursuant to this Subscription Agreement, or (iii) the first date on which the Investor is able to sell all of its Shares issued pursuant to this Subscription Agreement (or shares received in exchange therefor) without restriction under Rule 144 promulgated under the Securities Act, including without limitation, any volume or manner of sale restrictions that may be applicable to affiliates under Rule 144 and without the requirement for ArcLight to be in compliance with the current public information required under Rule 144(c)(1) (or Rule 144(i)(2), if applicable) (the earliest of (i)–(iii) being the “</w:t>
      </w:r>
      <w:r>
        <w:rPr>
          <w:rFonts w:ascii="Arial" w:cs="Arial" w:eastAsia="Arial" w:hAnsi="Arial"/>
          <w:sz w:val="16"/>
          <w:szCs w:val="16"/>
          <w:u w:val="single" w:color="auto"/>
          <w:color w:val="auto"/>
        </w:rPr>
        <w:t>Expiration</w:t>
      </w:r>
      <w:r>
        <w:rPr>
          <w:rFonts w:ascii="Arial" w:cs="Arial" w:eastAsia="Arial" w:hAnsi="Arial"/>
          <w:sz w:val="16"/>
          <w:szCs w:val="16"/>
          <w:color w:val="auto"/>
        </w:rPr>
        <w:t>”). Prior to the Expiration, ArcLight will use commercially reasonable efforts to qualify the Shares for listing on the applicable stock exchange. The Investor agrees to disclose its ownership and any other information reasonably requested to ArcLight upon request to assist it in making the determination described above. Notwithstanding the foregoing, if the SEC prevents ArcLight from including any or all of the shares proposed to be registered under the Registration Statement due to limitations on the use of Rule 415 under the Securities Act for the resale of the Shares by the applicable stockholders or otherwise, such Registration Statement shall register for resale such number of Shares which is equal to the maximum number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9" w:name="page280"/>
    <w:bookmarkEnd w:id="27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as is permitted to be registered by the SEC. In such event, the number of Shares to be registered for each selling stockholder named in the Registration Statement shall be reduced pro rata among all such selling stockholders, and Arclight shall use its commercially reasonable efforts to file with the SEC, as promptly as allowed by the SEC, one or more registration statements to register the resale of those Shares that were not registered in the initial Registration Statement, as so amended, and to have the Registration Statement declared effective as soon as practicable after the filing thereof. The Investor acknowledges and agrees that ArcLight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ArcLight shall not so delay filing or so suspend the use of the Registration Statement for a period of more than sixty (60) consecutive days or more than a total of ninety (90) calendar days, in each case in any three hundred sixty (360) day period, (B) ArcLight shall have a bona fide business purpose for not making such information public and (C) ArcLight shall use commercially reasonable efforts to make such registration statement available for the sale by the Investor of such securities as soon as practicable thereafter. ArcLight’s obligations to include the Shares issued pursuant to this Subscription Agreement (or shares issued in exchange therefor) for resale in the Registration Statement are contingent upon the Investor furnishing in writing to ArcLight such information regarding the Investor, the securities of ArcLight held by the Investor and the intended method of disposition of such Shares, which shall be limited to non-underwritten public offerings, as shall be reasonably requested by ArcLight to effect the registration of such Shares, and shall execute such documents in connection with such registration as ArcLight may reasonably request that are customary of a selling stockholder in similar situations (collectively, the “</w:t>
      </w:r>
      <w:r>
        <w:rPr>
          <w:rFonts w:ascii="Arial" w:cs="Arial" w:eastAsia="Arial" w:hAnsi="Arial"/>
          <w:sz w:val="16"/>
          <w:szCs w:val="16"/>
          <w:u w:val="single" w:color="auto"/>
          <w:color w:val="auto"/>
        </w:rPr>
        <w:t>Questionnaire”)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Investor shall not in connection with the foregoing be required to execute any lock-up or similar agreement or otherwise be subject to any contractual restriction on the ability to transfer the Shares. ArcLight will provide a draft of the Registration Statement to the Investor for review at least two (2) business days in advance of filing the Registration Statement. The Investor shall not be identified as a statutory underwriter in the Registration Statement unless in response to a comment or request from the staff of the SEC or another regulatory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from the Registration Statement. For purposes of clarification, any failure by ArcLight to file the Registration Statement by the Filing Deadline or to effect such Registration Statement by the Effectiveness Date shall not otherwise relieve ArcLight of its obligations to file or effect the Registration Statement as set forth in this Section 7.</w:t>
      </w:r>
    </w:p>
    <w:p>
      <w:pPr>
        <w:spacing w:after="0" w:line="6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b. Prior to the Expiration, ArcLight shall advise the Investor within three (3) business days (at ArcLight’s expense):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ArcLight of any notification with respect to the suspension of the qualification of the Shares included therein for sale in any jurisdiction or the initiation or threatening of any proceeding for such purpose; and (v) subject to the provisions in this Subscription Agreement, of a suspension pursuant to Section 7(a) or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(provided that any such notice pursuant to this Section 7(b)(v) shall solely provide that the use of the Registration Statement or prospectus has been suspended without setting forth the reason for such suspension and shall not contain any material non-public information regarding ArcLight and which notice shall not be subject to any duty of confidentiality). ArcLight shall use its commercially reasonable efforts to obtain the withdrawal of any order suspending the effectiveness of any Registration Statement as soon as reasonably practicable. Upon the occurrence of any event contemplated in clauses (i) through (v) above, except for such times as ArcLight is permitted hereunder to suspend, and has suspended, the use of a prospectus forming part of a registration statement, ArcLight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 The Investor agrees that it will immediately discontinue offers and sales of the Shares using a Registration Statement until the Investor receives copies of a supplemental or amended prospectus that corrects the misstatement(s) or omission(s) referred to above in clause (iv)</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0" w:name="page281"/>
    <w:bookmarkEnd w:id="28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receives notice that any post-effective amendment has become effective or unless otherwise notified by ArcLight that it may resume such offers and sales (which notice shall not contain any material non-public information regarding ArcLight and which notice shall not be subject to any duty of confidentiality). If so directed by ArcLight, the Investor will deliver to ArcLight or, in the Investor’s sole discretion destroy, all copies of the prospectus covering the Shares in the Investor’s possession;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obligation to deliver or destroy all copies of the prospectus covering the Shares shall not apply (x) to the extent the Investor is required to retain a copy of such prospectus in order to comply with applicable legal, regulatory, self-regulatory or professional requirements or in accordance with a bona fide pre-existing document retention policy or (y) to copies stored electronically on archival servers as a result of automatic data back-up.</w:t>
      </w:r>
    </w:p>
    <w:p>
      <w:pPr>
        <w:spacing w:after="0" w:line="8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c. Prior to the Expiration, ArcLight will use commercially reasonable efforts to file all reports necessary to enable the undersigned to resell the Shares pursuant to the Registration Statement. For as long as the Investor holds Shares, ArcLight will use commercially reasonable efforts to file all reports necessary to enable the undersigned to resell the Shares pursuant to Rule 144 of the Securities Act (when Rule 144 of the Securities Act becomes available to the Investor). In addition, in connection with any proposed sale, assignment, transfer or other disposition of the Shares by the Investor pursuant to Rule 144, or pursuant to any other exemption under the Securities Act, or in connection with a sale or transfer in the manner described in the Registration Statement such that the Shares held by the Investor become freely tradable and upon compliance by the Investor with the requirements of this Subscription Agreement, if requested by the Investor, ArcLight shall provide the Transfer Agent with customary documentation reasonably acceptable to ArcLight and the Transfer Agent, including, if required by the Transfer Agent, an opinion of ArcLight’s counsel, in a form reasonably acceptable to ArcLight and the Transfer Agent, as required to remove any restrictive legends related to the book entry account holding such Shares and make a new, unlegended entry for such book entry Shares sold or disposed of without restrictive legends within two (2) trading days of any such request therefor from the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and the Transfer Agent have timely received from the Investor customary representations and other documentation reasonably acceptable to ArcLight and the Transfer Agent in connection therewith.</w:t>
      </w:r>
    </w:p>
    <w:p>
      <w:pPr>
        <w:spacing w:after="0" w:line="60" w:lineRule="exact"/>
        <w:rPr>
          <w:sz w:val="20"/>
          <w:szCs w:val="20"/>
          <w:color w:val="auto"/>
        </w:rPr>
      </w:pPr>
    </w:p>
    <w:p>
      <w:pPr>
        <w:ind w:left="1160" w:hanging="173"/>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17" w:lineRule="exact"/>
        <w:rPr>
          <w:rFonts w:ascii="Arial" w:cs="Arial" w:eastAsia="Arial" w:hAnsi="Arial"/>
          <w:sz w:val="18"/>
          <w:szCs w:val="18"/>
          <w:color w:val="auto"/>
        </w:rPr>
      </w:pPr>
    </w:p>
    <w:p>
      <w:pPr>
        <w:ind w:left="980" w:firstLine="408"/>
        <w:spacing w:after="0" w:line="269" w:lineRule="auto"/>
        <w:tabs>
          <w:tab w:leader="none" w:pos="1596" w:val="left"/>
        </w:tabs>
        <w:numPr>
          <w:ilvl w:val="1"/>
          <w:numId w:val="293"/>
        </w:numPr>
        <w:rPr>
          <w:rFonts w:ascii="Arial" w:cs="Arial" w:eastAsia="Arial" w:hAnsi="Arial"/>
          <w:sz w:val="17"/>
          <w:szCs w:val="17"/>
          <w:color w:val="auto"/>
        </w:rPr>
      </w:pPr>
      <w:r>
        <w:rPr>
          <w:rFonts w:ascii="Arial" w:cs="Arial" w:eastAsia="Arial" w:hAnsi="Arial"/>
          <w:sz w:val="17"/>
          <w:szCs w:val="17"/>
          <w:color w:val="auto"/>
        </w:rPr>
        <w:t xml:space="preserve">ArcLight agrees to indemnify and hold harmless, to the extent permitted by law, the Investor, its directors, trustees, officers, employees, affiliates, advisers, and agents, and each person who controls the Investor (within the meaning of the Section 15 of the Securities Act or Section 20 of the Exchange Act) and each affiliate of the Investor (within the meaning of Rule 405 under the Securities Act) from and against any and all losses, claims, damages, liabilities and expenses (including, without limitation, any reasonable attorneys’ fees and expenses incurred in connection with defending or investigating any such action or claim) caused by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not misleading, except insofar as and to the extent, but only to the extent, the same are caused by or contained in any information furnished in writing to ArcLight by or on behalf of the Investor expressly for use therein, including the contents of any Questionnaire. ArcLight shall notify the Investor promptly of the institution, threat or assertion of any proceeding arising from or based on the matters for which it is obligated to indemnify and hold harmless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7(d)(i) of which ArcLight receives notice in writing.</w:t>
      </w:r>
    </w:p>
    <w:p>
      <w:pPr>
        <w:spacing w:after="0" w:line="70" w:lineRule="exact"/>
        <w:rPr>
          <w:rFonts w:ascii="Arial" w:cs="Arial" w:eastAsia="Arial" w:hAnsi="Arial"/>
          <w:sz w:val="17"/>
          <w:szCs w:val="17"/>
          <w:color w:val="auto"/>
        </w:rPr>
      </w:pPr>
    </w:p>
    <w:p>
      <w:pPr>
        <w:ind w:left="980" w:right="80" w:firstLine="408"/>
        <w:spacing w:after="0" w:line="254" w:lineRule="auto"/>
        <w:tabs>
          <w:tab w:leader="none" w:pos="164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Investor agrees, severally and not jointly with any person that is a party to the Other Subscription Agreements, to indemnify and hold harmless ArcLight, its directors, trustees, officers, affiliates, advisers, and agents and each person who controls ArcLight (within the meaning of Section 15 of the Securities Act and Section 20 of the Exchange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(in the case of any prospectus, or preliminary prospectus or supplement thereto, in light of the circumstances under which they were made) or necessary to make the statements therein not misleading, but only to the extent that such untrue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81" w:name="page282"/>
    <w:bookmarkEnd w:id="28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or omission is contained in any information or affidavit so furnished in writing by the Investor (including any Questionnaire furnished by the Investor) expressly for use therein. In no event shall the liability of the Investor be greater in amount than the dollar amount of the net proceeds received by the Investor upon the sale of the Shares purchased pursuant to this Subscription Agreement giving rise to such indemnification obligation. The Investor shall notify ArcLight promptly of the institution, threat or assertion of any proceeding arising from or based on the matters for which it is obligated to indemnify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7(d)(ii) of which the Investor receives notice in writing.</w:t>
      </w:r>
    </w:p>
    <w:p>
      <w:pPr>
        <w:spacing w:after="0" w:line="84" w:lineRule="exact"/>
        <w:rPr>
          <w:sz w:val="20"/>
          <w:szCs w:val="20"/>
          <w:color w:val="auto"/>
        </w:rPr>
      </w:pPr>
    </w:p>
    <w:p>
      <w:pPr>
        <w:ind w:right="40" w:firstLine="408"/>
        <w:spacing w:after="0" w:line="286" w:lineRule="auto"/>
        <w:tabs>
          <w:tab w:leader="none" w:pos="71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Any person entitled to indemnification hereunder shall (1)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unless in such indemnified party’s reasonable judgment a conflict of interest between such indemnified and indemnifying parties exists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278" w:lineRule="exact"/>
        <w:rPr>
          <w:rFonts w:ascii="Arial" w:cs="Arial" w:eastAsia="Arial" w:hAnsi="Arial"/>
          <w:sz w:val="16"/>
          <w:szCs w:val="16"/>
          <w:color w:val="auto"/>
        </w:rPr>
      </w:pPr>
    </w:p>
    <w:p>
      <w:pPr>
        <w:ind w:right="20" w:firstLine="408"/>
        <w:spacing w:after="0" w:line="286" w:lineRule="auto"/>
        <w:tabs>
          <w:tab w:leader="none" w:pos="70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57" w:lineRule="exact"/>
        <w:rPr>
          <w:rFonts w:ascii="Arial" w:cs="Arial" w:eastAsia="Arial" w:hAnsi="Arial"/>
          <w:sz w:val="17"/>
          <w:szCs w:val="17"/>
          <w:color w:val="auto"/>
        </w:rPr>
      </w:pPr>
    </w:p>
    <w:p>
      <w:pPr>
        <w:ind w:firstLine="408"/>
        <w:spacing w:after="0" w:line="268" w:lineRule="auto"/>
        <w:tabs>
          <w:tab w:leader="none" w:pos="65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If the indemnification provided under this Section 7(d)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Arial" w:cs="Arial" w:eastAsia="Arial" w:hAnsi="Arial"/>
          <w:sz w:val="17"/>
          <w:szCs w:val="17"/>
          <w:i w:val="1"/>
          <w:iCs w:val="1"/>
          <w:color w:val="auto"/>
        </w:rPr>
        <w:t>provided, however</w:t>
      </w:r>
      <w:r>
        <w:rPr>
          <w:rFonts w:ascii="Arial" w:cs="Arial" w:eastAsia="Arial" w:hAnsi="Arial"/>
          <w:sz w:val="17"/>
          <w:szCs w:val="17"/>
          <w:color w:val="auto"/>
        </w:rPr>
        <w:t>, the liability of the Investor shall be limited to the net proceeds received by the Investor from the sale of the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7(d) from any person who was not guilty of such fraudulent misrepresentation. In no event shall the liability of the Investor be</w:t>
      </w:r>
    </w:p>
    <w:p>
      <w:pPr>
        <w:spacing w:after="0" w:line="11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20" w:top="274" w:right="459" w:bottom="1440" w:gutter="0" w:footer="0" w:header="0"/>
        </w:sectPr>
      </w:pPr>
    </w:p>
    <w:bookmarkStart w:id="282" w:name="page283"/>
    <w:bookmarkEnd w:id="282"/>
    <w:p>
      <w:pPr>
        <w:ind w:left="98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in amount than the dollar amount of the net proceeds received by the Investor upon the sale of the Shares purchased pursuant to this Subscription Agreement giving rise to such contribution obligation. Notwithstanding anything to the contrary herein, in no event will any party be liable for consequential, special, exemplary or punitive damages in connection with this Subscription Agreement or the transactions contemplated hereby.</w:t>
      </w:r>
    </w:p>
    <w:p>
      <w:pPr>
        <w:spacing w:after="0" w:line="79" w:lineRule="exact"/>
        <w:rPr>
          <w:sz w:val="20"/>
          <w:szCs w:val="20"/>
          <w:color w:val="auto"/>
        </w:rPr>
      </w:pPr>
    </w:p>
    <w:p>
      <w:pPr>
        <w:ind w:firstLine="436"/>
        <w:spacing w:after="0" w:line="286" w:lineRule="auto"/>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Business Combination Agreement is terminated in accordance with its terms without being consummated, (b) upon the mutual written agreement of each of the parties hereto to terminate this Subscription Agreement, (c) ArcLight’s notification to the Investor in writing that it has abandoned its plans to move forward with the Transaction, (d) the earlier of (i) one hundred eighty (180) days after the date of this Subscription Agreement and (ii) thirty (30) days after the Termination Date (as defined in the Business Combination Agreement, as in effect as of the date hereof), in each case if the Closing has not occurred by such date, other than as a result of a breach of the Investor’s obligations hereunder, or (e) if any of the conditions to Closing set forth in Section 3 of this Subscription Agreement are (i) not satisfied or waived prior to the Closing, or (ii) not capable of being satisfied on the Closing and, in each case of (i) and (ii), as a result thereof, the transactions contemplated by this Subscription Agreement will not be and are not consummated at the Closing (the termination events described in clauses (a)–(e) above, collectively, the “</w:t>
      </w:r>
      <w:r>
        <w:rPr>
          <w:rFonts w:ascii="Arial" w:cs="Arial" w:eastAsia="Arial" w:hAnsi="Arial"/>
          <w:sz w:val="16"/>
          <w:szCs w:val="16"/>
          <w:u w:val="single" w:color="auto"/>
          <w:color w:val="auto"/>
        </w:rPr>
        <w:t>Termination Events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ArcLight shall notify the Investor of the termination of the Business Combination Agreement promptly after the termination of such agreement. Upon the occurrence of any Termination Event, this Subscription Agreement shall be void and of no further effect and any monies paid by the Investor to ArcLight in connection herewith shall promptly (and in any event within one (1) business day) following the Termination Event be returned to the Investor.</w:t>
      </w:r>
    </w:p>
    <w:p>
      <w:pPr>
        <w:spacing w:after="0" w:line="59" w:lineRule="exact"/>
        <w:rPr>
          <w:rFonts w:ascii="Arial" w:cs="Arial" w:eastAsia="Arial" w:hAnsi="Arial"/>
          <w:sz w:val="16"/>
          <w:szCs w:val="16"/>
          <w:color w:val="auto"/>
        </w:rPr>
      </w:pPr>
    </w:p>
    <w:p>
      <w:pPr>
        <w:ind w:right="40" w:firstLine="436"/>
        <w:spacing w:after="0" w:line="268" w:lineRule="auto"/>
        <w:tabs>
          <w:tab w:leader="none" w:pos="620"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The Investor acknowledges that ArcLight is a blank check company with the powers and privileges to effect a merger, asset acquisition, reorganization or similar business combination involving ArcLight and one or more businesses or assets. The Investor further acknowledges that, as described in ArcLight’s prospectus relating to its initial public offering dated March 22,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www.sec.gov, substantially all of ArcLight’s assets consist of the cash proceeds of ArcLight’s initial public offering and private placement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ArcLight, its public shareholders and the underwriters of ArcLight’s initial public offering. Except with respect to interest earned on the funds held in the Trust Account that may be released to ArcLight to pay its tax obligations, if any, the cash in the Trust Account may be disbursed only for the purposes set forth in the Prospectus. For and in consideration of ArcLight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9 shall be deemed to limit the Investor’s right, title, interest or claim to any monies held in the Trust Account by virtue of its record or beneficial ownership of any equity interests in ArcLight other than the Shares purchased by it pursuant to this Subscription Agreement, pursuant to a validly exercised redemption right with respect to any such Class A ordinary shares, except to the extent that the Investor has otherwise agreed with ArcLight to not exercise such redemption right.</w:t>
      </w:r>
    </w:p>
    <w:p>
      <w:pPr>
        <w:spacing w:after="0" w:line="76" w:lineRule="exact"/>
        <w:rPr>
          <w:rFonts w:ascii="Arial" w:cs="Arial" w:eastAsia="Arial" w:hAnsi="Arial"/>
          <w:sz w:val="17"/>
          <w:szCs w:val="17"/>
          <w:color w:val="auto"/>
        </w:rPr>
      </w:pPr>
    </w:p>
    <w:p>
      <w:pPr>
        <w:ind w:left="700" w:hanging="264"/>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1"/>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a. Neither this Subscription Agreement nor any rights that may accrue to the parties hereunder (other than the Shares acquired hereunder, if any) may be transferred or assigned without the prior written consent of the other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this Subscription Agreement and any of the Investor’s rights and obligations hereunder may be assigned by the Investor to (A) any fund or account managed by the same investment manager as the Investor or by an affiliate (as defined in Rule 12b-2 of the Exchange Act) of such investment manager or (B) 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3" w:name="page284"/>
    <w:bookmarkEnd w:id="28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more of the Investor’s affiliates, without the prior consent of ArcLight, prior to receipt of the Closing Notice, and (ii) the Investor’s rights under Section 7 may be assigned to an assignee or transferee of the Shares; provided further that prior to such assignment any such assignee shall agree in writing to be bound by the terms hereof; provided, that no assignment pursuant to clause (i) of this Section 11 shall relieve the Investor of its obligations hereunder.</w:t>
      </w:r>
    </w:p>
    <w:p>
      <w:pPr>
        <w:spacing w:after="0" w:line="79"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b. ArcLight may request from the Investor such additional information as ArcLight may deem necessary to register the resale of the Shares and evaluate the eligibility of the Investor to acquire the Shares, and the Investor shall promptly provide such information as may reasonably be requested, to the extent readily available and to the extent consistent with the Investor’s internal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agrees to keep any such information provided by the Investor confidential except (i) as necessary to include in any registration statement ArcLight is required to file hereunder,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ArcLight’s securities are listed for trading. The Investor acknowledges that ArcLight may file a copy of this Subscription Agreement that does not identify the Investor with the SEC as an exhibit to a periodic report or a registration statement of ArcLight.</w:t>
      </w:r>
    </w:p>
    <w:p>
      <w:pPr>
        <w:spacing w:after="0" w:line="5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c. The Investor acknowledges that ArcLight, the Company, the Placement Agents and others will rely on the acknowledgments, understandings, agreements, representations and warranties contained in this Subscription Agreement, including Schedule A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clause of this Section 11(c) shall not give ArcLight or the Placement Agents any rights other than those expressly set forth herein. ArcLight acknowledges that the Investor, the Placement Agents and others will rely on the acknowledgments, understandings, agreements, representations and warranties contained in this Subscription Agreement. Prior to the Closing, each party hereto agrees to promptly notify the other party hereto and the Placement Agents if any of the acknowledgments, understandings, agreements, representations and warranties of such party set forth in Section 5 or Section 6 above, as applicable, are no longer accurate in any material respect (other than those acknowledgments, understandings, agreements, representations and warranties qualified by materiality, in which case such party shall notify the other party hereto and the Placement Agents if they are no longer accurate in any respect). The Investor acknowledges and agrees that each purchase by the Investor of Shares from ArcLight will constitute a reaffirmation of the acknowledgments, understandings, agreements, representations and warranties herein (as modified by any such notice) by the Investor as of the time of such purchase.</w:t>
      </w:r>
    </w:p>
    <w:p>
      <w:pPr>
        <w:spacing w:after="0" w:line="7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d. ArcLight, the Investor, the Company and the Placement Agents are each entitled to rely upon this Subscription Agreement. Each of ArcLight, the Company, the Placement Agents, and the Investor is irrevocably authorized to produce this Subscription Agreement or a copy hereof to any interested party in any administrative or legal proceeding or official inquiry with respect to the matters covered hereby. Notwithstanding the foregoing, this clause (d)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ArcLight set forth in this Subscription Agreement.</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 All of the agreements, representations and warranties made by each party hereto in this Subscription Agreement shall survive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103"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f. This Subscription Agreement may not be modified, waived or terminated (other than pursuant to the terms of Section 8 above) except by an instrument in writing, signed by each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modification or waiver by ArcLight of the provisions of this Subscription Agreement shall be effective without the prior written consent of the Company (other than modifications or waivers that are solely ministerial in nature or otherwise immaterial and do not affect any economic or any other material term of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provide the Company with prior written notice thereof).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84" w:name="page285"/>
    <w:bookmarkEnd w:id="284"/>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This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Section 7, Section 11(c), Section 11(d), this Section 11(g) and the last sentence of Section 11(l)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70"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h.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9"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76"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j.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76"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k. Notwithstanding anything in this Subscription Agreement to the contrary, ArcLight shall not publicly disclose the name of the Investor, its investment advisor or any of their respective affiliates or advisers, or include the name of the Investor, its investment advisor or any of their respective affiliates or advisers in any press release or in any filing with the SEC or any regulatory agency or trading market, without the prior written consent of the Investor, except (i) as required by the federal securities law or pursuant to other routine proceedings of regulatory authorities or (ii) to the extent such disclosure is required by law, at the request of the staff of the SEC or regulatory agency or under the regulations of any national securities exchange on which ArcLight’s securities are listed for trading;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ArcLight shall provide to the Investor a copy of any proposed disclosure under this Section 11(k) relating to the Investor in advance of any publication thereof and shall include such revisions to such proposed disclosure as the Investor shall reasonably request.</w:t>
      </w:r>
    </w:p>
    <w:p>
      <w:pPr>
        <w:spacing w:after="0" w:line="70"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l. 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and the Placement Agents shall be entitled to rely on the provisions of the Subscription Agreement of which the Company and the Placement Agents are each an express third party beneficiary, in each case, on the terms and subject to the conditions set forth herein.</w:t>
      </w:r>
    </w:p>
    <w:p>
      <w:pPr>
        <w:spacing w:after="0" w:line="69"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m. If any change in the number, type or classes of authorized shares of ArcLight (including the Shares), other than as contemplated by the Business Combination Agreement or any agreement contemplated by the Business Combination Agreement, shall occur between the date hereof and immediately prior to the Closing by reason of reclassification, recapitalization, stock split (including reverse stock split) or combination, exchange or readjustment of shares, or any stock dividend, the number of Shares issued to the Investor shall be appropriately adjusted to reflect such change.</w:t>
      </w:r>
    </w:p>
    <w:p>
      <w:pPr>
        <w:spacing w:after="0" w:line="49"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n. This Subscription Agreement shall be governed by and construed in accordance with the laws of the State of New York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85" w:name="page286"/>
    <w:bookmarkEnd w:id="285"/>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70"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p. 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11(p) OF THIS SUBSCRIPTION AGREEMENT OR IN SUCH OTHER MANNER AS MAY BE PERMITTED BY LAW SHALL BE VALID AND SUFFICIENT SERVICE THEREOF.</w:t>
      </w:r>
    </w:p>
    <w:p>
      <w:pPr>
        <w:spacing w:after="0" w:line="76" w:lineRule="exact"/>
        <w:rPr>
          <w:sz w:val="20"/>
          <w:szCs w:val="20"/>
          <w:color w:val="auto"/>
        </w:rPr>
      </w:pPr>
    </w:p>
    <w:p>
      <w:pPr>
        <w:ind w:right="60" w:firstLine="991"/>
        <w:spacing w:after="0" w:line="253" w:lineRule="auto"/>
        <w:rPr>
          <w:sz w:val="20"/>
          <w:szCs w:val="20"/>
          <w:color w:val="auto"/>
        </w:rPr>
      </w:pPr>
      <w:r>
        <w:rPr>
          <w:rFonts w:ascii="Arial" w:cs="Arial" w:eastAsia="Arial" w:hAnsi="Arial"/>
          <w:sz w:val="18"/>
          <w:szCs w:val="18"/>
          <w:color w:val="auto"/>
        </w:rPr>
        <w:t>q. 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11(q).</w:t>
      </w:r>
    </w:p>
    <w:p>
      <w:pPr>
        <w:spacing w:after="0" w:line="84" w:lineRule="exact"/>
        <w:rPr>
          <w:sz w:val="20"/>
          <w:szCs w:val="20"/>
          <w:color w:val="auto"/>
        </w:rPr>
      </w:pPr>
    </w:p>
    <w:p>
      <w:pPr>
        <w:ind w:firstLine="436"/>
        <w:spacing w:after="0" w:line="254" w:lineRule="auto"/>
        <w:tabs>
          <w:tab w:leader="none" w:pos="71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Non-Reliance and Exculpation</w:t>
      </w:r>
      <w:r>
        <w:rPr>
          <w:rFonts w:ascii="Arial" w:cs="Arial" w:eastAsia="Arial" w:hAnsi="Arial"/>
          <w:sz w:val="18"/>
          <w:szCs w:val="18"/>
          <w:color w:val="auto"/>
        </w:rPr>
        <w:t xml:space="preserve">. The Investor acknowledges that it is not relying upon, and has not relied upon, any statement, representation or warranty made by any person, firm or corporation (including, without limitation, </w:t>
      </w:r>
      <w:r>
        <w:rPr>
          <w:rFonts w:ascii="Arial" w:cs="Arial" w:eastAsia="Arial" w:hAnsi="Arial"/>
          <w:sz w:val="18"/>
          <w:szCs w:val="18"/>
          <w:u w:val="single" w:color="auto"/>
          <w:color w:val="auto"/>
        </w:rPr>
        <w:t>the Placement Agents</w:t>
      </w:r>
      <w:r>
        <w:rPr>
          <w:rFonts w:ascii="Arial" w:cs="Arial" w:eastAsia="Arial" w:hAnsi="Arial"/>
          <w:sz w:val="18"/>
          <w:szCs w:val="18"/>
          <w:color w:val="auto"/>
        </w:rPr>
        <w:t>, the Company or any of their respective affiliates or any control persons, officers, directors, employees, partners, agents or representatives of any of the foregoing), other than the statements, representations and warranties of ArcLight expressly contained in Section 5 of this Subscription Agreement, in making its investment or decision to invest in ArcLight. The Investor acknowledges and agrees that, other than the statements, representations and warranties of ArcLight expressly contained in Section 5 of this Subscription Agreement, none of (i) any other investor pursuant to this Subscription Agreement or any other subscription agreement related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6" w:name="page287"/>
    <w:bookmarkEnd w:id="28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 placement of the Shares (including the investor’s respective affiliates or any control persons, officers, directors, employees, partners, agents or representatives of any of the foregoing), (ii) the Placement Agents, their affiliates or any control persons, officers, directors, employees, partners, agents or representatives of any of the foregoing, or (iii) any other party to the Business Combination Agreement (other than ArcLight)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ArcLight, the Company, the Placement Agents or any Non-Party Affiliate concerning ArcLight,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ArcLight, the Company, the Placement Agents or any of ArcLight’s, the Company’s or the Placement Agents’ controlled affiliates or any family member of the foregoing.</w:t>
      </w:r>
    </w:p>
    <w:p>
      <w:pPr>
        <w:spacing w:after="0" w:line="66" w:lineRule="exact"/>
        <w:rPr>
          <w:sz w:val="20"/>
          <w:szCs w:val="20"/>
          <w:color w:val="auto"/>
        </w:rPr>
      </w:pPr>
    </w:p>
    <w:p>
      <w:pPr>
        <w:ind w:left="700" w:hanging="264"/>
        <w:spacing w:after="0"/>
        <w:tabs>
          <w:tab w:leader="none" w:pos="7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ArcLight shall, by 9:00 a.m., New York City time, on the first (1st) Business Day immediately following the date of this</w:t>
      </w:r>
    </w:p>
    <w:p>
      <w:pPr>
        <w:spacing w:after="0" w:line="23" w:lineRule="exact"/>
        <w:rPr>
          <w:rFonts w:ascii="Arial" w:cs="Arial" w:eastAsia="Arial" w:hAnsi="Arial"/>
          <w:sz w:val="18"/>
          <w:szCs w:val="18"/>
          <w:color w:val="auto"/>
        </w:rPr>
      </w:pPr>
    </w:p>
    <w:p>
      <w:pPr>
        <w:jc w:val="both"/>
        <w:ind w:right="20"/>
        <w:spacing w:after="0" w:line="271" w:lineRule="auto"/>
        <w:rPr>
          <w:rFonts w:ascii="Arial" w:cs="Arial" w:eastAsia="Arial" w:hAnsi="Arial"/>
          <w:sz w:val="18"/>
          <w:szCs w:val="18"/>
          <w:color w:val="auto"/>
        </w:rPr>
      </w:pPr>
      <w:r>
        <w:rPr>
          <w:rFonts w:ascii="Arial" w:cs="Arial" w:eastAsia="Arial" w:hAnsi="Arial"/>
          <w:sz w:val="17"/>
          <w:szCs w:val="17"/>
          <w:color w:val="auto"/>
        </w:rPr>
        <w:t>Subscription Agreement, issue one or more press releases or file with the SEC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Transaction and any other material, nonpublic information that ArcLight or any of its representatives has provided to the Investor at any time prior to the filing of the Disclosure Document. Upon the issuance of the Disclosure Document, to the actual knowledge of ArcLight, the Investor shall not be in possession of any material, non-public information received from ArcLight or any of its officers, directors, or employees or agents.</w:t>
      </w:r>
    </w:p>
    <w:p>
      <w:pPr>
        <w:spacing w:after="0" w:line="70" w:lineRule="exact"/>
        <w:rPr>
          <w:rFonts w:ascii="Arial" w:cs="Arial" w:eastAsia="Arial" w:hAnsi="Arial"/>
          <w:sz w:val="18"/>
          <w:szCs w:val="18"/>
          <w:color w:val="auto"/>
        </w:rPr>
      </w:pPr>
    </w:p>
    <w:p>
      <w:pPr>
        <w:ind w:firstLine="436"/>
        <w:spacing w:after="0" w:line="268" w:lineRule="auto"/>
        <w:tabs>
          <w:tab w:leader="none" w:pos="71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Several Obligations.</w:t>
      </w:r>
      <w:r>
        <w:rPr>
          <w:rFonts w:ascii="Arial" w:cs="Arial" w:eastAsia="Arial" w:hAnsi="Arial"/>
          <w:sz w:val="17"/>
          <w:szCs w:val="17"/>
          <w:color w:val="auto"/>
        </w:rPr>
        <w:t xml:space="preserve"> The obligations of the Investor under this Subscription Agreement are several and not joint with the obligations of any other investor under the Other Subscription Agreements, and the Investor shall not be responsible in any way for the performance of the obligations of any other investor under any Other Subscription Agreement. The decision of the Investor to purchase the Shares pursuant to this Subscription Agreement has been made by the Investor independently of any other investor and independently of any information, materials, statements opinions as to the business, affairs, operations, assets, properties, liabilities, results of operations, condition (financial or otherwise) or prospects of ArcLight, the Company or any of their respective subsidiaries which may have been made or given by any other investor or by any agent or employee of any other investor, and neither the Investor nor any of its agents or employees shall have any liability to any other investor relating to or arising from any such information, materials, statements or opinions. Nothing contained herein or in any Other Subscription Agreement, and no action taken by the Investor or any other investor pursuant hereto or thereto, shall be deemed to constitute the Investor and any other investor as a partnership, an association, a joint venture or any other kind of entity, or create a presumption that the Investor and any other investor are in any way acting in concert or as a “group” (within the meaning of Section 13(d) of the Exchange Act) with respect to such obligations or the transactions contemplated by this Subscription Agreement and the Other Subscription Agreements. The Investor acknowledges that no other investor has acted as agent for the Investor in connection with making its investment hereunder and no other investor will be acting as agent of the Investor in connection with monitoring its investment in the Shares or enforcing its rights under this Subscription Agreement.</w:t>
      </w:r>
    </w:p>
    <w:p>
      <w:pPr>
        <w:spacing w:after="0" w:line="76" w:lineRule="exact"/>
        <w:rPr>
          <w:rFonts w:ascii="Arial" w:cs="Arial" w:eastAsia="Arial" w:hAnsi="Arial"/>
          <w:sz w:val="17"/>
          <w:szCs w:val="17"/>
          <w:color w:val="auto"/>
        </w:rPr>
      </w:pPr>
    </w:p>
    <w:p>
      <w:pPr>
        <w:ind w:right="40" w:firstLine="436"/>
        <w:spacing w:after="0" w:line="272" w:lineRule="auto"/>
        <w:tabs>
          <w:tab w:leader="none" w:pos="71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provided herein, 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(a) when so delivered personally, (b) upon receipt of an appropriate electronic answerback or confirmation when so delivered by telecopy (to such number specified below or another number or numbers as such person may subsequently designate by notice given hereunder), (c) when sent, with no mail undeliverable or other rejection notice, if sent by email, or (d) five (5) business days after the date of mailing to the address below or to such other address or addresses as such person may hereafter designate by notice given hereunder to the address or addresses set forth on the signature pages hereto.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7" w:name="page288"/>
    <w:bookmarkEnd w:id="28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Investor has executed or caused this Subscription Agreement to be executed by its duly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7"/>
          </w:tcPr>
          <w:p>
            <w:pPr>
              <w:spacing w:after="0"/>
              <w:rPr>
                <w:sz w:val="20"/>
                <w:szCs w:val="20"/>
                <w:color w:val="auto"/>
              </w:rPr>
            </w:pPr>
            <w:r>
              <w:rPr>
                <w:rFonts w:ascii="Arial" w:cs="Arial" w:eastAsia="Arial" w:hAnsi="Arial"/>
                <w:sz w:val="18"/>
                <w:szCs w:val="18"/>
                <w:color w:val="auto"/>
              </w:rPr>
              <w:t>Name of Investor:</w:t>
            </w:r>
          </w:p>
        </w:tc>
        <w:tc>
          <w:tcPr>
            <w:tcW w:w="3800" w:type="dxa"/>
            <w:vAlign w:val="bottom"/>
          </w:tcPr>
          <w:p>
            <w:pPr>
              <w:ind w:left="860"/>
              <w:spacing w:after="0"/>
              <w:rPr>
                <w:sz w:val="20"/>
                <w:szCs w:val="20"/>
                <w:color w:val="auto"/>
              </w:rPr>
            </w:pPr>
            <w:r>
              <w:rPr>
                <w:rFonts w:ascii="Arial" w:cs="Arial" w:eastAsia="Arial" w:hAnsi="Arial"/>
                <w:sz w:val="18"/>
                <w:szCs w:val="18"/>
                <w:color w:val="auto"/>
                <w:w w:val="92"/>
              </w:rPr>
              <w:t>State/Country of Formation or Domicile:</w:t>
            </w:r>
          </w:p>
        </w:tc>
      </w:tr>
      <w:tr>
        <w:trPr>
          <w:trHeight w:val="392"/>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3040" w:type="dxa"/>
            <w:vAlign w:val="bottom"/>
            <w:tcBorders>
              <w:bottom w:val="single" w:sz="8" w:color="auto"/>
            </w:tcBorders>
            <w:gridSpan w:val="5"/>
          </w:tcPr>
          <w:p>
            <w:pPr>
              <w:spacing w:after="0"/>
              <w:rPr>
                <w:sz w:val="24"/>
                <w:szCs w:val="24"/>
                <w:color w:val="auto"/>
              </w:rPr>
            </w:pPr>
          </w:p>
        </w:tc>
        <w:tc>
          <w:tcPr>
            <w:tcW w:w="15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480" w:type="dxa"/>
            <w:vAlign w:val="bottom"/>
            <w:gridSpan w:val="3"/>
          </w:tcPr>
          <w:p>
            <w:pPr>
              <w:spacing w:after="0" w:line="196" w:lineRule="exact"/>
              <w:rPr>
                <w:sz w:val="20"/>
                <w:szCs w:val="20"/>
                <w:color w:val="auto"/>
              </w:rPr>
            </w:pPr>
            <w:r>
              <w:rPr>
                <w:rFonts w:ascii="Arial" w:cs="Arial" w:eastAsia="Arial" w:hAnsi="Arial"/>
                <w:sz w:val="18"/>
                <w:szCs w:val="18"/>
                <w:color w:val="auto"/>
                <w:w w:val="86"/>
              </w:rPr>
              <w:t>Name:</w:t>
            </w:r>
          </w:p>
        </w:tc>
        <w:tc>
          <w:tcPr>
            <w:tcW w:w="2800" w:type="dxa"/>
            <w:vAlign w:val="bottom"/>
            <w:tcBorders>
              <w:bottom w:val="single" w:sz="8" w:color="auto"/>
            </w:tcBorders>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380" w:type="dxa"/>
            <w:vAlign w:val="bottom"/>
            <w:gridSpan w:val="2"/>
          </w:tcPr>
          <w:p>
            <w:pPr>
              <w:spacing w:after="0" w:line="196" w:lineRule="exact"/>
              <w:rPr>
                <w:sz w:val="20"/>
                <w:szCs w:val="20"/>
                <w:color w:val="auto"/>
              </w:rPr>
            </w:pPr>
            <w:r>
              <w:rPr>
                <w:rFonts w:ascii="Arial" w:cs="Arial" w:eastAsia="Arial" w:hAnsi="Arial"/>
                <w:sz w:val="18"/>
                <w:szCs w:val="18"/>
                <w:color w:val="auto"/>
                <w:w w:val="92"/>
              </w:rPr>
              <w:t>Title:</w:t>
            </w:r>
          </w:p>
        </w:tc>
        <w:tc>
          <w:tcPr>
            <w:tcW w:w="2880" w:type="dxa"/>
            <w:vAlign w:val="bottom"/>
            <w:tcBorders>
              <w:bottom w:val="single" w:sz="8" w:color="auto"/>
            </w:tcBorders>
            <w:gridSpan w:val="2"/>
          </w:tcPr>
          <w:p>
            <w:pPr>
              <w:spacing w:after="0"/>
              <w:rPr>
                <w:sz w:val="17"/>
                <w:szCs w:val="17"/>
                <w:color w:val="auto"/>
              </w:rPr>
            </w:pPr>
          </w:p>
        </w:tc>
        <w:tc>
          <w:tcPr>
            <w:tcW w:w="162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453"/>
        </w:trPr>
        <w:tc>
          <w:tcPr>
            <w:tcW w:w="4880" w:type="dxa"/>
            <w:vAlign w:val="bottom"/>
            <w:gridSpan w:val="7"/>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3800" w:type="dxa"/>
            <w:vAlign w:val="bottom"/>
          </w:tcPr>
          <w:p>
            <w:pPr>
              <w:ind w:left="860"/>
              <w:spacing w:after="0"/>
              <w:rPr>
                <w:sz w:val="20"/>
                <w:szCs w:val="20"/>
                <w:color w:val="auto"/>
              </w:rPr>
            </w:pPr>
            <w:r>
              <w:rPr>
                <w:rFonts w:ascii="Arial" w:cs="Arial" w:eastAsia="Arial" w:hAnsi="Arial"/>
                <w:sz w:val="18"/>
                <w:szCs w:val="18"/>
                <w:color w:val="auto"/>
              </w:rPr>
              <w:t>Date: ________, 2021</w:t>
            </w:r>
          </w:p>
        </w:tc>
      </w:tr>
      <w:tr>
        <w:trPr>
          <w:trHeight w:val="432"/>
        </w:trPr>
        <w:tc>
          <w:tcPr>
            <w:tcW w:w="4880" w:type="dxa"/>
            <w:vAlign w:val="bottom"/>
            <w:gridSpan w:val="7"/>
          </w:tcPr>
          <w:p>
            <w:pPr>
              <w:spacing w:after="0"/>
              <w:rPr>
                <w:sz w:val="20"/>
                <w:szCs w:val="20"/>
                <w:color w:val="auto"/>
              </w:rPr>
            </w:pPr>
            <w:r>
              <w:rPr>
                <w:rFonts w:ascii="Arial" w:cs="Arial" w:eastAsia="Arial" w:hAnsi="Arial"/>
                <w:sz w:val="18"/>
                <w:szCs w:val="18"/>
                <w:color w:val="auto"/>
              </w:rPr>
              <w:t>Investor’s EIN:</w:t>
            </w:r>
          </w:p>
        </w:tc>
        <w:tc>
          <w:tcPr>
            <w:tcW w:w="3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80"/>
          </w:cols>
          <w:pgMar w:left="440" w:top="270" w:right="4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wp:posOffset>
            </wp:positionV>
            <wp:extent cx="17424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Email address for Closing Notice: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subscribed for: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Subscription Amount: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Mailing Address-Street (if different):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-10160</wp:posOffset>
            </wp:positionV>
            <wp:extent cx="17424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40"/>
        <w:spacing w:after="0"/>
        <w:rPr>
          <w:sz w:val="20"/>
          <w:szCs w:val="20"/>
          <w:color w:val="auto"/>
        </w:rPr>
      </w:pPr>
      <w:r>
        <w:rPr>
          <w:rFonts w:ascii="Arial" w:cs="Arial" w:eastAsia="Arial" w:hAnsi="Arial"/>
          <w:sz w:val="15"/>
          <w:szCs w:val="15"/>
          <w:color w:val="auto"/>
        </w:rPr>
        <w:t>Price Per Share: $10.00</w:t>
      </w:r>
    </w:p>
    <w:p>
      <w:pPr>
        <w:spacing w:after="0" w:line="211"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ArcLight in the Closing Notice.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type w:val="continuous"/>
        </w:sectPr>
      </w:pPr>
    </w:p>
    <w:bookmarkStart w:id="288" w:name="page289"/>
    <w:bookmarkEnd w:id="2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ArcLight has accepted this Subscription Agreement as of the date set forth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ARCLIGHT CLEAN TRANSITION CORP. II</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89" w:name="page290"/>
    <w:bookmarkEnd w:id="28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35" w:lineRule="exact"/>
        <w:rPr>
          <w:sz w:val="20"/>
          <w:szCs w:val="20"/>
          <w:color w:val="auto"/>
        </w:rPr>
      </w:pPr>
    </w:p>
    <w:p>
      <w:pPr>
        <w:ind w:left="364" w:right="6920" w:hanging="364"/>
        <w:spacing w:after="0" w:line="277" w:lineRule="auto"/>
        <w:tabs>
          <w:tab w:leader="none" w:pos="35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QUALIFIED INSTITUTIONAL BUYER STATUS (Please check if applicable):</w:t>
      </w:r>
    </w:p>
    <w:p>
      <w:pPr>
        <w:spacing w:after="0" w:line="62" w:lineRule="exact"/>
        <w:rPr>
          <w:rFonts w:ascii="Arial" w:cs="Arial" w:eastAsia="Arial" w:hAnsi="Arial"/>
          <w:sz w:val="18"/>
          <w:szCs w:val="18"/>
          <w:color w:val="auto"/>
        </w:rPr>
      </w:pPr>
    </w:p>
    <w:p>
      <w:pPr>
        <w:ind w:left="644" w:hanging="204"/>
        <w:spacing w:after="0"/>
        <w:tabs>
          <w:tab w:leader="none" w:pos="644" w:val="left"/>
        </w:tabs>
        <w:numPr>
          <w:ilvl w:val="2"/>
          <w:numId w:val="298"/>
        </w:numPr>
        <w:rPr>
          <w:rFonts w:ascii="MS PGothic" w:cs="MS PGothic" w:eastAsia="MS PGothic" w:hAnsi="MS PGothic"/>
          <w:sz w:val="18"/>
          <w:szCs w:val="18"/>
          <w:color w:val="auto"/>
        </w:rPr>
      </w:pPr>
      <w:r>
        <w:rPr>
          <w:rFonts w:ascii="Arial" w:cs="Arial" w:eastAsia="Arial" w:hAnsi="Arial"/>
          <w:sz w:val="18"/>
          <w:szCs w:val="18"/>
          <w:color w:val="auto"/>
        </w:rPr>
        <w:t>The Investor is a “qualified institutional buyer” (as defined in Rule 144A under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344" w:hanging="344"/>
        <w:spacing w:after="0"/>
        <w:tabs>
          <w:tab w:leader="none" w:pos="3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3" w:lineRule="exact"/>
        <w:rPr>
          <w:rFonts w:ascii="Arial" w:cs="Arial" w:eastAsia="Arial" w:hAnsi="Arial"/>
          <w:sz w:val="18"/>
          <w:szCs w:val="18"/>
          <w:color w:val="auto"/>
        </w:rPr>
      </w:pPr>
    </w:p>
    <w:p>
      <w:pPr>
        <w:ind w:left="364"/>
        <w:spacing w:after="0"/>
        <w:rPr>
          <w:rFonts w:ascii="Arial" w:cs="Arial" w:eastAsia="Arial" w:hAnsi="Arial"/>
          <w:sz w:val="18"/>
          <w:szCs w:val="18"/>
          <w:color w:val="auto"/>
        </w:rPr>
      </w:pPr>
      <w:r>
        <w:rPr>
          <w:rFonts w:ascii="Arial" w:cs="Arial" w:eastAsia="Arial" w:hAnsi="Arial"/>
          <w:sz w:val="18"/>
          <w:szCs w:val="18"/>
          <w:color w:val="auto"/>
        </w:rPr>
        <w:t>(Please check the applicable subparagraphs, to the extent applicable):</w:t>
      </w:r>
    </w:p>
    <w:p>
      <w:pPr>
        <w:spacing w:after="0" w:line="83" w:lineRule="exact"/>
        <w:rPr>
          <w:rFonts w:ascii="Arial" w:cs="Arial" w:eastAsia="Arial" w:hAnsi="Arial"/>
          <w:sz w:val="18"/>
          <w:szCs w:val="18"/>
          <w:color w:val="auto"/>
        </w:rPr>
      </w:pPr>
    </w:p>
    <w:p>
      <w:pPr>
        <w:ind w:left="724" w:right="20" w:hanging="364"/>
        <w:spacing w:after="0" w:line="232" w:lineRule="exact"/>
        <w:tabs>
          <w:tab w:leader="none" w:pos="715" w:val="left"/>
        </w:tabs>
        <w:numPr>
          <w:ilvl w:val="1"/>
          <w:numId w:val="29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Investor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the Investor qualifies as an “accredited investor.”</w:t>
      </w:r>
    </w:p>
    <w:p>
      <w:pPr>
        <w:spacing w:after="0" w:line="76" w:lineRule="exact"/>
        <w:rPr>
          <w:rFonts w:ascii="Arial" w:cs="Arial" w:eastAsia="Arial" w:hAnsi="Arial"/>
          <w:sz w:val="18"/>
          <w:szCs w:val="18"/>
          <w:color w:val="auto"/>
        </w:rPr>
      </w:pPr>
    </w:p>
    <w:p>
      <w:pPr>
        <w:ind w:left="704" w:hanging="344"/>
        <w:spacing w:after="0" w:line="207" w:lineRule="exact"/>
        <w:tabs>
          <w:tab w:leader="none" w:pos="704" w:val="left"/>
        </w:tabs>
        <w:numPr>
          <w:ilvl w:val="1"/>
          <w:numId w:val="29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Investor is not a natural person.</w:t>
      </w:r>
    </w:p>
    <w:p>
      <w:pPr>
        <w:spacing w:after="0" w:line="258"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9" w:lineRule="exact"/>
        <w:rPr>
          <w:sz w:val="20"/>
          <w:szCs w:val="20"/>
          <w:color w:val="auto"/>
        </w:rPr>
      </w:pPr>
    </w:p>
    <w:p>
      <w:pPr>
        <w:ind w:left="444" w:right="160"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62" w:lineRule="exact"/>
        <w:rPr>
          <w:rFonts w:ascii="MS PGothic" w:cs="MS PGothic" w:eastAsia="MS PGothic" w:hAnsi="MS PGothic"/>
          <w:sz w:val="18"/>
          <w:szCs w:val="18"/>
          <w:color w:val="auto"/>
        </w:rPr>
      </w:pPr>
    </w:p>
    <w:p>
      <w:pPr>
        <w:ind w:left="444"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62" w:lineRule="exact"/>
        <w:rPr>
          <w:rFonts w:ascii="MS PGothic" w:cs="MS PGothic" w:eastAsia="MS PGothic" w:hAnsi="MS PGothic"/>
          <w:sz w:val="18"/>
          <w:szCs w:val="18"/>
          <w:color w:val="auto"/>
        </w:rPr>
      </w:pPr>
    </w:p>
    <w:p>
      <w:pPr>
        <w:ind w:left="444" w:right="260" w:hanging="4"/>
        <w:spacing w:after="0" w:line="308" w:lineRule="auto"/>
        <w:tabs>
          <w:tab w:leader="none" w:pos="651" w:val="left"/>
        </w:tabs>
        <w:numPr>
          <w:ilvl w:val="0"/>
          <w:numId w:val="299"/>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38" w:lineRule="exact"/>
        <w:rPr>
          <w:rFonts w:ascii="MS PGothic" w:cs="MS PGothic" w:eastAsia="MS PGothic" w:hAnsi="MS PGothic"/>
          <w:sz w:val="17"/>
          <w:szCs w:val="17"/>
          <w:color w:val="auto"/>
        </w:rPr>
      </w:pPr>
    </w:p>
    <w:p>
      <w:pPr>
        <w:ind w:left="444" w:right="640" w:hanging="4"/>
        <w:spacing w:after="0" w:line="330" w:lineRule="auto"/>
        <w:tabs>
          <w:tab w:leader="none" w:pos="651" w:val="left"/>
        </w:tabs>
        <w:numPr>
          <w:ilvl w:val="0"/>
          <w:numId w:val="299"/>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34" w:lineRule="exact"/>
        <w:rPr>
          <w:rFonts w:ascii="MS PGothic" w:cs="MS PGothic" w:eastAsia="MS PGothic" w:hAnsi="MS PGothic"/>
          <w:sz w:val="16"/>
          <w:szCs w:val="16"/>
          <w:color w:val="auto"/>
        </w:rPr>
      </w:pPr>
    </w:p>
    <w:p>
      <w:pPr>
        <w:ind w:left="444" w:right="540"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62" w:lineRule="exact"/>
        <w:rPr>
          <w:rFonts w:ascii="MS PGothic" w:cs="MS PGothic" w:eastAsia="MS PGothic" w:hAnsi="MS PGothic"/>
          <w:sz w:val="18"/>
          <w:szCs w:val="18"/>
          <w:color w:val="auto"/>
        </w:rPr>
      </w:pPr>
    </w:p>
    <w:p>
      <w:pPr>
        <w:ind w:left="644" w:hanging="204"/>
        <w:spacing w:after="0"/>
        <w:tabs>
          <w:tab w:leader="none" w:pos="644"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A to Subscription Agreement</w:t>
      </w:r>
      <w:r>
        <w:rPr>
          <w:rFonts w:ascii="Arial" w:cs="Arial" w:eastAsia="Arial" w:hAnsi="Arial"/>
          <w:sz w:val="18"/>
          <w:szCs w:val="18"/>
          <w:color w:val="auto"/>
        </w:rPr>
        <w:t>]</w:t>
      </w:r>
    </w:p>
    <w:p>
      <w:pPr>
        <w:sectPr>
          <w:pgSz w:w="11900" w:h="16838" w:orient="portrait"/>
          <w:cols w:equalWidth="0" w:num="1">
            <w:col w:w="10984"/>
          </w:cols>
          <w:pgMar w:left="436" w:top="270" w:right="47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LETTER AGREEMENT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SPONSOR LETTER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December 2, 2021, by and among Opal Fuels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ArcLight Clean Transition Corp. II, an exempted company incorporated in the Cayman Islands with limited liability (“</w:t>
      </w:r>
      <w:r>
        <w:rPr>
          <w:rFonts w:ascii="Arial" w:cs="Arial" w:eastAsia="Arial" w:hAnsi="Arial"/>
          <w:sz w:val="16"/>
          <w:szCs w:val="16"/>
          <w:u w:val="single" w:color="auto"/>
          <w:color w:val="auto"/>
        </w:rPr>
        <w:t>ACT</w:t>
      </w:r>
      <w:r>
        <w:rPr>
          <w:rFonts w:ascii="Arial" w:cs="Arial" w:eastAsia="Arial" w:hAnsi="Arial"/>
          <w:sz w:val="16"/>
          <w:szCs w:val="16"/>
          <w:color w:val="auto"/>
        </w:rPr>
        <w:t>”), ArcLight CTC Holdings II, L.P., a Delaware limited partnership (the “</w:t>
      </w:r>
      <w:r>
        <w:rPr>
          <w:rFonts w:ascii="Arial" w:cs="Arial" w:eastAsia="Arial" w:hAnsi="Arial"/>
          <w:sz w:val="16"/>
          <w:szCs w:val="16"/>
          <w:u w:val="single" w:color="auto"/>
          <w:color w:val="auto"/>
        </w:rPr>
        <w:t>ACT Sponsor</w:t>
      </w:r>
      <w:r>
        <w:rPr>
          <w:rFonts w:ascii="Arial" w:cs="Arial" w:eastAsia="Arial" w:hAnsi="Arial"/>
          <w:sz w:val="16"/>
          <w:szCs w:val="16"/>
          <w:color w:val="auto"/>
        </w:rPr>
        <w:t>”), each of Arno Harris, Audrey Lee, Brian Goncher and Steven Berkenfeld (collectively, the “</w:t>
      </w:r>
      <w:r>
        <w:rPr>
          <w:rFonts w:ascii="Arial" w:cs="Arial" w:eastAsia="Arial" w:hAnsi="Arial"/>
          <w:sz w:val="16"/>
          <w:szCs w:val="16"/>
          <w:u w:val="single" w:color="auto"/>
          <w:color w:val="auto"/>
        </w:rPr>
        <w:t>Insiders</w:t>
      </w:r>
      <w:r>
        <w:rPr>
          <w:rFonts w:ascii="Arial" w:cs="Arial" w:eastAsia="Arial" w:hAnsi="Arial"/>
          <w:sz w:val="16"/>
          <w:szCs w:val="16"/>
          <w:color w:val="auto"/>
        </w:rPr>
        <w:t>”) and, solely for purposes of amending the Sponsor Letter (as defined below), each of John F. Erhard, Daniel R. Revers, Marco F. Gatti, Christine M. Miller, Kerrick S. Knauth (collectively, the “</w:t>
      </w:r>
      <w:r>
        <w:rPr>
          <w:rFonts w:ascii="Arial" w:cs="Arial" w:eastAsia="Arial" w:hAnsi="Arial"/>
          <w:sz w:val="16"/>
          <w:szCs w:val="16"/>
          <w:u w:val="single" w:color="auto"/>
          <w:color w:val="auto"/>
        </w:rPr>
        <w:t>Officers</w:t>
      </w:r>
      <w:r>
        <w:rPr>
          <w:rFonts w:ascii="Arial" w:cs="Arial" w:eastAsia="Arial" w:hAnsi="Arial"/>
          <w:sz w:val="16"/>
          <w:szCs w:val="16"/>
          <w:color w:val="auto"/>
        </w:rPr>
        <w:t>”). Each of the Company, ACT, the ACT Sponsor and each of the Insiders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Each of the ACT Sponsor and each of the Insiders are sometimes referred to herein individually as a “</w:t>
      </w:r>
      <w:r>
        <w:rPr>
          <w:rFonts w:ascii="Arial" w:cs="Arial" w:eastAsia="Arial" w:hAnsi="Arial"/>
          <w:sz w:val="16"/>
          <w:szCs w:val="16"/>
          <w:u w:val="single" w:color="auto"/>
          <w:color w:val="auto"/>
        </w:rPr>
        <w:t>Shareholder</w:t>
      </w:r>
      <w:r>
        <w:rPr>
          <w:rFonts w:ascii="Arial" w:cs="Arial" w:eastAsia="Arial" w:hAnsi="Arial"/>
          <w:sz w:val="16"/>
          <w:szCs w:val="16"/>
          <w:color w:val="auto"/>
        </w:rPr>
        <w:t>.” Except as otherwise specified herein, capitalized terms used but not otherwise defined herein shall have the meanings ascribed to them in the Business Combination Agreement (as defined below).</w:t>
      </w:r>
    </w:p>
    <w:p>
      <w:pPr>
        <w:spacing w:after="0" w:line="159" w:lineRule="exact"/>
        <w:rPr>
          <w:sz w:val="20"/>
          <w:szCs w:val="20"/>
          <w:color w:val="auto"/>
        </w:rPr>
      </w:pPr>
    </w:p>
    <w:p>
      <w:pPr>
        <w:ind w:right="5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ACT, the Company and Opal HoldCo LLC,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record and beneficial owner of a majority of the voting and economic rights of the Company (“</w:t>
      </w:r>
      <w:r>
        <w:rPr>
          <w:rFonts w:ascii="Arial" w:cs="Arial" w:eastAsia="Arial" w:hAnsi="Arial"/>
          <w:sz w:val="18"/>
          <w:szCs w:val="18"/>
          <w:u w:val="single" w:color="auto"/>
          <w:color w:val="auto"/>
        </w:rPr>
        <w:t>Opal HoldCo</w:t>
      </w:r>
      <w:r>
        <w:rPr>
          <w:rFonts w:ascii="Arial" w:cs="Arial" w:eastAsia="Arial" w:hAnsi="Arial"/>
          <w:sz w:val="18"/>
          <w:szCs w:val="18"/>
          <w:color w:val="auto"/>
        </w:rPr>
        <w:t>”), entered into that certain Business Combination Agreement (as amended, supplemented or otherwise modified from time to time in accordance with its terms,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w:t>
      </w:r>
    </w:p>
    <w:p>
      <w:pPr>
        <w:spacing w:after="0" w:line="180" w:lineRule="exact"/>
        <w:rPr>
          <w:sz w:val="20"/>
          <w:szCs w:val="20"/>
          <w:color w:val="auto"/>
        </w:rPr>
      </w:pPr>
    </w:p>
    <w:p>
      <w:pPr>
        <w:jc w:val="both"/>
        <w:ind w:right="3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Business Combination Agreement contemplates that, on the terms and subject to the conditions therein, on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ACT will acquire the equity interests and equity-linked securities of the Company, with ACT becoming the sole managing member of the Company (collectively, and together with the other transactions contemplated by the Business Combination Agreement and the Ancillary Documents,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hereby made to the following Contracts (collectively, the “</w:t>
      </w:r>
      <w:r>
        <w:rPr>
          <w:rFonts w:ascii="Arial" w:cs="Arial" w:eastAsia="Arial" w:hAnsi="Arial"/>
          <w:sz w:val="18"/>
          <w:szCs w:val="18"/>
          <w:u w:val="single" w:color="auto"/>
          <w:color w:val="auto"/>
        </w:rPr>
        <w:t>Affected Agreements</w:t>
      </w:r>
      <w:r>
        <w:rPr>
          <w:rFonts w:ascii="Arial" w:cs="Arial" w:eastAsia="Arial" w:hAnsi="Arial"/>
          <w:sz w:val="18"/>
          <w:szCs w:val="18"/>
          <w:color w:val="auto"/>
        </w:rPr>
        <w:t>”):</w:t>
      </w:r>
    </w:p>
    <w:p>
      <w:pPr>
        <w:spacing w:after="0" w:line="121" w:lineRule="exact"/>
        <w:rPr>
          <w:sz w:val="20"/>
          <w:szCs w:val="20"/>
          <w:color w:val="auto"/>
        </w:rPr>
      </w:pPr>
    </w:p>
    <w:p>
      <w:pPr>
        <w:ind w:right="740" w:firstLine="987"/>
        <w:spacing w:after="0" w:line="277" w:lineRule="auto"/>
        <w:tabs>
          <w:tab w:leader="none" w:pos="128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Letter Agreement dated March 25, 2021 and delivered by the ACT Sponsor, the Insiders and the Officers to ACT (the “</w:t>
      </w:r>
      <w:r>
        <w:rPr>
          <w:rFonts w:ascii="Arial" w:cs="Arial" w:eastAsia="Arial" w:hAnsi="Arial"/>
          <w:sz w:val="18"/>
          <w:szCs w:val="18"/>
          <w:u w:val="single" w:color="auto"/>
          <w:color w:val="auto"/>
        </w:rPr>
        <w:t>Sponsor Letter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987"/>
        <w:spacing w:after="0" w:line="277" w:lineRule="auto"/>
        <w:tabs>
          <w:tab w:leader="none" w:pos="12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Warrant Agreement dated March 25, 2021 between ACT and Continental Stock Transfer &amp; Trust Company, a New York corporation, as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 and, such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180" w:firstLine="987"/>
        <w:spacing w:after="0" w:line="277" w:lineRule="auto"/>
        <w:tabs>
          <w:tab w:leader="none" w:pos="12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Registration and Shareholder Rights Agreement dated March 25, 2021 by and among ACT, the ACT Sponsor and certain other equityholders named therein;</w:t>
      </w:r>
    </w:p>
    <w:p>
      <w:pPr>
        <w:spacing w:after="0" w:line="166" w:lineRule="exact"/>
        <w:rPr>
          <w:sz w:val="20"/>
          <w:szCs w:val="20"/>
          <w:color w:val="auto"/>
        </w:rPr>
      </w:pPr>
    </w:p>
    <w:p>
      <w:pPr>
        <w:ind w:right="140" w:firstLine="440"/>
        <w:spacing w:after="0" w:line="27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of the date hereof, each Shareholder, in its respective capacity as such, is the holder of record and the “beneficial owner”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Rule 13d-3 under the Exchange Act) of the number of (i) Pre-Closing ACT Class A Shares, (ii) private placement warrants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to purchase an aggregate number of Pre-Closing ACT Class A Shares and/or (iii) Pre-Closing ACT Class B Shares, in each case,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opposite such person’s name on such Exhibit (collectively, with respect to each Shareholder, the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91" w:name="page292"/>
    <w:bookmarkEnd w:id="291"/>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Arial" w:cs="Arial" w:eastAsia="Arial" w:hAnsi="Arial"/>
          <w:sz w:val="18"/>
          <w:szCs w:val="18"/>
          <w:color w:val="auto"/>
        </w:rPr>
        <w:t>, as part of the Transactions, each of the Pre-Closing ACT Class B Shares will be converted into one Pre-Closing ACT Class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subsequently, into one Post-Closing ACT Class A Share;</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at the Closing, each of ACT, Opal HoldCo, Ares, Hillman, NextEra, the Company and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will enter into the Investor Rights Agreement;</w:t>
      </w:r>
    </w:p>
    <w:p>
      <w:pPr>
        <w:spacing w:after="0" w:line="162"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the ACT Sponsor and each of the Insiders under the terms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Agreement and as a material inducement to the Company and ACT agreeing to enter into and consummate the transactions contemplated by the Business Combination Agreement, the ACT Sponsor and each of the Insiders agrees to enter into this Agreement and to be bound by the applicable agreements, covenants and obligations contained in this Agreement; and</w:t>
      </w:r>
    </w:p>
    <w:p>
      <w:pPr>
        <w:spacing w:after="0" w:line="180"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acknowledge and agree that the Company and ACT would not have entered into and agreed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Business Combination Agreement without each of the Shareholders entering into this Agreement and agreeing to be bound by the applicable agreements, covenants and obligations contained in this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and, solely for purposes of amending the Sponsor Letter, the Officers, each intending to be legally bound, hereby agree as follows:</w:t>
      </w:r>
    </w:p>
    <w:p>
      <w:pPr>
        <w:spacing w:after="0" w:line="72" w:lineRule="exact"/>
        <w:rPr>
          <w:sz w:val="20"/>
          <w:szCs w:val="20"/>
          <w:color w:val="auto"/>
        </w:rPr>
      </w:pPr>
    </w:p>
    <w:p>
      <w:pPr>
        <w:ind w:left="620" w:hanging="184"/>
        <w:spacing w:after="0"/>
        <w:tabs>
          <w:tab w:leader="none" w:pos="62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Sponsor Letter</w:t>
      </w:r>
      <w:r>
        <w:rPr>
          <w:rFonts w:ascii="Arial" w:cs="Arial" w:eastAsia="Arial" w:hAnsi="Arial"/>
          <w:sz w:val="18"/>
          <w:szCs w:val="18"/>
          <w:color w:val="auto"/>
        </w:rPr>
        <w:t>. The Company, ACT, the ACT Sponsor, each Insider and each Officer hereby agree as follows:</w:t>
      </w:r>
    </w:p>
    <w:p>
      <w:pPr>
        <w:spacing w:after="0" w:line="117" w:lineRule="exact"/>
        <w:rPr>
          <w:rFonts w:ascii="Arial" w:cs="Arial" w:eastAsia="Arial" w:hAnsi="Arial"/>
          <w:sz w:val="18"/>
          <w:szCs w:val="18"/>
          <w:color w:val="auto"/>
        </w:rPr>
      </w:pPr>
    </w:p>
    <w:p>
      <w:pPr>
        <w:ind w:firstLine="987"/>
        <w:spacing w:after="0" w:line="286" w:lineRule="auto"/>
        <w:tabs>
          <w:tab w:leader="none" w:pos="123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Sponsor Letter acknowledges in Section 3 thereof that ACT shall not enter into a definitive agreement regarding a Business Combination (as defined therein) without the prior consent of the ACT Sponsor. The Transactions constitute a Business Combination for purposes of the Sponsor Letter and the ACT Sponsor hereby consents to entry into the Business Combination Agreement.</w:t>
      </w:r>
    </w:p>
    <w:p>
      <w:pPr>
        <w:spacing w:after="0" w:line="57" w:lineRule="exact"/>
        <w:rPr>
          <w:rFonts w:ascii="Arial" w:cs="Arial" w:eastAsia="Arial" w:hAnsi="Arial"/>
          <w:sz w:val="17"/>
          <w:szCs w:val="17"/>
          <w:color w:val="auto"/>
        </w:rPr>
      </w:pPr>
    </w:p>
    <w:p>
      <w:pPr>
        <w:ind w:right="100" w:firstLine="987"/>
        <w:spacing w:after="0" w:line="271" w:lineRule="auto"/>
        <w:tabs>
          <w:tab w:leader="none" w:pos="124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Sponsor Letter provides in Section 3 thereof for certain requirements of the ACT Sponsor, the Insiders and the Officers in respect of a Business Combination (in each case, as defined therein), including in respect of voting all Founder Shares and Public Shares (in each case, as defined therein) beneficially owned by the ACT Sponsor and by the Insiders (the “</w:t>
      </w:r>
      <w:r>
        <w:rPr>
          <w:rFonts w:ascii="Arial" w:cs="Arial" w:eastAsia="Arial" w:hAnsi="Arial"/>
          <w:sz w:val="17"/>
          <w:szCs w:val="17"/>
          <w:u w:val="single" w:color="auto"/>
          <w:color w:val="auto"/>
        </w:rPr>
        <w:t>Shares</w:t>
      </w:r>
      <w:r>
        <w:rPr>
          <w:rFonts w:ascii="Arial" w:cs="Arial" w:eastAsia="Arial" w:hAnsi="Arial"/>
          <w:sz w:val="17"/>
          <w:szCs w:val="17"/>
          <w:color w:val="auto"/>
        </w:rPr>
        <w:t>”), as applicable, in favor of such Business Combinations and forgoing redemption rights in respect thereof. The Transactions constitute a Business Combination for purposes of the Sponsor Letter and the ACT Sponsor, each Insider and each Officer will comply with its, his or her respective obligations under Section 3 of the Sponsor Letter. In furtherance of such obligations, and without limiting the prior sentence, each Shareholder agrees, that prior to the Expiration Date (as defined below), at any meeting of ACT’s shareholders or any adjournment or postponement thereof, or in connection with any written consent of ACT’s shareholders, with respect to the Transactions, such Shareholder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92" w:name="page293"/>
    <w:bookmarkEnd w:id="292"/>
    <w:p>
      <w:pPr>
        <w:ind w:left="1960" w:right="140" w:hanging="533"/>
        <w:spacing w:after="0" w:line="277" w:lineRule="auto"/>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appear at such meeting or otherwise cause all Shares to be counted as present thereat for purposes of calculating a quorum; and</w:t>
      </w:r>
    </w:p>
    <w:p>
      <w:pPr>
        <w:spacing w:after="0" w:line="75" w:lineRule="exact"/>
        <w:rPr>
          <w:rFonts w:ascii="Arial" w:cs="Arial" w:eastAsia="Arial" w:hAnsi="Arial"/>
          <w:sz w:val="18"/>
          <w:szCs w:val="18"/>
          <w:color w:val="auto"/>
        </w:rPr>
      </w:pPr>
    </w:p>
    <w:p>
      <w:pPr>
        <w:ind w:left="1960" w:right="20" w:hanging="533"/>
        <w:spacing w:after="0" w:line="287" w:lineRule="auto"/>
        <w:tabs>
          <w:tab w:leader="none" w:pos="1960" w:val="left"/>
        </w:tabs>
        <w:numPr>
          <w:ilvl w:val="2"/>
          <w:numId w:val="302"/>
        </w:numPr>
        <w:rPr>
          <w:rFonts w:ascii="Arial" w:cs="Arial" w:eastAsia="Arial" w:hAnsi="Arial"/>
          <w:sz w:val="16"/>
          <w:szCs w:val="16"/>
          <w:color w:val="auto"/>
        </w:rPr>
      </w:pPr>
      <w:r>
        <w:rPr>
          <w:rFonts w:ascii="Arial" w:cs="Arial" w:eastAsia="Arial" w:hAnsi="Arial"/>
          <w:sz w:val="16"/>
          <w:szCs w:val="16"/>
          <w:color w:val="auto"/>
        </w:rPr>
        <w:t>from and after the date hereof until the Expiration Date, vote (or cause to be voted) or deliver a written consent (or cause a written consent to be delivered) covering all of the Shares that such Shareholder shall be entitled to so vote: (A) in favor of adoption and approval of the Business Combination Agreement, the Transactions and any other proposals recommended by ACT’s board of directors in connection with the Transaction as to which shareholders of ACT are called upon to vote or consent to; (B) against any action or agreement that would reasonably be expected to result in a breach in any material respect of any covenant, representation or warranty or any other obligation or agreement of ACT or its Affiliates under the Business Combination Agreement or that would reasonably be expected to result in any of the conditions to ACT’s or any of its Affiliates’ obligations under the Business Combination Agreement not being fulfilled; and (iii) against any ACT Acquisition Proposal, or any agreement, transaction or other matter that is intended to, or would reasonably be expected to, impede, interfere with, delay, postpone, discourage or materially and adversely affect the consummation of the Transactions. The Shareholders shall not take or commit or agree to take any action inconsistent with the foregoing.</w:t>
      </w:r>
    </w:p>
    <w:p>
      <w:pPr>
        <w:spacing w:after="0" w:line="63" w:lineRule="exact"/>
        <w:rPr>
          <w:rFonts w:ascii="Arial" w:cs="Arial" w:eastAsia="Arial" w:hAnsi="Arial"/>
          <w:sz w:val="16"/>
          <w:szCs w:val="16"/>
          <w:color w:val="auto"/>
        </w:rPr>
      </w:pPr>
    </w:p>
    <w:p>
      <w:pPr>
        <w:ind w:right="40" w:firstLine="987"/>
        <w:spacing w:after="0" w:line="277"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Subject to, and conditioned upon the occurrence and effective as of, the Closing, Section 5 of the Sponsor Letter shall be amended and restated to provide in its entirety as follows: “[Reserved].”</w:t>
      </w:r>
    </w:p>
    <w:p>
      <w:pPr>
        <w:spacing w:after="0" w:line="62" w:lineRule="exact"/>
        <w:rPr>
          <w:rFonts w:ascii="Arial" w:cs="Arial" w:eastAsia="Arial" w:hAnsi="Arial"/>
          <w:sz w:val="18"/>
          <w:szCs w:val="18"/>
          <w:color w:val="auto"/>
        </w:rPr>
      </w:pPr>
    </w:p>
    <w:p>
      <w:pPr>
        <w:ind w:firstLine="987"/>
        <w:spacing w:after="0" w:line="259" w:lineRule="auto"/>
        <w:tabs>
          <w:tab w:leader="none" w:pos="124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Section 4 of the Sponsor Letter is hereby amended and restated to provide in its entirety as follows: “[Reserved].” For the avoidance of doubt, if the Business Combination Agreement is terminated in accordance with its terms, then this clause (d) (and the amendment and restatement contemplated by this clause (d)) shall be of no further force and effect and Section 4 of the Sponsor Letter shall be reinstated and effective from and after such time.</w:t>
      </w:r>
    </w:p>
    <w:p>
      <w:pPr>
        <w:spacing w:after="0" w:line="78" w:lineRule="exact"/>
        <w:rPr>
          <w:rFonts w:ascii="Arial" w:cs="Arial" w:eastAsia="Arial" w:hAnsi="Arial"/>
          <w:sz w:val="18"/>
          <w:szCs w:val="18"/>
          <w:color w:val="auto"/>
        </w:rPr>
      </w:pPr>
    </w:p>
    <w:p>
      <w:pPr>
        <w:ind w:right="200" w:firstLine="987"/>
        <w:spacing w:after="0" w:line="277"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to occur of (i) the Closing, (ii) such date and time as the Business Combination Agreement shall be terminated in accordance with its terms, and (iii) upon the mutual written agreement of the Parties.</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Earn-Out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Subject to, and conditioned upon the occurrence of and effective immediately after the Closing, (i) 5% of the Post-Closing ACT</w:t>
      </w:r>
    </w:p>
    <w:p>
      <w:pPr>
        <w:spacing w:after="0" w:line="35"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 xml:space="preserve">Class A Shares beneficially owned by the ACT Sponsor immediately following the Closing resulting from the conversion of the Pre-Closing ACT Class B Shares in connection with the Transactions (rounded up to the nearest whole share) shall be subject to the provisions set forth below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(such shares, the “</w:t>
      </w:r>
      <w:r>
        <w:rPr>
          <w:rFonts w:ascii="Arial" w:cs="Arial" w:eastAsia="Arial" w:hAnsi="Arial"/>
          <w:sz w:val="18"/>
          <w:szCs w:val="18"/>
          <w:u w:val="single" w:color="auto"/>
          <w:color w:val="auto"/>
        </w:rPr>
        <w:t>First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93" w:name="page294"/>
    <w:bookmarkEnd w:id="293"/>
    <w:p>
      <w:pPr>
        <w:ind w:right="10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 Earn-Out Shares</w:t>
      </w:r>
      <w:r>
        <w:rPr>
          <w:rFonts w:ascii="Arial" w:cs="Arial" w:eastAsia="Arial" w:hAnsi="Arial"/>
          <w:sz w:val="16"/>
          <w:szCs w:val="16"/>
          <w:color w:val="auto"/>
        </w:rPr>
        <w:t xml:space="preserve">”), (ii) an additional 5% of the Post-Closing ACT Class A Shares beneficially owned by the ACT Sponsor immediately following the Closing resulting from the conversion of the Pre-Closing ACT Class B Shares in connection with the Transactions (rounded up to the nearest whole share) shall be subject to the provisions set forth below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shares, the “</w:t>
      </w:r>
      <w:r>
        <w:rPr>
          <w:rFonts w:ascii="Arial" w:cs="Arial" w:eastAsia="Arial" w:hAnsi="Arial"/>
          <w:sz w:val="16"/>
          <w:szCs w:val="16"/>
          <w:u w:val="single" w:color="auto"/>
          <w:color w:val="auto"/>
        </w:rPr>
        <w:t>Second 50% Earn-Out Shares</w:t>
      </w:r>
      <w:r>
        <w:rPr>
          <w:rFonts w:ascii="Arial" w:cs="Arial" w:eastAsia="Arial" w:hAnsi="Arial"/>
          <w:sz w:val="16"/>
          <w:szCs w:val="16"/>
          <w:color w:val="auto"/>
        </w:rPr>
        <w:t>” and, together with the First 50% Earn-Out Shares, the “</w:t>
      </w:r>
      <w:r>
        <w:rPr>
          <w:rFonts w:ascii="Arial" w:cs="Arial" w:eastAsia="Arial" w:hAnsi="Arial"/>
          <w:sz w:val="16"/>
          <w:szCs w:val="16"/>
          <w:u w:val="single" w:color="auto"/>
          <w:color w:val="auto"/>
        </w:rPr>
        <w:t>Earn-Out Shares</w:t>
      </w:r>
      <w:r>
        <w:rPr>
          <w:rFonts w:ascii="Arial" w:cs="Arial" w:eastAsia="Arial" w:hAnsi="Arial"/>
          <w:sz w:val="16"/>
          <w:szCs w:val="16"/>
          <w:color w:val="auto"/>
        </w:rPr>
        <w:t xml:space="preserve">”) and (iii) the remaining 90% of the Post-Closing ACT Class A Shares beneficially owned by the ACT Sponsor immediately following the Closing resulting from the conversion of the Pre-Closing ACT Class B Shares in connection with the Transactions (rounded down to the nearest whole share) shall not be subject to the provisions set forth below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shares, the “</w:t>
      </w:r>
      <w:r>
        <w:rPr>
          <w:rFonts w:ascii="Arial" w:cs="Arial" w:eastAsia="Arial" w:hAnsi="Arial"/>
          <w:sz w:val="16"/>
          <w:szCs w:val="16"/>
          <w:u w:val="single" w:color="auto"/>
          <w:color w:val="auto"/>
        </w:rPr>
        <w:t>Retained Shares</w:t>
      </w:r>
      <w:r>
        <w:rPr>
          <w:rFonts w:ascii="Arial" w:cs="Arial" w:eastAsia="Arial" w:hAnsi="Arial"/>
          <w:sz w:val="16"/>
          <w:szCs w:val="16"/>
          <w:color w:val="auto"/>
        </w:rPr>
        <w:t>”).</w:t>
      </w:r>
    </w:p>
    <w:p>
      <w:pPr>
        <w:spacing w:after="0" w:line="56" w:lineRule="exact"/>
        <w:rPr>
          <w:sz w:val="20"/>
          <w:szCs w:val="20"/>
          <w:color w:val="auto"/>
        </w:rPr>
      </w:pPr>
    </w:p>
    <w:p>
      <w:pPr>
        <w:jc w:val="both"/>
        <w:ind w:right="40" w:firstLine="987"/>
        <w:spacing w:after="0" w:line="311" w:lineRule="auto"/>
        <w:tabs>
          <w:tab w:leader="none" w:pos="124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Subject to, and conditioned upon the occurrence of and effective immediately after the Closing, the Earn-Out Shares shall be unvested and subject to the restrictions and forfeiture provisions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Earn-Out Shares shall vest and be released from the provisions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as follows if, during the 60 months following the Closing (the final day of such period, the “</w:t>
      </w:r>
      <w:r>
        <w:rPr>
          <w:rFonts w:ascii="Arial" w:cs="Arial" w:eastAsia="Arial" w:hAnsi="Arial"/>
          <w:sz w:val="16"/>
          <w:szCs w:val="16"/>
          <w:u w:val="single" w:color="auto"/>
          <w:color w:val="auto"/>
        </w:rPr>
        <w:t>Earn-Out End Date</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960" w:hanging="533"/>
        <w:spacing w:after="0" w:line="257" w:lineRule="auto"/>
        <w:tabs>
          <w:tab w:leader="none" w:pos="19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the VWAP of the Post-Closing ACT Class A Shares over any 20 Trading Days within any 30 consecutive Trading Day period is greater than or equal to $12.50 per share; or (B) a Sale (as defined below) is consummated in which the Post-Closing ACT Class A Shares are valued at greater than or equal to $12.50 per share, in which the case of either (A) or (B), the First 50% Earn-Out Shares shall vest upon the close of market on the 20th such Trading Day or as of immediately prior to the closing of such Sale, respectively; and</w:t>
      </w:r>
    </w:p>
    <w:p>
      <w:pPr>
        <w:spacing w:after="0" w:line="93" w:lineRule="exact"/>
        <w:rPr>
          <w:rFonts w:ascii="Arial" w:cs="Arial" w:eastAsia="Arial" w:hAnsi="Arial"/>
          <w:sz w:val="18"/>
          <w:szCs w:val="18"/>
          <w:color w:val="auto"/>
        </w:rPr>
      </w:pPr>
    </w:p>
    <w:p>
      <w:pPr>
        <w:ind w:left="1960" w:right="180" w:hanging="533"/>
        <w:spacing w:after="0" w:line="257" w:lineRule="auto"/>
        <w:tabs>
          <w:tab w:leader="none" w:pos="19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the VWAP of the Post-Closing ACT Class A Shares over any 20 Trading Days within any 30 consecutive Trading Day period is greater than or equal to $15.00 per share; or (B) a Sale is consummated in which the Post-Closing ACT Class A Shares are valued at greater than or equal to $15.00 per share, in which the case of either (A) or (B), such Second 50% Earn-Out Shares shall vest upon the close of market on the 20th such Trading Day or as of immediately prior to the closing of such Sale, respectively;</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of the occurrences described in the foregoing clauses (i) and (ii), an “</w:t>
      </w:r>
      <w:r>
        <w:rPr>
          <w:rFonts w:ascii="Arial" w:cs="Arial" w:eastAsia="Arial" w:hAnsi="Arial"/>
          <w:sz w:val="17"/>
          <w:szCs w:val="17"/>
          <w:u w:val="single" w:color="auto"/>
          <w:color w:val="auto"/>
        </w:rPr>
        <w:t>Earn-Out Event</w:t>
      </w:r>
      <w:r>
        <w:rPr>
          <w:rFonts w:ascii="Arial" w:cs="Arial" w:eastAsia="Arial" w:hAnsi="Arial"/>
          <w:sz w:val="17"/>
          <w:szCs w:val="17"/>
          <w:color w:val="auto"/>
        </w:rPr>
        <w:t xml:space="preserve">”). Any Earn-Out Shares that have not vested in accordance with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on or before the Earn-Out End Date will be immediately forfeited at 11:59 p.m., New York, New York time on the Earn-Out End Date. For purposes of this Agreement, “Sale” means (A) a direct or indirect sale, lease, exchange or other transfer (regardless of the form of the transaction) in one transaction or a series of related transactions of a majority of ACT’s assets, as determined on a consolidated basis, to a third party or third parties acting as a “group” (as defined in Section 13(d)(3) of the Exchange Act) or (B) any transaction or series of transactions that results, directly or indirectly, in the shareholders of ACT as of immediately prior to such transactions holding, in the aggregate, less than 50% of the voting Equity Securities of ACT (or any successor of ACT) immediately after the consummation thereof (excluding, for the avoidance of doubt, any Earn-out Shares), in the case of each of clause (A) or (B), whether by amalgamation, merger, consolidation, arrangement, tender offer, recapitalization, purchase, issuance, sale or transfer of Equity Securities or assets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4" w:name="page295"/>
    <w:bookmarkEnd w:id="294"/>
    <w:p>
      <w:pPr>
        <w:ind w:left="4" w:firstLine="987"/>
        <w:spacing w:after="0" w:line="285" w:lineRule="auto"/>
        <w:tabs>
          <w:tab w:leader="none" w:pos="1240" w:val="left"/>
        </w:tabs>
        <w:numPr>
          <w:ilvl w:val="1"/>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ACT Sponsor agrees that it shall not engage in any Transfer (as defined in the Sponsor Letter) with respect to any Earn-Out Shares until such time as the Earn-Out Shares have vested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Notwithstanding the foregoing or anything to the contrary herein, (i) the ACT Sponsor (and, for the avoidance of doubt, any permitted transferees pursuant to this clause (i)) may transfer all or any of the Earn-Out Shares to a Permitted Transferee (as defined in the Investor Rights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transferee shall, in addition to any requirements in the Investor Rights Agreement, agree in writing that he, she or it is receiving and holding such Earn-Out Shares subject to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from and after a transfer pursuant to clause (i) of this sentence, all references to the ACT Sponsor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include such transferee and shall collectively mean the ACT Sponsor (to the extent that it then holds Earn-Out Shares) and each permitted transferee of Earn-Out Shares pursuant to clause (i) of this sentence (in each case, to the extent he, she or it then holds Earn-Out Shares). Each transferee of Earn-Out Shares pursuant to 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of the preceding sentence shall be a third party beneficiary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20" w:firstLine="987"/>
        <w:spacing w:after="0" w:line="289" w:lineRule="auto"/>
        <w:tabs>
          <w:tab w:leader="none" w:pos="125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As used herein, “Trading Day” means any day on which trading is generally conducted on Nasdaq or any other exchange on which the Post-Closing ACT Class A Shares are traded on or after the Closing and on or prior to the Earn-Out End Date. The Earn-Out Shares, the applicable Earn-Out Event (and all references to Post-Closing ACT Class A Shares and each of the foregoing in this Agreement) and the $12.50 and $15.00 per share price referenced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each be adjusted appropriately to reflect the effect of any stock split, reverse stock split, stock dividend (including any dividend or other distribution of securities convertible into Post-Closing ACT Class A Shares), reorganization, recapitalization, reclassification, combination, exchange of shares or other like change in respect of the Post-Closing ACT Class A Shares (or any other Equity Securities into which they are adjusted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at any time prior to the vesting of the Earn-Out Shares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so as to provide the holders of the Earn-Out Shares with the same economic effect as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prior to such event and as so adjusted shall, from and after the date of such event, be the Earn-Out Shares and the Earn-Out Events, as applicable.</w:t>
      </w:r>
    </w:p>
    <w:p>
      <w:pPr>
        <w:spacing w:after="0" w:line="58" w:lineRule="exact"/>
        <w:rPr>
          <w:rFonts w:ascii="Arial" w:cs="Arial" w:eastAsia="Arial" w:hAnsi="Arial"/>
          <w:sz w:val="16"/>
          <w:szCs w:val="16"/>
          <w:color w:val="auto"/>
        </w:rPr>
      </w:pPr>
    </w:p>
    <w:p>
      <w:pPr>
        <w:ind w:left="4" w:right="80" w:firstLine="987"/>
        <w:spacing w:after="0" w:line="259" w:lineRule="auto"/>
        <w:tabs>
          <w:tab w:leader="none" w:pos="12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The Company shall use reasonable best efforts to remain listed as a public company on, and for the Earn-Out Shares to be tradable over, Nasdaq or any other nationally recognized U.S.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foregoing shall not limit the Company or any of its Affiliates from consummating a Sale or entering into a definitive agreement that contemplates a Sale. Subject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upon the consummation of a Sale, the Company shall have no further obligations under this </w:t>
      </w:r>
      <w:r>
        <w:rPr>
          <w:rFonts w:ascii="Arial" w:cs="Arial" w:eastAsia="Arial" w:hAnsi="Arial"/>
          <w:sz w:val="18"/>
          <w:szCs w:val="18"/>
          <w:u w:val="single" w:color="auto"/>
          <w:color w:val="auto"/>
        </w:rPr>
        <w:t>Section 2(e)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60" w:firstLine="987"/>
        <w:spacing w:after="0" w:line="259" w:lineRule="auto"/>
        <w:tabs>
          <w:tab w:leader="none" w:pos="12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At the time that the Earn-Out Shares become vested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the Company shall remove any legends, stock transfer restrictions, stop transfer orders or similar restrictions with respect to the Earn-Out Shares related to such vesting or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(other than, for the avoidance of doubt, those that relate to any applicable and then-existing Lock-Up Period (as defined in the Investor Rights Agreement) with respect to such Earn-Out Shares).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95" w:name="page296"/>
    <w:bookmarkEnd w:id="295"/>
    <w:p>
      <w:pPr>
        <w:ind w:left="4"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For the avoidance of doubt, (i) the ACT Sponsor shall retain all of its rights as a stockholder of the Company with respect to the Earn-Out Shares owned by it during any period of time that such shares are subject to restriction on transfer or sale hereunder, including the right to vote any such shares and the right to receive dividends and other distributions with respect to such Earn-Out Shares prior to vesting (provided that dividends and other distributions with respect to Earn-Out Shares that are subject to vesting and are unvested at the time of such dividend or distribution shall be set aside by the Company and shall only be paid to such holders upon the vesting of such Earn-Out Shares (and, if any dividends or other distributions with respect to Earn-Out Shares are set aside and such Earn-Out Shares are subsequently forfeited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set aside dividends or distributions shall become the property of the Company)), (ii) any Earn-Out Shares that vest in accordance with the terms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subject to any applicable Lock-Up Period set forth in the Investor Rights Agreement and (iii) notwithstanding the expiration of any Lock-Up Period with respect to any Earn-Out Shares, such shares shall remain subject to any applicable restrictions set forth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58" w:lineRule="exact"/>
        <w:rPr>
          <w:sz w:val="20"/>
          <w:szCs w:val="20"/>
          <w:color w:val="auto"/>
        </w:rPr>
      </w:pPr>
    </w:p>
    <w:p>
      <w:pPr>
        <w:ind w:left="1244" w:hanging="253"/>
        <w:spacing w:after="0"/>
        <w:tabs>
          <w:tab w:leader="none" w:pos="1244" w:val="left"/>
        </w:tabs>
        <w:numPr>
          <w:ilvl w:val="2"/>
          <w:numId w:val="309"/>
        </w:numPr>
        <w:rPr>
          <w:rFonts w:ascii="Arial" w:cs="Arial" w:eastAsia="Arial" w:hAnsi="Arial"/>
          <w:sz w:val="17"/>
          <w:szCs w:val="17"/>
          <w:color w:val="auto"/>
        </w:rPr>
      </w:pPr>
      <w:r>
        <w:rPr>
          <w:rFonts w:ascii="Arial" w:cs="Arial" w:eastAsia="Arial" w:hAnsi="Arial"/>
          <w:sz w:val="17"/>
          <w:szCs w:val="17"/>
          <w:color w:val="auto"/>
        </w:rPr>
        <w:t>The ACT Sponsor intends to make a protective election under Section 83(b) of the Code with respect to the Earn-Out Shares.</w:t>
      </w:r>
    </w:p>
    <w:p>
      <w:pPr>
        <w:spacing w:after="0" w:line="128" w:lineRule="exact"/>
        <w:rPr>
          <w:rFonts w:ascii="Arial" w:cs="Arial" w:eastAsia="Arial" w:hAnsi="Arial"/>
          <w:sz w:val="17"/>
          <w:szCs w:val="17"/>
          <w:color w:val="auto"/>
        </w:rPr>
      </w:pPr>
    </w:p>
    <w:p>
      <w:pPr>
        <w:ind w:left="4" w:right="140" w:firstLine="436"/>
        <w:spacing w:after="0" w:line="257" w:lineRule="auto"/>
        <w:tabs>
          <w:tab w:leader="none" w:pos="624"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Anti-Dilution Adjustment Waiver</w:t>
      </w:r>
      <w:r>
        <w:rPr>
          <w:rFonts w:ascii="Arial" w:cs="Arial" w:eastAsia="Arial" w:hAnsi="Arial"/>
          <w:sz w:val="18"/>
          <w:szCs w:val="18"/>
          <w:color w:val="auto"/>
        </w:rPr>
        <w:t>. Subject to, and conditioned upon the occurrence of and effective as of immediately prior to the Closing, the ACT Sponsor, which is the holder of at least a majority of the outstanding Pre-Closing ACT Class B Shares as of the date hereof, hereby waives on behalf of the holders of all Pre-Closing ACT Class B Shares, pursuant to and in compliance with ACT’s Governing Documents, any adjustment to the conversion ratio set forth therein, and any rights to other anti-dilution protections with respect to the Pre-Closing ACT Class B Shares, that may result from the PIPE Financing and/or the consummation of the Transactions.</w:t>
      </w:r>
    </w:p>
    <w:p>
      <w:pPr>
        <w:spacing w:after="0" w:line="79" w:lineRule="exact"/>
        <w:rPr>
          <w:rFonts w:ascii="Arial" w:cs="Arial" w:eastAsia="Arial" w:hAnsi="Arial"/>
          <w:sz w:val="18"/>
          <w:szCs w:val="18"/>
          <w:color w:val="auto"/>
        </w:rPr>
      </w:pPr>
    </w:p>
    <w:p>
      <w:pPr>
        <w:ind w:left="4" w:right="160" w:firstLine="436"/>
        <w:spacing w:after="0" w:line="284" w:lineRule="auto"/>
        <w:tabs>
          <w:tab w:leader="none" w:pos="624"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ACT Expenses</w:t>
      </w:r>
      <w:r>
        <w:rPr>
          <w:rFonts w:ascii="Arial" w:cs="Arial" w:eastAsia="Arial" w:hAnsi="Arial"/>
          <w:sz w:val="16"/>
          <w:szCs w:val="16"/>
          <w:color w:val="auto"/>
        </w:rPr>
        <w:t>. No later than three Business Days prior to the Closing, ACT shall deliver to the Company a reasonably detailed calculation of the ACT Expenses, along with reasonably detailed supporting documentation. To the extent such ACT Expenses, in the aggregate, would exceed $26,000,000 as of the Closing Date (including, without limitation, any ACT Expenses to be incurred, to arise or to accrue as a result of the Closing) (such excess ACT Expenses, the “</w:t>
      </w:r>
      <w:r>
        <w:rPr>
          <w:rFonts w:ascii="Arial" w:cs="Arial" w:eastAsia="Arial" w:hAnsi="Arial"/>
          <w:sz w:val="16"/>
          <w:szCs w:val="16"/>
          <w:u w:val="single" w:color="auto"/>
          <w:color w:val="auto"/>
        </w:rPr>
        <w:t>Excess Act Expenses</w:t>
      </w:r>
      <w:r>
        <w:rPr>
          <w:rFonts w:ascii="Arial" w:cs="Arial" w:eastAsia="Arial" w:hAnsi="Arial"/>
          <w:sz w:val="16"/>
          <w:szCs w:val="16"/>
          <w:color w:val="auto"/>
        </w:rPr>
        <w:t xml:space="preserve">”), the ACT Sponsor shall pay or cause to be paid to the Company such Excess ACT Expenses either (a) in cash by wire transfer of immediately available funds, pursuant to written wire instructions provided by the Company no later than two Business Days prior to the Closing, (b) by forfeiting Shares (other than Earn-Out Shares) beneficially owned by the ACT Sponsor to ACT for cancellation (with each Share valued at $10.00 per share for such purposes) or (c) by a combination of cash or forfeited Shares as provided in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31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02" w:lineRule="exact"/>
        <w:rPr>
          <w:rFonts w:ascii="Arial" w:cs="Arial" w:eastAsia="Arial" w:hAnsi="Arial"/>
          <w:sz w:val="18"/>
          <w:szCs w:val="18"/>
          <w:u w:val="single" w:color="auto"/>
          <w:color w:val="auto"/>
        </w:rPr>
      </w:pPr>
    </w:p>
    <w:p>
      <w:pPr>
        <w:ind w:left="624" w:hanging="184"/>
        <w:spacing w:after="0"/>
        <w:tabs>
          <w:tab w:leader="none" w:pos="624"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59" w:lineRule="auto"/>
        <w:tabs>
          <w:tab w:leader="none" w:pos="12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Each Shareholder hereby agrees to be bound by and subject to (i) Sections 5.3(a) (Confidentiality and Access to Information) and 5.4 (Public Announcements) of the Business Combination Agreement to the same extent as such provisions apply to the parties thereto, as if such Shareholder is directly a party thereto, and (ii) Section 5.7 (ACT Exclusive Dealing) of the Business Combination Agreement to the same extent as such provisions apply to ACT, as if such Shareholder is directly party thereto.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96" w:name="page297"/>
    <w:bookmarkEnd w:id="296"/>
    <w:p>
      <w:pPr>
        <w:ind w:firstLine="987"/>
        <w:spacing w:after="0" w:line="287" w:lineRule="auto"/>
        <w:tabs>
          <w:tab w:leader="none" w:pos="1246" w:val="left"/>
        </w:tabs>
        <w:numPr>
          <w:ilvl w:val="1"/>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applicable, prior to the Closing, each Shareholder hereby agrees to as promptly as practicable execute and deliver all additional agreements, documents or instruments, take, or cause to be taken, all actions and provide, or cause to be provided, all additional information or other materials as may be necessary or reasonably advisable, in each case, as mutually reasonably determined and agreed to by ACT and the Company (such determination and agreement not to be unreasonably withheld, conditioned or delayed by either ACT or the Company), in connection with, or otherwise in furtherance of, the transactions and the other covenants and agreements contemplated by the Business Combination Agreement or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Shareholder be obligated to take, approve or consent to any action that would result in any adverse economic or other material change to the Business Combination Agreement, this Agreement or any other Ancillary Document to which he, she or it is or will be a party). If applicable, from and after the Closing, the ACT Sponsor and the Company each hereby agrees to as promptly as practicable execute and deliver execute and deliver all additional agreements, documents or instruments, take, or cause to be taken, all actions and provide, or cause to be provided, all additional information or other materials as may be reasonably necessary to effectuate the purpose of the covenants and agreements of this Agreement that survive the Closing. Notwithstanding the foregoing, no Shareholder or the Company shall be required to provide any information that is, based on the advice of outside counsel, subject to legal privilege.</w:t>
      </w:r>
    </w:p>
    <w:p>
      <w:pPr>
        <w:spacing w:after="0" w:line="59" w:lineRule="exact"/>
        <w:rPr>
          <w:rFonts w:ascii="Arial" w:cs="Arial" w:eastAsia="Arial" w:hAnsi="Arial"/>
          <w:sz w:val="16"/>
          <w:szCs w:val="16"/>
          <w:color w:val="auto"/>
        </w:rPr>
      </w:pPr>
    </w:p>
    <w:p>
      <w:pPr>
        <w:ind w:right="120" w:firstLine="987"/>
        <w:spacing w:after="0" w:line="255" w:lineRule="auto"/>
        <w:tabs>
          <w:tab w:leader="none" w:pos="123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Each Shareholder acknowledges and agrees that ACT and the Company are entering into the Business Combination Agreement in reliance upon such Shareholder entering into this Agreement and agreeing to be bound by, and perform, or otherwise comply with, as applicable, the applicable agreements, covenants and obligations contained in this Agreement and, but for each Shareholder entering into this Agreement and agreeing to be bound by, and perform, or otherwise comply with, as applicable, the applicable agreements, covenants and obligations contained in this Agreement, ACT and the Company would not have entered into or agreed to consummate the transactions contemplated by the Business Combination Agreement.</w:t>
      </w:r>
    </w:p>
    <w:p>
      <w:pPr>
        <w:spacing w:after="0" w:line="84" w:lineRule="exact"/>
        <w:rPr>
          <w:rFonts w:ascii="Arial" w:cs="Arial" w:eastAsia="Arial" w:hAnsi="Arial"/>
          <w:sz w:val="18"/>
          <w:szCs w:val="18"/>
          <w:color w:val="auto"/>
        </w:rPr>
      </w:pPr>
    </w:p>
    <w:p>
      <w:pPr>
        <w:ind w:right="280" w:firstLine="436"/>
        <w:spacing w:after="0" w:line="277" w:lineRule="auto"/>
        <w:tabs>
          <w:tab w:leader="none" w:pos="62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Shareholder Representations and Warranties</w:t>
      </w:r>
      <w:r>
        <w:rPr>
          <w:rFonts w:ascii="Arial" w:cs="Arial" w:eastAsia="Arial" w:hAnsi="Arial"/>
          <w:sz w:val="18"/>
          <w:szCs w:val="18"/>
          <w:color w:val="auto"/>
        </w:rPr>
        <w:t>. Each Shareholder represents and warrants, as of the date hereof, solely with respect to himself, herself or itself, and not on behalf of any other Shareholder, to the Company and ACT as follows:</w:t>
      </w:r>
    </w:p>
    <w:p>
      <w:pPr>
        <w:spacing w:after="0" w:line="62"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Shareholder (if not an individual)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40" w:lineRule="exact"/>
        <w:rPr>
          <w:rFonts w:ascii="Arial" w:cs="Arial" w:eastAsia="Arial" w:hAnsi="Arial"/>
          <w:sz w:val="16"/>
          <w:szCs w:val="16"/>
          <w:color w:val="auto"/>
        </w:rPr>
      </w:pPr>
    </w:p>
    <w:p>
      <w:pPr>
        <w:ind w:right="20" w:firstLine="987"/>
        <w:spacing w:after="0" w:line="255" w:lineRule="auto"/>
        <w:tabs>
          <w:tab w:leader="none" w:pos="124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Shareholder (if not an individual) has the requisite corporate, limited liability company or other similar power and authority and, if the Shareholder is an individual, legal capacity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action on the part of the Shareholder. This Agreement has been duly and validly executed and delivered by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7" w:name="page298"/>
    <w:bookmarkEnd w:id="297"/>
    <w:p>
      <w:pPr>
        <w:jc w:val="both"/>
        <w:ind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and constitutes a valid, legal and binding agreement of the Shareholder (assuming that this Agreement is duly authorized, executed and delivered by the other parties hereto),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41" w:lineRule="exact"/>
        <w:rPr>
          <w:sz w:val="20"/>
          <w:szCs w:val="20"/>
          <w:color w:val="auto"/>
        </w:rPr>
      </w:pPr>
    </w:p>
    <w:p>
      <w:pPr>
        <w:ind w:right="20" w:firstLine="987"/>
        <w:spacing w:after="0" w:line="271" w:lineRule="auto"/>
        <w:tabs>
          <w:tab w:leader="none" w:pos="12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(i) any filings with the SEC related to his, her or its ownership of Equity Securities of ACT or the transactions contemplated by the Business Combination Agreement, this Agreement or any other Ancillary Documents to which he, she or it is a party, or (ii) any other consents, approvals, authorizations, designations, declarations, waivers or filings, the absence of which would not reasonably be expected to adversely affect the ability of the Shareholder to perform, or otherwise comply with, any of his, her or its covenants, agreements or obligations hereunder in any material respect.</w:t>
      </w:r>
    </w:p>
    <w:p>
      <w:pPr>
        <w:spacing w:after="0" w:line="70" w:lineRule="exact"/>
        <w:rPr>
          <w:rFonts w:ascii="Arial" w:cs="Arial" w:eastAsia="Arial" w:hAnsi="Arial"/>
          <w:sz w:val="17"/>
          <w:szCs w:val="17"/>
          <w:color w:val="auto"/>
        </w:rPr>
      </w:pPr>
    </w:p>
    <w:p>
      <w:pPr>
        <w:ind w:firstLine="987"/>
        <w:spacing w:after="0" w:line="288" w:lineRule="auto"/>
        <w:tabs>
          <w:tab w:leader="none" w:pos="124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None of the execution or delivery of this Agreement by the Shareholder, the performance by the Shareholder of any of his, her or its covenants, agreements or obligations under this Agreement or the consummation of the transactions contemplated hereby will, directly or indirectly (with or without due notice or lapse of time or both) (i) if the Shareholder is not an individual,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other than the restrictions contemplated by this Agreement, the Business Combination Agreement or any other Ancillary Document to which such Shareholder is or will be a party, result in the creation of any Lien upon the Subject Securities (other than as expressly provided under this Agreement),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as would not reasonably be expected to adversely affect the ability of the Shareholder to perform, or otherwise comply with, any of his, her or its covenants, agreements or obligations hereunder in any material respect.</w:t>
      </w:r>
    </w:p>
    <w:p>
      <w:pPr>
        <w:spacing w:after="0" w:line="60" w:lineRule="exact"/>
        <w:rPr>
          <w:rFonts w:ascii="Arial" w:cs="Arial" w:eastAsia="Arial" w:hAnsi="Arial"/>
          <w:sz w:val="16"/>
          <w:szCs w:val="16"/>
          <w:color w:val="auto"/>
        </w:rPr>
      </w:pPr>
    </w:p>
    <w:p>
      <w:pPr>
        <w:ind w:right="20" w:firstLine="987"/>
        <w:spacing w:after="0" w:line="270" w:lineRule="auto"/>
        <w:tabs>
          <w:tab w:leader="none" w:pos="12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The Shareholder is, as of the date hereof, the record and beneficial owner of the Subject Securities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Shareholder has the sole right to vote (and provide consent in respect of, as applicable) the Subject Securities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as of the date hereof. Except for this Agreement, the Business Combination Agreement, the other Ancillary Documents to which he, she or it is or will be a party, the Affected Agreements and the Governing Documents of ACT, the Shareholder is not party to or bound by (i) any option, warrant, purchase right or other Contract that would reasonably be expected (either alone or in connection with one or more events, developments or events (including the satisfaction or waiver of any conditions precedent)) to require the Shareholder to Transfer any of the Subject Securities or (ii) any voting trust, proxy or other Contract with respect to the voting or Transfer of any of the Subject Securities, in the case of either clause (i) or (ii), that would reasonably be expected to adversely affect the ability of the Shareholder to perform, or otherwise comply with, any of his, her or its covenants, agreements or obligations hereunder in any material respect.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98" w:name="page299"/>
    <w:bookmarkEnd w:id="298"/>
    <w:p>
      <w:pPr>
        <w:ind w:left="4" w:right="140" w:firstLine="987"/>
        <w:spacing w:after="0" w:line="286" w:lineRule="auto"/>
        <w:tabs>
          <w:tab w:leader="none" w:pos="1220" w:val="left"/>
        </w:tabs>
        <w:numPr>
          <w:ilvl w:val="2"/>
          <w:numId w:val="3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Proceeding pending or, to the Shareholder’s knowledge, threatened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57" w:lineRule="exact"/>
        <w:rPr>
          <w:rFonts w:ascii="Arial" w:cs="Arial" w:eastAsia="Arial" w:hAnsi="Arial"/>
          <w:sz w:val="17"/>
          <w:szCs w:val="17"/>
          <w:color w:val="auto"/>
        </w:rPr>
      </w:pPr>
    </w:p>
    <w:p>
      <w:pPr>
        <w:ind w:left="4" w:firstLine="987"/>
        <w:spacing w:after="0" w:line="257" w:lineRule="auto"/>
        <w:tabs>
          <w:tab w:leader="none" w:pos="125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Shareholder, on his, her or its own behalf and on behalf of his, her or its Representatives, acknowledges, represents, warrants and agrees that he, she or it has conducted his, her or its own independent review and analysis of, and, based thereon, has formed an independent judgment concerning, the business, assets, condition, operations and prospects of, the Company and the Transactions as he, she or it and his, her or its Representatives have deemed necessary to enable him, her or it to make an informed decision with respect to the execution, delivery and performance of this Agreement and the Transactions.</w:t>
      </w:r>
    </w:p>
    <w:p>
      <w:pPr>
        <w:spacing w:after="0" w:line="79" w:lineRule="exact"/>
        <w:rPr>
          <w:rFonts w:ascii="Arial" w:cs="Arial" w:eastAsia="Arial" w:hAnsi="Arial"/>
          <w:sz w:val="18"/>
          <w:szCs w:val="18"/>
          <w:color w:val="auto"/>
        </w:rPr>
      </w:pPr>
    </w:p>
    <w:p>
      <w:pPr>
        <w:ind w:left="4" w:firstLine="987"/>
        <w:spacing w:after="0" w:line="293" w:lineRule="auto"/>
        <w:tabs>
          <w:tab w:leader="none" w:pos="1250" w:val="left"/>
        </w:tabs>
        <w:numPr>
          <w:ilvl w:val="2"/>
          <w:numId w:val="315"/>
        </w:numPr>
        <w:rPr>
          <w:rFonts w:ascii="Arial" w:cs="Arial" w:eastAsia="Arial" w:hAnsi="Arial"/>
          <w:sz w:val="16"/>
          <w:szCs w:val="16"/>
          <w:color w:val="auto"/>
        </w:rPr>
      </w:pPr>
      <w:r>
        <w:rPr>
          <w:rFonts w:ascii="Arial" w:cs="Arial" w:eastAsia="Arial" w:hAnsi="Arial"/>
          <w:sz w:val="16"/>
          <w:szCs w:val="16"/>
          <w:color w:val="auto"/>
        </w:rPr>
        <w:t>In entering into this Agreement, the Shareholder has relied solely on his, her or its own investigation and analysis and the representations and warranties expressly set forth herein and no other representations or warranties of ACT, the Company or any other Person, either express or implied, and the Shareholder, on his, her or its own behalf and on behalf of his, her or its Representatives, acknowledges, represents, warrants and agrees that, except for the representations and warranties expressly set forth in this Agreement, none of ACT, the Company or any other Person makes or has made any representation or warranty, either express or implied, to the Shareholder in connection with or related to this Agreement, the Business Combination Agreement or the other Ancillary Documents or the transactions contemplated hereby or thereby.</w:t>
      </w:r>
    </w:p>
    <w:p>
      <w:pPr>
        <w:spacing w:after="0" w:line="56" w:lineRule="exact"/>
        <w:rPr>
          <w:rFonts w:ascii="Arial" w:cs="Arial" w:eastAsia="Arial" w:hAnsi="Arial"/>
          <w:sz w:val="16"/>
          <w:szCs w:val="16"/>
          <w:color w:val="auto"/>
        </w:rPr>
      </w:pPr>
    </w:p>
    <w:p>
      <w:pPr>
        <w:ind w:left="624" w:hanging="184"/>
        <w:spacing w:after="0"/>
        <w:tabs>
          <w:tab w:leader="none" w:pos="624"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Company and ACT Acknowledgement</w:t>
      </w:r>
      <w:r>
        <w:rPr>
          <w:rFonts w:ascii="Arial" w:cs="Arial" w:eastAsia="Arial" w:hAnsi="Arial"/>
          <w:sz w:val="17"/>
          <w:szCs w:val="17"/>
          <w:color w:val="auto"/>
        </w:rPr>
        <w:t>. In entering into this Agreement, the Business Combination Agreement and the other Ancillary</w:t>
      </w:r>
    </w:p>
    <w:p>
      <w:pPr>
        <w:spacing w:after="0" w:line="34" w:lineRule="exact"/>
        <w:rPr>
          <w:rFonts w:ascii="Arial" w:cs="Arial" w:eastAsia="Arial" w:hAnsi="Arial"/>
          <w:sz w:val="17"/>
          <w:szCs w:val="17"/>
          <w:color w:val="auto"/>
        </w:rPr>
      </w:pPr>
    </w:p>
    <w:p>
      <w:pPr>
        <w:ind w:left="4" w:right="40"/>
        <w:spacing w:after="0" w:line="277" w:lineRule="auto"/>
        <w:rPr>
          <w:rFonts w:ascii="Arial" w:cs="Arial" w:eastAsia="Arial" w:hAnsi="Arial"/>
          <w:sz w:val="17"/>
          <w:szCs w:val="17"/>
          <w:color w:val="auto"/>
        </w:rPr>
      </w:pPr>
      <w:r>
        <w:rPr>
          <w:rFonts w:ascii="Arial" w:cs="Arial" w:eastAsia="Arial" w:hAnsi="Arial"/>
          <w:sz w:val="17"/>
          <w:szCs w:val="17"/>
          <w:color w:val="auto"/>
        </w:rPr>
        <w:t>Documents to which it is or will be a party, neither of the Company nor ACT have relied on any representations or warranties of any Shareholder, either express or implied, except for the representations and warranties of the Shareholders expressly set forth in this Agreement or in such other Ancillary Documents to which such Shareholders is or will be a party and to which ACT or the Company, as applicable, is or will be a party.</w:t>
      </w:r>
    </w:p>
    <w:p>
      <w:pPr>
        <w:spacing w:after="0" w:line="64" w:lineRule="exact"/>
        <w:rPr>
          <w:rFonts w:ascii="Arial" w:cs="Arial" w:eastAsia="Arial" w:hAnsi="Arial"/>
          <w:sz w:val="17"/>
          <w:szCs w:val="17"/>
          <w:color w:val="auto"/>
        </w:rPr>
      </w:pPr>
    </w:p>
    <w:p>
      <w:pPr>
        <w:jc w:val="both"/>
        <w:ind w:left="4" w:right="180" w:firstLine="436"/>
        <w:spacing w:after="0" w:line="291" w:lineRule="auto"/>
        <w:tabs>
          <w:tab w:leader="none" w:pos="624" w:val="left"/>
        </w:tabs>
        <w:numPr>
          <w:ilvl w:val="1"/>
          <w:numId w:val="316"/>
        </w:numPr>
        <w:rPr>
          <w:rFonts w:ascii="Arial" w:cs="Arial" w:eastAsia="Arial" w:hAnsi="Arial"/>
          <w:sz w:val="16"/>
          <w:szCs w:val="16"/>
          <w:color w:val="auto"/>
        </w:rPr>
      </w:pPr>
      <w:r>
        <w:rPr>
          <w:rFonts w:ascii="Arial" w:cs="Arial" w:eastAsia="Arial" w:hAnsi="Arial"/>
          <w:sz w:val="16"/>
          <w:szCs w:val="16"/>
          <w:u w:val="single" w:color="auto"/>
          <w:color w:val="auto"/>
        </w:rPr>
        <w:t>Transfer of Subject Securities</w:t>
      </w:r>
      <w:r>
        <w:rPr>
          <w:rFonts w:ascii="Arial" w:cs="Arial" w:eastAsia="Arial" w:hAnsi="Arial"/>
          <w:sz w:val="16"/>
          <w:szCs w:val="16"/>
          <w:color w:val="auto"/>
        </w:rPr>
        <w:t>. From and after the date hereof and until the earlier of (a) the termination of this Agreement in accordance with its terms and (b) the Closing, each Shareholder agrees not to (i) Transfer (as defined in the Sponsor Letter) any of the Subject Securities, (ii) enter into</w:t>
      </w:r>
    </w:p>
    <w:p>
      <w:pPr>
        <w:ind w:left="4" w:right="80" w:hanging="4"/>
        <w:spacing w:after="0" w:line="292" w:lineRule="auto"/>
        <w:tabs>
          <w:tab w:leader="none" w:pos="29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any option, warrant, purchase right, or other Contract that would reasonably be expected (either alone or in connection with one or more events, developments or events (including the satisfaction or waiver of any conditions precedent)) to require the Shareholder to Transfer the Subject Securities or (B) any voting trust, proxy or other Contract with respect to the voting or Transfer of the Subject Securities, or (iii) take any actions in furtherance of any of the matters described in the foregoing clauses (i) or (ii); </w:t>
      </w:r>
      <w:r>
        <w:rPr>
          <w:rFonts w:ascii="Arial" w:cs="Arial" w:eastAsia="Arial" w:hAnsi="Arial"/>
          <w:sz w:val="16"/>
          <w:szCs w:val="16"/>
          <w:u w:val="single" w:color="auto"/>
          <w:color w:val="auto"/>
        </w:rPr>
        <w:t>provided</w:t>
      </w:r>
      <w:r>
        <w:rPr>
          <w:rFonts w:ascii="Arial" w:cs="Arial" w:eastAsia="Arial" w:hAnsi="Arial"/>
          <w:sz w:val="16"/>
          <w:szCs w:val="16"/>
          <w:color w:val="auto"/>
        </w:rPr>
        <w:t>, that , notwithstanding any other provision of this Agreement to the contrary, each Shareholder shall be permitted to make transfers to its Affiliates and limited partners, or its or their Affiliates, members or limited partners,</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99" w:name="page300"/>
    <w:bookmarkEnd w:id="299"/>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 long as (x) prior to any such transfer, such Shareholder shall deliver a written notice of such Transfer to the Company and, (y) as a condition to any such transfer, such permitted transferee shall execute a joinder and acknowledgement reasonably satisfactory to the Company agreeing to be bound by and made a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transfer shall not relieve, discharge or otherwise modify the obligations of such Shareholder under this Agreement.</w:t>
      </w:r>
    </w:p>
    <w:p>
      <w:pPr>
        <w:spacing w:after="0" w:line="79" w:lineRule="exact"/>
        <w:rPr>
          <w:sz w:val="20"/>
          <w:szCs w:val="20"/>
          <w:color w:val="auto"/>
        </w:rPr>
      </w:pPr>
    </w:p>
    <w:p>
      <w:pPr>
        <w:ind w:left="4" w:right="40" w:firstLine="436"/>
        <w:spacing w:after="0" w:line="283" w:lineRule="auto"/>
        <w:tabs>
          <w:tab w:leader="none" w:pos="624"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or Officer,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termination of the Business Combination Agreement in accordance with its terms. Upon termination of this Agreement as provided in the immediately preceding sentence, none of the Parties or Officers shall have any further obligations or Liabilities under, or with respect to, this Agreement. Notwithstanding the foregoing or anything to the contrary in this Agreement, (a) the termination of this Agreement shall not affect any Liability on the part of any Party or Officer for a Willful Breach of any covenant or agreement set forth in this Agreement prior to such termination or Fraud, (b)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representations and warranties set forth in </w:t>
      </w:r>
      <w:r>
        <w:rPr>
          <w:rFonts w:ascii="Arial" w:cs="Arial" w:eastAsia="Arial" w:hAnsi="Arial"/>
          <w:sz w:val="16"/>
          <w:szCs w:val="16"/>
          <w:u w:val="single" w:color="auto"/>
          <w:color w:val="auto"/>
        </w:rPr>
        <w:t>Sections 5(g)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shall each survive any termination of this Agreement, and (c) </w:t>
      </w:r>
      <w:r>
        <w:rPr>
          <w:rFonts w:ascii="Arial" w:cs="Arial" w:eastAsia="Arial" w:hAnsi="Arial"/>
          <w:sz w:val="16"/>
          <w:szCs w:val="16"/>
          <w:u w:val="single" w:color="auto"/>
          <w:color w:val="auto"/>
        </w:rPr>
        <w:t>Sections 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shall survive any termination of this Agreement. For purposes of this Agreement,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this Agreement that is a consequence of an act or a failure to act by the breaching Party or Officer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(i) a false or incorrect representation or warranty expressly made by such Party in this Agreement,</w:t>
      </w:r>
    </w:p>
    <w:p>
      <w:pPr>
        <w:spacing w:after="0" w:line="4" w:lineRule="exact"/>
        <w:rPr>
          <w:rFonts w:ascii="Arial" w:cs="Arial" w:eastAsia="Arial" w:hAnsi="Arial"/>
          <w:sz w:val="16"/>
          <w:szCs w:val="16"/>
          <w:color w:val="auto"/>
        </w:rPr>
      </w:pPr>
    </w:p>
    <w:p>
      <w:pPr>
        <w:ind w:left="4" w:hanging="4"/>
        <w:spacing w:after="0" w:line="252" w:lineRule="auto"/>
        <w:tabs>
          <w:tab w:leader="none" w:pos="26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with actual knowledge (as opposed to constructive, imputed or implied knowledge) by the Party making such representation or warranty that such representation or warranty expressly set forth in this Agreement is false or incorrect, (iii) an intention to deceive another Party, to induce him, her or it to enter into this Agreement, (iv) another Party, in justifiable or reasonable reliance upon such false or incorrect representation or warranty expressly set forth in this Agreement, entering into this Agreement, and (v) another Party suffering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85" w:lineRule="exact"/>
        <w:rPr>
          <w:rFonts w:ascii="Arial" w:cs="Arial" w:eastAsia="Arial" w:hAnsi="Arial"/>
          <w:sz w:val="18"/>
          <w:szCs w:val="18"/>
          <w:color w:val="auto"/>
        </w:rPr>
      </w:pPr>
    </w:p>
    <w:p>
      <w:pPr>
        <w:ind w:left="4" w:firstLine="436"/>
        <w:spacing w:after="0" w:line="254" w:lineRule="auto"/>
        <w:tabs>
          <w:tab w:leader="none" w:pos="714"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No Other Capacity</w:t>
      </w:r>
      <w:r>
        <w:rPr>
          <w:rFonts w:ascii="Arial" w:cs="Arial" w:eastAsia="Arial" w:hAnsi="Arial"/>
          <w:sz w:val="18"/>
          <w:szCs w:val="18"/>
          <w:color w:val="auto"/>
        </w:rPr>
        <w:t>. Notwithstanding anything in this Agreement to the contrary, (a) no Shareholder makes any agreement or understanding herein in any capacity other than in such Shareholder’s capacity as a record holder and beneficial owner of the Subject Securities (i.e., if such Shareholder is an individual, not in such Shareholder’s capacity as a director, officer or employee of ACT); and (b) nothing herein will be construed to limit or affect any action or inaction by (i) an Insider or (ii) in the case of the ACT Sponsor, any representative of the ACT Sponsor serving as a member of the board of directors of ACT or as an officer, employee or fiduciary of ACT, in each case, acting in such person’s capacity as a director, officer, employee or fiduciary of ACT (which such actions shall be governed by the Business Combination Agreement or such other Ancillary Agreements applicable to action or inaction taken in such capacity).</w:t>
      </w:r>
    </w:p>
    <w:p>
      <w:pPr>
        <w:spacing w:after="0" w:line="86" w:lineRule="exact"/>
        <w:rPr>
          <w:rFonts w:ascii="Arial" w:cs="Arial" w:eastAsia="Arial" w:hAnsi="Arial"/>
          <w:sz w:val="18"/>
          <w:szCs w:val="18"/>
          <w:color w:val="auto"/>
        </w:rPr>
      </w:pPr>
    </w:p>
    <w:p>
      <w:pPr>
        <w:ind w:left="4" w:right="40" w:firstLine="436"/>
        <w:spacing w:after="0" w:line="301" w:lineRule="auto"/>
        <w:tabs>
          <w:tab w:leader="none" w:pos="707"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ACT or the ACT Sponsor,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ArcLight Clean Transition Corp. II</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christine.miller@arclightclean.com</w:t>
      </w:r>
    </w:p>
    <w:p>
      <w:pPr>
        <w:spacing w:after="0" w:line="10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Doug Bacon, P.C.</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douglas.bacon@kirkland.com</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jennifer.gasser@kirkland.com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John H. Coghlin, 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jcoghlin@opalfuels.com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Felner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both"/>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afelner@sheppardmullin.com</w:t>
      </w:r>
    </w:p>
    <w:p>
      <w:pPr>
        <w:spacing w:after="0" w:line="9" w:lineRule="exact"/>
        <w:rPr>
          <w:sz w:val="20"/>
          <w:szCs w:val="20"/>
          <w:color w:val="auto"/>
        </w:rPr>
      </w:pPr>
    </w:p>
    <w:p>
      <w:pPr>
        <w:jc w:val="right"/>
        <w:ind w:right="578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 Insider or an Officer, to the address on the Insider’s or Officer’s respective signature page hereto;</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or to such other address as the party to whom notice is given may have previously furnished to the others in writing in the manner set forth above. 11</w:t>
      </w:r>
    </w:p>
    <w:p>
      <w:pPr>
        <w:sectPr>
          <w:pgSz w:w="11900" w:h="16838" w:orient="portrait"/>
          <w:cols w:equalWidth="0" w:num="1">
            <w:col w:w="10500"/>
          </w:cols>
          <w:pgMar w:left="440" w:top="274" w:right="959" w:bottom="1440" w:gutter="0" w:footer="0" w:header="0"/>
        </w:sectPr>
      </w:pPr>
    </w:p>
    <w:bookmarkStart w:id="301" w:name="page302"/>
    <w:bookmarkEnd w:id="301"/>
    <w:p>
      <w:pPr>
        <w:ind w:left="620" w:hanging="184"/>
        <w:spacing w:after="0"/>
        <w:tabs>
          <w:tab w:leader="none" w:pos="62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7"/>
          <w:szCs w:val="17"/>
          <w:color w:val="auto"/>
        </w:rPr>
        <w:t>. This Agreement, the Business Combination Agreement and documents referred to herein and therein (including the</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Ancillary Documents) constitute the entire agreement of the Parties and Officers with respect to the subject matter of this Agreement, and supersede all prior agreements and undertakings, both written and oral, among the Parties and Officers with respect to the subject matter of this Agreement, except as otherwise expressly provided in this Agreement. In the event and to the extent that there shall be a conflict between the provisions of this Agreement and the provisions of any Affected Agreement, this Agreement shall control with respect to the subject matter thereof.</w:t>
      </w:r>
    </w:p>
    <w:p>
      <w:pPr>
        <w:spacing w:after="0" w:line="68" w:lineRule="exact"/>
        <w:rPr>
          <w:rFonts w:ascii="Arial" w:cs="Arial" w:eastAsia="Arial" w:hAnsi="Arial"/>
          <w:sz w:val="17"/>
          <w:szCs w:val="17"/>
          <w:color w:val="auto"/>
        </w:rPr>
      </w:pPr>
    </w:p>
    <w:p>
      <w:pPr>
        <w:ind w:right="60" w:firstLine="436"/>
        <w:spacing w:after="0" w:line="272" w:lineRule="auto"/>
        <w:tabs>
          <w:tab w:leader="none" w:pos="62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Amendments and Waivers; Assignment</w:t>
      </w:r>
      <w:r>
        <w:rPr>
          <w:rFonts w:ascii="Arial" w:cs="Arial" w:eastAsia="Arial" w:hAnsi="Arial"/>
          <w:sz w:val="17"/>
          <w:szCs w:val="17"/>
          <w:color w:val="auto"/>
        </w:rPr>
        <w:t xml:space="preserve">. Any provision of this Agreement may be amended or waived if, and only if, such amendment or waiver is in writing and signed by the Shareholders, the Company and ACT. Notwithstanding the foregoing, no failure or delay by any Party or Officer, as applicable, in exercising any right hereunder shall operate as a waiver thereof nor shall any single or partial exercise thereof preclude any other or further exercise of any other right hereunder. Subject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neither this Agreement nor any of the rights, interests or obligations hereunder shall be assignable by a Shareholder or the Company without ACT’s prior written consent (to be withheld or given in its sole discretion) or by ACT or a Shareholder without the Company’s prior written consent (to be withheld or given in its sole discretion). Any attempted assignment of this Agreement not in accordance with the terms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436"/>
        <w:spacing w:after="0" w:line="296" w:lineRule="auto"/>
        <w:tabs>
          <w:tab w:leader="none" w:pos="62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Except, in the case of ACT and the Company, as otherwise expressly set forth in the Business Combination Agreement, and without limitation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all fees and expenses incurred in connection with this Agreement and the transactions contemplated hereby, including the fees and disbursements of counsel, financial advisors and accountants, shall be paid by the Party incurring such fees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reasonable and documented fees and expenses incurred by the Shareholders in connection with this Agreement and the transactions contemplated hereby on or prior to the Closing shall be deemed to be fees and expenses of ACT or the ACT Sponsor, as applicable.</w:t>
      </w:r>
    </w:p>
    <w:p>
      <w:pPr>
        <w:spacing w:after="0" w:line="53" w:lineRule="exact"/>
        <w:rPr>
          <w:rFonts w:ascii="Arial" w:cs="Arial" w:eastAsia="Arial" w:hAnsi="Arial"/>
          <w:sz w:val="16"/>
          <w:szCs w:val="16"/>
          <w:color w:val="auto"/>
        </w:rPr>
      </w:pPr>
    </w:p>
    <w:p>
      <w:pPr>
        <w:ind w:right="120" w:firstLine="436"/>
        <w:spacing w:after="0" w:line="259"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be deemed to, create a joint venture.</w:t>
      </w:r>
    </w:p>
    <w:p>
      <w:pPr>
        <w:spacing w:after="0" w:line="78" w:lineRule="exact"/>
        <w:rPr>
          <w:rFonts w:ascii="Arial" w:cs="Arial" w:eastAsia="Arial" w:hAnsi="Arial"/>
          <w:sz w:val="18"/>
          <w:szCs w:val="18"/>
          <w:color w:val="auto"/>
        </w:rPr>
      </w:pPr>
    </w:p>
    <w:p>
      <w:pPr>
        <w:jc w:val="both"/>
        <w:ind w:right="880" w:firstLine="436"/>
        <w:spacing w:after="0" w:line="263"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8.5</w:t>
      </w:r>
      <w:r>
        <w:rPr>
          <w:rFonts w:ascii="Arial" w:cs="Arial" w:eastAsia="Arial" w:hAnsi="Arial"/>
          <w:sz w:val="18"/>
          <w:szCs w:val="18"/>
          <w:color w:val="auto"/>
        </w:rPr>
        <w:t xml:space="preserve"> (Governing Law),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(Construction; Interpretation), </w:t>
      </w:r>
      <w:r>
        <w:rPr>
          <w:rFonts w:ascii="Arial" w:cs="Arial" w:eastAsia="Arial" w:hAnsi="Arial"/>
          <w:sz w:val="18"/>
          <w:szCs w:val="18"/>
          <w:u w:val="single" w:color="auto"/>
          <w:color w:val="auto"/>
        </w:rPr>
        <w:t>8.10</w:t>
      </w:r>
      <w:r>
        <w:rPr>
          <w:rFonts w:ascii="Arial" w:cs="Arial" w:eastAsia="Arial" w:hAnsi="Arial"/>
          <w:sz w:val="18"/>
          <w:szCs w:val="18"/>
          <w:color w:val="auto"/>
        </w:rPr>
        <w:t xml:space="preserve"> (Severability), </w:t>
      </w:r>
      <w:r>
        <w:rPr>
          <w:rFonts w:ascii="Arial" w:cs="Arial" w:eastAsia="Arial" w:hAnsi="Arial"/>
          <w:sz w:val="18"/>
          <w:szCs w:val="18"/>
          <w:u w:val="single" w:color="auto"/>
          <w:color w:val="auto"/>
        </w:rPr>
        <w:t>8.11</w:t>
      </w:r>
      <w:r>
        <w:rPr>
          <w:rFonts w:ascii="Arial" w:cs="Arial" w:eastAsia="Arial" w:hAnsi="Arial"/>
          <w:sz w:val="18"/>
          <w:szCs w:val="18"/>
          <w:color w:val="auto"/>
        </w:rPr>
        <w:t xml:space="preserve"> (Counterparts; Electronic Signatures),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(Waiver of Jury Trial), </w:t>
      </w:r>
      <w:r>
        <w:rPr>
          <w:rFonts w:ascii="Arial" w:cs="Arial" w:eastAsia="Arial" w:hAnsi="Arial"/>
          <w:sz w:val="18"/>
          <w:szCs w:val="18"/>
          <w:u w:val="single" w:color="auto"/>
          <w:color w:val="auto"/>
        </w:rPr>
        <w:t>8.16</w:t>
      </w:r>
      <w:r>
        <w:rPr>
          <w:rFonts w:ascii="Arial" w:cs="Arial" w:eastAsia="Arial" w:hAnsi="Arial"/>
          <w:sz w:val="18"/>
          <w:szCs w:val="18"/>
          <w:color w:val="auto"/>
        </w:rPr>
        <w:t xml:space="preserve"> (Submission to Jurisdiction) and </w:t>
      </w:r>
      <w:r>
        <w:rPr>
          <w:rFonts w:ascii="Arial" w:cs="Arial" w:eastAsia="Arial" w:hAnsi="Arial"/>
          <w:sz w:val="18"/>
          <w:szCs w:val="18"/>
          <w:u w:val="single" w:color="auto"/>
          <w:color w:val="auto"/>
        </w:rPr>
        <w:t>8.17</w:t>
      </w:r>
      <w:r>
        <w:rPr>
          <w:rFonts w:ascii="Arial" w:cs="Arial" w:eastAsia="Arial" w:hAnsi="Arial"/>
          <w:sz w:val="18"/>
          <w:szCs w:val="18"/>
          <w:color w:val="auto"/>
        </w:rPr>
        <w:t xml:space="preserve"> (Remedies) of the Business Combination Agreement are incorporated herein by reference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xml:space="preserve">. Nothing contained in this Agreement will be deemed to vest in the Company, any Company Affiliated Party, or any ACT Affiliated Party any direct or indirect ownership or incidents of ownership of or with respect to the Subject Securities. All rights, ownership and economic benefits of and relating to the Subject Securities shall remain vested in and belong to each Shareholder, and the Company and ACT (and each other Company Affiliated Party and ACT Affiliated Party) shall have no authority to manage, direct, superintend, restrict, regulate, govern or administer any of the policies or operations of Company or exercise any power or authority to direct any Shareholder in the voting of any of the Subject Securities, except as otherwise expressly provided herein with respect to the Subject Securities. Except as otherwise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no Shareholder shall be restricted from voting in favor of, against or abstaining with respect to any other matters presented to the stockholders of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2" w:name="page303"/>
    <w:bookmarkEnd w:id="302"/>
    <w:p>
      <w:pPr>
        <w:ind w:left="-20" w:firstLine="436"/>
        <w:spacing w:after="0" w:line="268" w:lineRule="auto"/>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Recourse</w:t>
      </w:r>
      <w:r>
        <w:rPr>
          <w:rFonts w:ascii="Arial" w:cs="Arial" w:eastAsia="Arial" w:hAnsi="Arial"/>
          <w:sz w:val="17"/>
          <w:szCs w:val="17"/>
          <w:color w:val="auto"/>
        </w:rPr>
        <w:t>. Except for claims pursuant to the Business Combination Agreement or any Ancillary Document by any party(ies) thereto against any other party(ies) on the terms and subject to the conditions therein, each Party agrees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Person that is not a Party, and (b) without limiting the generality of the foregoing, no Person that is not a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except as expressly provided herein.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and (ii) in no event shall ACT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78" w:lineRule="exact"/>
        <w:rPr>
          <w:rFonts w:ascii="Arial" w:cs="Arial" w:eastAsia="Arial" w:hAnsi="Arial"/>
          <w:sz w:val="17"/>
          <w:szCs w:val="17"/>
          <w:color w:val="auto"/>
        </w:rPr>
      </w:pPr>
    </w:p>
    <w:p>
      <w:pPr>
        <w:ind w:left="-20" w:right="100" w:firstLine="436"/>
        <w:spacing w:after="0" w:line="257" w:lineRule="auto"/>
        <w:tabs>
          <w:tab w:leader="none" w:pos="60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xml:space="preserve">. The representations, warranties, agreements and covenants in this Agreement shall terminate at the Closing, except for those covenants and agreements in this Agreement that, by their terms, expressly contemplate performance or survival after the Closing (including, without limitation, </w:t>
      </w:r>
      <w:r>
        <w:rPr>
          <w:rFonts w:ascii="Arial" w:cs="Arial" w:eastAsia="Arial" w:hAnsi="Arial"/>
          <w:sz w:val="18"/>
          <w:szCs w:val="18"/>
          <w:u w:val="single" w:color="auto"/>
          <w:color w:val="auto"/>
        </w:rPr>
        <w:t>Sections 1(c), 2, 3, 4, 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through and including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which covenants and agreements shall so survive the Closing in accordance with their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limit any Party’s rights in the event of another Party’s Willful Breach of any agreement and covenant set forth in Section 8 prior to the Closing.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Adam Comora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Co-CEO</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780"/>
          </w:cols>
          <w:pgMar w:left="880" w:top="274" w:right="1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CTC HOLDINGS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ACTC HOLDINGS GP II, LLC, its 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ARCLIGHT CAPITAL HOLDINGS, LLC, its Manager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ACH GP, LLC, its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10520"/>
          </w:cols>
          <w:pgMar w:left="880" w:top="274" w:right="49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5715</wp:posOffset>
            </wp:positionV>
            <wp:extent cx="22028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160020</wp:posOffset>
            </wp:positionV>
            <wp:extent cx="22028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Christine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Christine M.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Kerrick S. Knauth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Kerrick S. Knauth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Arno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Arno Harris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Audrey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Audrey Lee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Brian Goncher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Goncher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Steven Berkenfeld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Berkenfeld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Subject Securities</w:t>
      </w:r>
    </w:p>
    <w:p>
      <w:pPr>
        <w:sectPr>
          <w:pgSz w:w="11900" w:h="16838" w:orient="portrait"/>
          <w:cols w:equalWidth="0" w:num="1">
            <w:col w:w="9019"/>
          </w:cols>
          <w:pgMar w:left="1440" w:top="270" w:right="1440" w:bottom="1440" w:gutter="0" w:footer="0" w:header="0"/>
        </w:sectPr>
      </w:pPr>
    </w:p>
    <w:bookmarkStart w:id="316" w:name="page317"/>
    <w:bookmarkEnd w:id="31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Subject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Shareholders</w:t>
            </w:r>
          </w:p>
        </w:tc>
        <w:tc>
          <w:tcPr>
            <w:tcW w:w="5960" w:type="dxa"/>
            <w:vAlign w:val="bottom"/>
            <w:vMerge w:val="restart"/>
          </w:tcPr>
          <w:p>
            <w:pPr>
              <w:spacing w:after="0"/>
              <w:rPr>
                <w:sz w:val="14"/>
                <w:szCs w:val="14"/>
                <w:color w:val="auto"/>
              </w:rPr>
            </w:pPr>
          </w:p>
        </w:tc>
        <w:tc>
          <w:tcPr>
            <w:tcW w:w="25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2"/>
              </w:rPr>
              <w:t>Pre-Closing ACT Class B</w:t>
            </w:r>
          </w:p>
        </w:tc>
        <w:tc>
          <w:tcPr>
            <w:tcW w:w="1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Pre-Closing ACT Warrants</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500" w:type="dxa"/>
            <w:vAlign w:val="bottom"/>
            <w:gridSpan w:val="3"/>
          </w:tcPr>
          <w:p>
            <w:pPr>
              <w:jc w:val="center"/>
              <w:ind w:right="960"/>
              <w:spacing w:after="0" w:line="158" w:lineRule="exact"/>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ArcLight CTC Holdings II, L.P.</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6,920,326</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9,223,261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Audrey Lee</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7,779,076</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[Exhibit A to Sponsor Letter Agreement]</w:t>
      </w:r>
    </w:p>
    <w:p>
      <w:pPr>
        <w:sectPr>
          <w:pgSz w:w="11900" w:h="16838" w:orient="portrait"/>
          <w:cols w:equalWidth="0" w:num="1">
            <w:col w:w="11020"/>
          </w:cols>
          <w:pgMar w:left="440" w:top="270"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 RIGHTS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INVESTOR RIGHTS AGREEMENT (as it may be amended, supplemented or restated from time to time in accordance with the terms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Investor Rights Agreement,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dated as of [•],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among (i) Opal Fuels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(formerly known as ArcLight Clean Transition Corp. II, an exempted company incorporated in the Cayman Islands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w:t>
      </w:r>
      <w:r>
        <w:rPr>
          <w:rFonts w:ascii="Arial" w:cs="Arial" w:eastAsia="Arial" w:hAnsi="Arial"/>
          <w:sz w:val="17"/>
          <w:szCs w:val="17"/>
          <w:u w:val="single" w:color="auto"/>
          <w:color w:val="auto"/>
        </w:rPr>
        <w:t>PubCo</w:t>
      </w:r>
      <w:r>
        <w:rPr>
          <w:rFonts w:ascii="Arial" w:cs="Arial" w:eastAsia="Arial" w:hAnsi="Arial"/>
          <w:sz w:val="17"/>
          <w:szCs w:val="17"/>
          <w:color w:val="auto"/>
        </w:rPr>
        <w:t>”); (ii) each of the parties listed as a “Seller” on the signature pages attached hereto (each,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w:t>
      </w:r>
      <w:r>
        <w:rPr>
          <w:rFonts w:ascii="Arial" w:cs="Arial" w:eastAsia="Arial" w:hAnsi="Arial"/>
          <w:sz w:val="17"/>
          <w:szCs w:val="17"/>
          <w:color w:val="auto"/>
        </w:rPr>
        <w:t>”); (iii) ArcLight CTC Holdings II, L.P., a Delaware limited partnership (the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and (iv) solely for purposes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 Arno Harris, (B) Dr. Ja-Chin Audrey Lee, (C) Brian Goncher and (D) Steven Berkenfeld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u w:val="single" w:color="auto"/>
          <w:color w:val="auto"/>
        </w:rPr>
        <w:t>Sponsor Principal</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Sponsor Principals</w:t>
      </w:r>
      <w:r>
        <w:rPr>
          <w:rFonts w:ascii="Arial" w:cs="Arial" w:eastAsia="Arial" w:hAnsi="Arial"/>
          <w:sz w:val="16"/>
          <w:szCs w:val="16"/>
          <w:color w:val="auto"/>
        </w:rPr>
        <w:t>” and, together with the Sponsor, the “</w:t>
      </w:r>
      <w:r>
        <w:rPr>
          <w:rFonts w:ascii="Arial" w:cs="Arial" w:eastAsia="Arial" w:hAnsi="Arial"/>
          <w:sz w:val="16"/>
          <w:szCs w:val="16"/>
          <w:u w:val="single" w:color="auto"/>
          <w:color w:val="auto"/>
        </w:rPr>
        <w:t>Founder Holders</w:t>
      </w:r>
      <w:r>
        <w:rPr>
          <w:rFonts w:ascii="Arial" w:cs="Arial" w:eastAsia="Arial" w:hAnsi="Arial"/>
          <w:sz w:val="16"/>
          <w:szCs w:val="16"/>
          <w:color w:val="auto"/>
        </w:rPr>
        <w:t>” and, each, a “</w:t>
      </w:r>
      <w:r>
        <w:rPr>
          <w:rFonts w:ascii="Arial" w:cs="Arial" w:eastAsia="Arial" w:hAnsi="Arial"/>
          <w:sz w:val="16"/>
          <w:szCs w:val="16"/>
          <w:u w:val="single" w:color="auto"/>
          <w:color w:val="auto"/>
        </w:rPr>
        <w:t>Founder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Each of PubCo, the Sellers and each Founder Holder may be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but not otherwise defined herein shall have the respective meanings set forth in the BCA (as defined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WHEREAS, PubCo has entered into that certain Business Combination Agreement, dated as of December 2, 2021, by and among PubCo, Opal Fuels LLC, a Delaware limited liability company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Opal HoldCo LLC, a Delaware limited liability company (“</w:t>
      </w:r>
      <w:r>
        <w:rPr>
          <w:rFonts w:ascii="Arial" w:cs="Arial" w:eastAsia="Arial" w:hAnsi="Arial"/>
          <w:sz w:val="17"/>
          <w:szCs w:val="17"/>
          <w:u w:val="single" w:color="auto"/>
          <w:color w:val="auto"/>
        </w:rPr>
        <w:t>Opal</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(as may be amended, restated, amended and restated, modified or supplemented from time to time in accordance with the terms of such agreement, the “</w:t>
      </w:r>
      <w:r>
        <w:rPr>
          <w:rFonts w:ascii="Arial" w:cs="Arial" w:eastAsia="Arial" w:hAnsi="Arial"/>
          <w:sz w:val="17"/>
          <w:szCs w:val="17"/>
          <w:u w:val="single" w:color="auto"/>
          <w:color w:val="auto"/>
        </w:rPr>
        <w:t>BCA</w:t>
      </w:r>
      <w:r>
        <w:rPr>
          <w:rFonts w:ascii="Arial" w:cs="Arial" w:eastAsia="Arial" w:hAnsi="Arial"/>
          <w:sz w:val="17"/>
          <w:szCs w:val="17"/>
          <w:color w:val="auto"/>
        </w:rPr>
        <w:t>”), in connection with the business combination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set forth in the BCA;</w:t>
      </w:r>
    </w:p>
    <w:p>
      <w:pPr>
        <w:spacing w:after="0" w:line="17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WHEREAS, pursuant to the BCA, at the Closing, (i) PubCo has contributed the Closing Date Contribution Amount and the Closing Date Equity Contribution to the Operating Company (collectively, the “</w:t>
      </w:r>
      <w:r>
        <w:rPr>
          <w:rFonts w:ascii="Arial" w:cs="Arial" w:eastAsia="Arial" w:hAnsi="Arial"/>
          <w:sz w:val="17"/>
          <w:szCs w:val="17"/>
          <w:u w:val="single" w:color="auto"/>
          <w:color w:val="auto"/>
        </w:rPr>
        <w:t>Contribution</w:t>
      </w:r>
      <w:r>
        <w:rPr>
          <w:rFonts w:ascii="Arial" w:cs="Arial" w:eastAsia="Arial" w:hAnsi="Arial"/>
          <w:sz w:val="17"/>
          <w:szCs w:val="17"/>
          <w:color w:val="auto"/>
        </w:rPr>
        <w:t>”) and, in exchange therefor, the Operating Company has issued to PubCo a number of Class A Units (as defined below) determined pursuant to the BCA and (ii) in connection with the Contribution and issuance described above, the Post-Closing Company Members have entered into that certain Second Amended and Restated Limited Liability Company Agreement of the Operating Company (the “</w:t>
      </w:r>
      <w:r>
        <w:rPr>
          <w:rFonts w:ascii="Arial" w:cs="Arial" w:eastAsia="Arial" w:hAnsi="Arial"/>
          <w:sz w:val="17"/>
          <w:szCs w:val="17"/>
          <w:u w:val="single" w:color="auto"/>
          <w:color w:val="auto"/>
        </w:rPr>
        <w:t>Opco LLC Agreement</w:t>
      </w:r>
      <w:r>
        <w:rPr>
          <w:rFonts w:ascii="Arial" w:cs="Arial" w:eastAsia="Arial" w:hAnsi="Arial"/>
          <w:sz w:val="17"/>
          <w:szCs w:val="17"/>
          <w:color w:val="auto"/>
        </w:rPr>
        <w:t>”), to, among other things, recapitalize the Pre-Closing Company Units such that, from and after the Closing, the Equity Securities (as defined below) of the Operating Company consist of the Opal Units (as defined below), with the applicable rights, preferences and obligations set forth in the Opco LLC Agreement;</w:t>
      </w:r>
    </w:p>
    <w:p>
      <w:pPr>
        <w:spacing w:after="0" w:line="17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each of the Sellers has the right to exchange its respective Class B Units (as defined below), and cancel an equal number of its respective (i) shares of Class B Common Stock (as defined below) for shares of Class A Common Stock (as defined below) or (ii) shares of Class D Common Stock (as defined below) for shares of Class C Common Stock (as defined below), in each case, in the manner set forth in, and pursuant to the terms and conditions of, the Opco LLC Agreement;</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each of the Earnout Participants has the right to exchange its respective Class B Units that will be earned by such Earnout Participant pursuant to the BCA upon satisfaction of the conditions set forth in the BCA, and cancel an equal number of shares of Class B Common Stock and Class D Common Stock, as applicable, for shares of Class A Common Stock (collectively, the “</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in the manner set forth in, and pursuant to the terms and conditions of, the Opco LLC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18" w:name="page319"/>
    <w:bookmarkEnd w:id="31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PubCo, the Sponsor and the Sponsor Principals entered into that certain Registration and Shareholder Rights Agreement, dated as of March 25, 2021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WHEREAS, in connection with the execution of this Investor Rights Agreement, PubCo, the Sponsor and the Sponsor Principals desire to terminate the Original RRA and replace it with this Investor Rights Agreement; and</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on the Effective Date, the Parties desire to set forth their agreement with respect to registration rights and certain other matters, in each case, in accordance with the terms and conditions of this Investor Rights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contained in this Investor Rights Agreement, and other good and valuable consideration, the receipt and sufficiency of which are hereby acknowledged, and intending to be legally bound, the Parties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Investor Rights Agreement, the following terms shall have the following meanings:</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Disclosure</w:t>
      </w:r>
      <w:r>
        <w:rPr>
          <w:rFonts w:ascii="Arial" w:cs="Arial" w:eastAsia="Arial" w:hAnsi="Arial"/>
          <w:sz w:val="17"/>
          <w:szCs w:val="17"/>
          <w:color w:val="auto"/>
        </w:rPr>
        <w:t xml:space="preserve">”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business purpose for not making such information public.</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particular Person means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shall be deemed an Affiliate of PubCo or any of its Subsidiaries for purposes of this Investor Rights Agreement.</w:t>
      </w:r>
    </w:p>
    <w:p>
      <w:pPr>
        <w:spacing w:after="0" w:line="187"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has the meaning set forth in Rule 405 promulgated by the SEC pursuant to the Securities Act. -2-</w:t>
      </w:r>
    </w:p>
    <w:p>
      <w:pPr>
        <w:sectPr>
          <w:pgSz w:w="11900" w:h="16838" w:orient="portrait"/>
          <w:cols w:equalWidth="0" w:num="1">
            <w:col w:w="11000"/>
          </w:cols>
          <w:pgMar w:left="440" w:top="274" w:right="459" w:bottom="1440" w:gutter="0" w:footer="0" w:header="0"/>
        </w:sectPr>
      </w:pPr>
    </w:p>
    <w:bookmarkStart w:id="319" w:name="page320"/>
    <w:bookmarkEnd w:id="3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BCA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are open for the general transaction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“Post-Closing ACT Bylaws” as defined in the BCA, as the same may be amended or amended and restated from time to time.</w:t>
      </w:r>
    </w:p>
    <w:p>
      <w:pPr>
        <w:spacing w:after="0" w:line="24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“Post-Closing ACT Certificate of Incorporation” as defined in the BCA, as the same may be amended or amended and restated from time to time.</w:t>
      </w:r>
    </w:p>
    <w:p>
      <w:pPr>
        <w:spacing w:after="0" w:line="170"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shares of Class A common stock, par value $0.0001 per share, of PubCo, including (a) any shares of such Class A common stock issuable upon the exercise of any warrant or other right to acquire shares of such Class A common stock and (b) any Equity Securities of PubCo that are issued or distributed or may be issuable with respect to such Class A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means the “Class A Units” as defined in the Opco LLC Agreement.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the shares of Class B common stock, par value $0.0001 per share, of PubCo, including (a) any shares of such Class B common stock issuable upon the exercise of any warrant or other right to acquire shares of such Class B common stock and (b) any Equity Securities of PubCo that are issued or distributed or may be issuable with respect to such Class B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means the “Class B Units” as defined in the Opco LLC Agreement.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means the shares of Class C common stock, par value $0.0001 per share, of PubCo, including (a) any shares of such Class C common stock issuable upon the exercise of any warrant or other right to acquire shares of such Class C common stock and (b) any Equity Securities of PubCo that are issued or distributed or may be issuable with respect to such Class C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Common Stock</w:t>
      </w:r>
      <w:r>
        <w:rPr>
          <w:rFonts w:ascii="Arial" w:cs="Arial" w:eastAsia="Arial" w:hAnsi="Arial"/>
          <w:sz w:val="16"/>
          <w:szCs w:val="16"/>
          <w:color w:val="auto"/>
        </w:rPr>
        <w:t>” means the shares of Class D common stock, par value $0.0001 per share, of PubCo, including (a) any shares of such Class D common stock issuable upon the exercise of any warrant or other right to acquire shares of such Class D common stock and (b) any Equity Securities of PubCo that are issued or distributed or may be issuable with respect to such Class D common stock by way of conversion, dividend, stock split or other distribution, consolidation, merger, exchange, reclassification, recapitalization or other similar transaction.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0" w:name="page321"/>
    <w:bookmarkEnd w:id="32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the Class B Common Stock, the Class C Common Stock and the Class D Common Stock, including any shares of the Class A Common Stock, the Class B Common Stock, the Class C Common Stock and the Class D Common Stock issuable upon the exercise of any warrant or other right to acquire shares of the Class A Common Stock, the Class B Common Stock, the Class C Common Stock and the Class D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confidential, non-public information about PubCo and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any share, share capital, capital stock, partnership, membership, joint venture or similar interest in any Person (including any stock appreciation, phantom stock, restricted stock, restricted stock unit, performance share, profit participation or similar rights), and any option, warrant, right or security (including debt securities) convertible, exchangeable or exercisable therefor.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any successor thereto, as the same shall be in effect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Person, such Person’s spouse, ancestors, descendants (whether by blood, marriage or adoption) or spouse of a descendant of such Person, brothers and sisters (whether by blood, marriage or adoption) and inter vivos or testamentary trusts of which only such Person and his or her spouse, ancestors, descendants (whether by blood, marriage or adoption), brothers and sisters (whether by blood, marriage or adoption) are beneficiaries.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1" w:name="page322"/>
    <w:bookmarkEnd w:id="3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holder of Registrable Securities who is a Party to, or who succeeds to rights under, this Investor Rights Agreement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certain Persons for election to the Board in connection with the annual or special meeting of stockholders of PubCo.</w:t>
      </w:r>
    </w:p>
    <w:p>
      <w:pPr>
        <w:spacing w:after="0" w:line="16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NextEra Subscription Agreement</w:t>
      </w:r>
      <w:r>
        <w:rPr>
          <w:rFonts w:ascii="Arial" w:cs="Arial" w:eastAsia="Arial" w:hAnsi="Arial"/>
          <w:sz w:val="18"/>
          <w:szCs w:val="18"/>
          <w:color w:val="auto"/>
        </w:rPr>
        <w:t>” that certain Subscription Agreement, dated as of November 29, 2021, by and between Operating Company and Mendocino Capital, LLC, a Delaware limited liability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Units</w:t>
      </w:r>
      <w:r>
        <w:rPr>
          <w:rFonts w:ascii="Arial" w:cs="Arial" w:eastAsia="Arial" w:hAnsi="Arial"/>
          <w:sz w:val="18"/>
          <w:szCs w:val="18"/>
          <w:color w:val="auto"/>
        </w:rPr>
        <w:t>” means, collectively, the Class A Units and the Class B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22" w:name="page323"/>
    <w:bookmarkEnd w:id="3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Operating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and the Bylaws.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2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means with respect to any Person, (a) any Family Member of such Person, (b) any Affiliate of such Person, (c) any Affiliate of any Family Member of such Person (excluding any Affiliate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who operates or engages in a business which competes with the business of PubCo or the Operating Company or any of their respective Subsidiaries), (d) with respect to any Founder Holder, any officer, director, employee, partner, shareholder, member or other equity holder of such Founder Holder or its Affiliates and (e) any Controlled Entity of such Person.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(including post-effective amendments) and supplements to such prospectus, and all material incorporated by reference in such prospectus.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at any time (a) any shares of Class A Common Stock (including, without limitation, Class A Common Stock</w:t>
      </w:r>
    </w:p>
    <w:p>
      <w:pPr>
        <w:spacing w:after="0" w:line="35" w:lineRule="exact"/>
        <w:rPr>
          <w:sz w:val="20"/>
          <w:szCs w:val="20"/>
          <w:color w:val="auto"/>
        </w:rPr>
      </w:pPr>
    </w:p>
    <w:p>
      <w:pPr>
        <w:ind w:left="4" w:hanging="4"/>
        <w:spacing w:after="0" w:line="281" w:lineRule="auto"/>
        <w:tabs>
          <w:tab w:leader="none" w:pos="21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issuable pursuant to the Certificate of Incorporation and the Opco LLC Agreement upon an exchange of Class B Units and the corresponding cancellation of an equal number of shares of Class B Common Stock in exchange for shares of Class A Common Stock, (ii) that comprise Exchanged Earnout Shares (whether or not earned as of such date), (iii) issuable upon conversion or exchange of shares of Class C Common Stock, (iv) any shares of Class A Common Stock issued pursuant to the BCA or (v) held by the Founder Holders or Sellers), and (b) any Equity Securities of PubCo or any Subsidiary of PubCo that may be issued or distributed or be issuable with respect to the securities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by way of conversion, dividend, stock split or other distribution, merger, consolidation, exchange, recapitalization or reclassification or similar transaction, in each case held by a Holder, other than any security received pursuant to an incentive plan adopted by PubCo on or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w:t>
      </w:r>
    </w:p>
    <w:p>
      <w:pPr>
        <w:spacing w:after="0" w:line="5"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(C) such Registrable Securities have been sold to, or through, a broker, dealer or underwriter in a public distribution or other public securities transaction, (D) such Registrable Security is disposed of under SEC Rule 144 under the Securities Act or any other public sale pursuant to an exemption from the registration requirements of the Securities Act as a result of which the legend on any certificate or book-entry notation representing such Registrable Security restricting transfer of such Registrable Security has been removed or (E) for purposes of </w:t>
      </w:r>
      <w:r>
        <w:rPr>
          <w:rFonts w:ascii="Arial" w:cs="Arial" w:eastAsia="Arial" w:hAnsi="Arial"/>
          <w:sz w:val="18"/>
          <w:szCs w:val="18"/>
          <w:u w:val="single" w:color="auto"/>
          <w:color w:val="auto"/>
        </w:rPr>
        <w:t>Article II</w:t>
      </w:r>
      <w:r>
        <w:rPr>
          <w:rFonts w:ascii="Arial" w:cs="Arial" w:eastAsia="Arial" w:hAnsi="Arial"/>
          <w:sz w:val="18"/>
          <w:szCs w:val="18"/>
          <w:color w:val="auto"/>
        </w:rPr>
        <w:t>, the Holder thereof, together with its, his or her Permitted Transferees, Beneficially Owns less than one percent (1%)</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23" w:name="page324"/>
    <w:bookmarkEnd w:id="32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shares of Class A Common Stock that are outstanding at such time. For purposes of this Agreement, a Person shall be deemed to be a holder of shares of Class A Common Stock and such shares of Class A Common Stock shall be deemed to be in existence whenever such Person has the right to acquire such shares of Class A Common Stock (upon conversion, exchange or exercise in connection with a transfer of securities or otherwise, but disregarding any restrictions or limitations upon the exercise of such right other than vesting), whether or not such acquisition has actually been effected, and such Person shall be entitled to exercise the rights of a holder of shares of Class A Common Stock.</w:t>
      </w:r>
    </w:p>
    <w:p>
      <w:pPr>
        <w:spacing w:after="0" w:line="176"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the expenses of a Registration or other Transfer pursuant to the terms of this Investor Rights Agreement, including the following:</w:t>
      </w:r>
    </w:p>
    <w:p>
      <w:pPr>
        <w:spacing w:after="0" w:line="62" w:lineRule="exact"/>
        <w:rPr>
          <w:sz w:val="20"/>
          <w:szCs w:val="20"/>
          <w:color w:val="auto"/>
        </w:rPr>
      </w:pPr>
    </w:p>
    <w:p>
      <w:pPr>
        <w:ind w:left="680" w:hanging="244"/>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SEC or securities exchange registration and filing fees (including fees with respect to filings required to be made with FINRA);</w:t>
      </w:r>
    </w:p>
    <w:p>
      <w:pPr>
        <w:spacing w:after="0" w:line="117" w:lineRule="exact"/>
        <w:rPr>
          <w:rFonts w:ascii="Arial" w:cs="Arial" w:eastAsia="Arial" w:hAnsi="Arial"/>
          <w:sz w:val="18"/>
          <w:szCs w:val="18"/>
          <w:color w:val="auto"/>
        </w:rPr>
      </w:pPr>
    </w:p>
    <w:p>
      <w:pPr>
        <w:ind w:left="440" w:right="380" w:hanging="4"/>
        <w:spacing w:after="0" w:line="277"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fees and expenses of compliance with securities or blue sky Laws (including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printing, messenger, telephone and delivery expenses;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fees and disbursements of counsel for PubCo;</w:t>
      </w:r>
    </w:p>
    <w:p>
      <w:pPr>
        <w:spacing w:after="0" w:line="117" w:lineRule="exact"/>
        <w:rPr>
          <w:rFonts w:ascii="Arial" w:cs="Arial" w:eastAsia="Arial" w:hAnsi="Arial"/>
          <w:sz w:val="18"/>
          <w:szCs w:val="18"/>
          <w:color w:val="auto"/>
        </w:rPr>
      </w:pPr>
    </w:p>
    <w:p>
      <w:pPr>
        <w:ind w:left="440" w:hanging="4"/>
        <w:spacing w:after="0" w:line="308" w:lineRule="auto"/>
        <w:tabs>
          <w:tab w:leader="none" w:pos="685"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all fees and disbursements of all independent registered public accountants of PubCo incurred in connection with such Registration or Transfer, including the expenses of any special audits and/or comfort letters required or incident to such performance and compliance;</w:t>
      </w:r>
    </w:p>
    <w:p>
      <w:pPr>
        <w:spacing w:after="0" w:line="38" w:lineRule="exact"/>
        <w:rPr>
          <w:rFonts w:ascii="Arial" w:cs="Arial" w:eastAsia="Arial" w:hAnsi="Arial"/>
          <w:sz w:val="17"/>
          <w:szCs w:val="17"/>
          <w:color w:val="auto"/>
        </w:rPr>
      </w:pPr>
    </w:p>
    <w:p>
      <w:pPr>
        <w:ind w:left="440" w:right="320" w:hanging="4"/>
        <w:spacing w:after="0" w:line="277" w:lineRule="auto"/>
        <w:tabs>
          <w:tab w:leader="none" w:pos="6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reasonable out-of-pocket fees and expenses of one (1) legal counsel selected by the majority-in-interest of the Holders participating in such Registration or Transfer; and</w:t>
      </w:r>
    </w:p>
    <w:p>
      <w:pPr>
        <w:spacing w:after="0" w:line="62" w:lineRule="exact"/>
        <w:rPr>
          <w:rFonts w:ascii="Arial" w:cs="Arial" w:eastAsia="Arial" w:hAnsi="Arial"/>
          <w:sz w:val="18"/>
          <w:szCs w:val="18"/>
          <w:color w:val="auto"/>
        </w:rPr>
      </w:pPr>
    </w:p>
    <w:p>
      <w:pPr>
        <w:ind w:left="440" w:right="760" w:hanging="4"/>
        <w:spacing w:after="0" w:line="277"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costs and expenses of PubCo relating to analyst and investor presentations or any “road show” undertaken in connection with the Registration and/or marketing of the Registrable Securities (including the expenses of the Holders).</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any of such Person’s officers, directors, managers, members, equityholders, employees, agents, attorneys, accountants, actuaries, consultants, financial advisors or other Person acting on behalf of such Person.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4" w:name="page325"/>
    <w:bookmarkEnd w:id="3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means any Holder requesting piggyback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an Underwritten Shelf Takedown.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as the same shall be in effect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of securities pursuant to a Registration Statement filed with the SEC in accordance with and pursuant to Rule 415 promulgated under the Securities Act.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means an Underwritten Shelf Takedown or any proposed transfer or sale using a Registration Statement, including a Piggyback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w:t>
      </w:r>
      <w:r>
        <w:rPr>
          <w:rFonts w:ascii="Arial" w:cs="Arial" w:eastAsia="Arial" w:hAnsi="Arial"/>
          <w:sz w:val="18"/>
          <w:szCs w:val="18"/>
          <w:color w:val="auto"/>
        </w:rPr>
        <w:t>” means that certain Letter Agreement, dated as of March 25, 2021, by and among PubCo, the Founder Holders and the other parties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Principal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by the Transferor (whether by operation of law or otherwise) and, when used as a verb, the Transferor voluntarily or involuntarily transfers, sells, pledges or hypothecates or otherwise disposes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“Transferee,” “Transferor,” “Transferred,” and other forms of the word “Transfer” shall have the correlative meanings.</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any investment banker(s) and manager(s) appointed to administer the offering of any Registrable Securities as principal in an Underwritten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25" w:name="page326"/>
    <w:bookmarkEnd w:id="32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means a Registration in which Equity Securities of PubCo are sold to an Underwriter for distribution to the public.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has the meaning set forth in Rule 405 promulgated by the SEC pursuant to the Securities Act.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outstanding warrants, each exercisable into one (1) share of Class A Common Stock, to purchase an aggregate of 9,223,261 shares of Class A Common Stock, which were issued to the Sponsor pursuant to that certain Private Placement Warrant Purchase Agreement, dated March 25, 2021, by and among the Sponsor and PubCo.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For all purposes of this Investor Rights Agreement, except as otherwise provided in this Investor Rights Agreement or unless the context otherwise requires:</w:t>
      </w:r>
    </w:p>
    <w:p>
      <w:pPr>
        <w:spacing w:after="0" w:line="62" w:lineRule="exact"/>
        <w:rPr>
          <w:sz w:val="20"/>
          <w:szCs w:val="20"/>
          <w:color w:val="auto"/>
        </w:rPr>
      </w:pPr>
    </w:p>
    <w:p>
      <w:pPr>
        <w:ind w:left="1240" w:hanging="253"/>
        <w:spacing w:after="0"/>
        <w:tabs>
          <w:tab w:leader="none" w:pos="12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singular shall include the plural, and the plural shall include the singular, unless the context clearly prohibits that construction;</w:t>
      </w:r>
    </w:p>
    <w:p>
      <w:pPr>
        <w:spacing w:after="0" w:line="128" w:lineRule="exact"/>
        <w:rPr>
          <w:rFonts w:ascii="Arial" w:cs="Arial" w:eastAsia="Arial" w:hAnsi="Arial"/>
          <w:sz w:val="17"/>
          <w:szCs w:val="17"/>
          <w:color w:val="auto"/>
        </w:rPr>
      </w:pPr>
    </w:p>
    <w:p>
      <w:pPr>
        <w:ind w:right="400"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words “hereof,” “herein,” “hereunder” and words of similar import, when used in this Investor Rights Agreement, refer to this Investor Rights Agreement as a whole and not to any particular provision of this Investor Rights Agreement;</w:t>
      </w:r>
    </w:p>
    <w:p>
      <w:pPr>
        <w:spacing w:after="0" w:line="62" w:lineRule="exact"/>
        <w:rPr>
          <w:rFonts w:ascii="Arial" w:cs="Arial" w:eastAsia="Arial" w:hAnsi="Arial"/>
          <w:sz w:val="18"/>
          <w:szCs w:val="18"/>
          <w:color w:val="auto"/>
        </w:rPr>
      </w:pPr>
    </w:p>
    <w:p>
      <w:pPr>
        <w:ind w:right="560" w:firstLine="987"/>
        <w:spacing w:after="0" w:line="277" w:lineRule="auto"/>
        <w:tabs>
          <w:tab w:leader="none" w:pos="12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references in this Investor Rights Agreement to any Law shall be deemed also to refer to such Law, and all rules and regulations promulgated thereunder;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whenever the words “include,” “includes” or “including” are used in this Investor Rights Agreement, they shall mean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limitation;”</w:t>
      </w:r>
    </w:p>
    <w:p>
      <w:pPr>
        <w:spacing w:after="0" w:line="102" w:lineRule="exact"/>
        <w:rPr>
          <w:rFonts w:ascii="Arial" w:cs="Arial" w:eastAsia="Arial" w:hAnsi="Arial"/>
          <w:sz w:val="17"/>
          <w:szCs w:val="17"/>
          <w:color w:val="auto"/>
        </w:rPr>
      </w:pPr>
    </w:p>
    <w:p>
      <w:pPr>
        <w:ind w:firstLine="987"/>
        <w:spacing w:after="0" w:line="277" w:lineRule="auto"/>
        <w:tabs>
          <w:tab w:leader="none" w:pos="12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captions and headings of this Investor Rights Agreement are for convenience of reference only and shall not affect the interpretation of this Investor Rights Agreement;</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pronouns of any gender or neuter shall include, as appropriate, the other pronoun forms;</w:t>
      </w:r>
    </w:p>
    <w:p>
      <w:pPr>
        <w:spacing w:after="0" w:line="117" w:lineRule="exact"/>
        <w:rPr>
          <w:rFonts w:ascii="Arial" w:cs="Arial" w:eastAsia="Arial" w:hAnsi="Arial"/>
          <w:sz w:val="18"/>
          <w:szCs w:val="18"/>
          <w:color w:val="auto"/>
        </w:rPr>
      </w:pPr>
    </w:p>
    <w:p>
      <w:pPr>
        <w:ind w:right="440"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word “or” shall be construed to mean “and/or” and the words “neither,” “nor,” “any,” “either” and “or” shall not be exclusive, unless the context clearly prohibits that construction;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phrase “to the extent” shall be construed to mean “the degree by which.”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p>
    <w:p>
      <w:pPr>
        <w:spacing w:after="0" w:line="117" w:lineRule="exact"/>
        <w:rPr>
          <w:sz w:val="20"/>
          <w:szCs w:val="20"/>
          <w:color w:val="auto"/>
        </w:rPr>
      </w:pPr>
    </w:p>
    <w:p>
      <w:pPr>
        <w:ind w:firstLine="987"/>
        <w:spacing w:after="0" w:line="286" w:lineRule="auto"/>
        <w:tabs>
          <w:tab w:leader="none" w:pos="123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PubCo shall file, within 20 days of the Closing Date or such other earlier date as it is required in accordance with any PIPE Subscription Agreement, a Registration Statement for a Shelf Registration on Form S-3 (the “</w:t>
      </w:r>
      <w:r>
        <w:rPr>
          <w:rFonts w:ascii="Arial" w:cs="Arial" w:eastAsia="Arial" w:hAnsi="Arial"/>
          <w:sz w:val="16"/>
          <w:szCs w:val="16"/>
          <w:u w:val="single" w:color="auto"/>
          <w:color w:val="auto"/>
        </w:rPr>
        <w:t>Form S-3 Shelf</w:t>
      </w:r>
      <w:r>
        <w:rPr>
          <w:rFonts w:ascii="Arial" w:cs="Arial" w:eastAsia="Arial" w:hAnsi="Arial"/>
          <w:sz w:val="16"/>
          <w:szCs w:val="16"/>
          <w:color w:val="auto"/>
        </w:rPr>
        <w:t>”), or if PubCo is ineligible to use a Form S-3 Shelf, a Registration Statement for a Shelf Registration on Form S-1 (the “</w:t>
      </w:r>
      <w:r>
        <w:rPr>
          <w:rFonts w:ascii="Arial" w:cs="Arial" w:eastAsia="Arial" w:hAnsi="Arial"/>
          <w:sz w:val="16"/>
          <w:szCs w:val="16"/>
          <w:u w:val="single" w:color="auto"/>
          <w:color w:val="auto"/>
        </w:rPr>
        <w:t>Form S-1 Shelf</w:t>
      </w:r>
      <w:r>
        <w:rPr>
          <w:rFonts w:ascii="Arial" w:cs="Arial" w:eastAsia="Arial" w:hAnsi="Arial"/>
          <w:sz w:val="16"/>
          <w:szCs w:val="16"/>
          <w:color w:val="auto"/>
        </w:rPr>
        <w:t>” and, together with the Form S-3 Shelf (and any Subsequent Shelf Registration), the “</w:t>
      </w:r>
      <w:r>
        <w:rPr>
          <w:rFonts w:ascii="Arial" w:cs="Arial" w:eastAsia="Arial" w:hAnsi="Arial"/>
          <w:sz w:val="16"/>
          <w:szCs w:val="16"/>
          <w:u w:val="single" w:color="auto"/>
          <w:color w:val="auto"/>
        </w:rPr>
        <w:t>Shelf</w:t>
      </w:r>
      <w:r>
        <w:rPr>
          <w:rFonts w:ascii="Arial" w:cs="Arial" w:eastAsia="Arial" w:hAnsi="Arial"/>
          <w:sz w:val="16"/>
          <w:szCs w:val="16"/>
          <w:color w:val="auto"/>
        </w:rPr>
        <w:t>”), in each case, covering the resale of all Registrable Securities (determined as of two (2) Business Days prior to such filing) on a delayed or continuous basis. PubCo shall use its commercially reasonable efforts to cause the Shelf to become effective as soon as practicable after such filing, but in no event later than sixty (60) days after the initial filing thereof (or ninety (90) days after the initial filing thereof if the SEC notifies PubCo that it will “review” the Shelf) or such other earlier date as it is required in accordance with any PIPE Subscription Agreement. The Shelf shall provide for the resale of the Registrable Securities included therein pursuant to any method or combination of methods legally available to, and requested by, any Holder. PubCo shall maintain the Shelf in accordance with the terms of this Investor Rights Agreement,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 the event PubCo files a Form S-1 Shelf, PubCo shall use its commercially reasonable efforts to convert the Form S-1 Shelf (and any Subsequent Shelf Registration) to a Form S-3 Shelf as soon as practicable after PubCo is eligible to use Form S-3.</w:t>
      </w:r>
    </w:p>
    <w:p>
      <w:pPr>
        <w:spacing w:after="0" w:line="65" w:lineRule="exact"/>
        <w:rPr>
          <w:rFonts w:ascii="Arial" w:cs="Arial" w:eastAsia="Arial" w:hAnsi="Arial"/>
          <w:sz w:val="16"/>
          <w:szCs w:val="16"/>
          <w:color w:val="auto"/>
        </w:rPr>
      </w:pPr>
    </w:p>
    <w:p>
      <w:pPr>
        <w:ind w:right="40" w:firstLine="987"/>
        <w:spacing w:after="0" w:line="268" w:lineRule="auto"/>
        <w:tabs>
          <w:tab w:leader="none" w:pos="1246"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Subsequent Shelf Registration</w:t>
      </w:r>
      <w:r>
        <w:rPr>
          <w:rFonts w:ascii="Arial" w:cs="Arial" w:eastAsia="Arial" w:hAnsi="Arial"/>
          <w:sz w:val="17"/>
          <w:szCs w:val="17"/>
          <w:color w:val="auto"/>
        </w:rPr>
        <w:t>. If any Shelf ceases to be effective under the Securities Act for any reason at any time while there are any Registrable Securities outstanding, PubCo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7"/>
          <w:szCs w:val="17"/>
          <w:u w:val="single" w:color="auto"/>
          <w:color w:val="auto"/>
        </w:rPr>
        <w:t>Subsequent Shelf Registration</w:t>
      </w:r>
      <w:r>
        <w:rPr>
          <w:rFonts w:ascii="Arial" w:cs="Arial" w:eastAsia="Arial" w:hAnsi="Arial"/>
          <w:sz w:val="17"/>
          <w:szCs w:val="17"/>
          <w:color w:val="auto"/>
        </w:rPr>
        <w:t>”) registering the resale of all outstanding Registrable Securities from time to time, and pursuant to any method or combination of methods legally available to, and requested by, any Holder.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 (ii) keep such Subsequent Shelf Registration continuously effective, available for use and in compliance with the provisions of the Securities Act until such time as there are no longer any Registrable Securities outstanding. Any such Subsequent Shelf Registration shall be on Form S-3 to the extent that PubCo is eligible to use such form. Otherwise, such Subsequent Shelf Registration shall be on another appropriate form. In the event that any Holder holds Registrable Securities that are not registered for resale on a delayed or continuous basis, PubCo, upon request of a Holder, shall promptly use 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27" w:name="page328"/>
    <w:bookmarkEnd w:id="327"/>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commercially reasonable efforts to cause the resale of such Registrable Securities to be covered by either, at PubCo’s option, the Shelf (including by means of a post-effective amendment) or a Subsequent Shelf Registration and cause the same to become effective as soon as practicable after such filing and such Shelf or Subsequent Shelf Registration shall be subject to the terms of this Investor Rights Agreement.</w:t>
      </w:r>
    </w:p>
    <w:p>
      <w:pPr>
        <w:spacing w:after="0" w:line="57" w:lineRule="exact"/>
        <w:rPr>
          <w:sz w:val="20"/>
          <w:szCs w:val="20"/>
          <w:color w:val="auto"/>
        </w:rPr>
      </w:pPr>
    </w:p>
    <w:p>
      <w:pPr>
        <w:ind w:left="4" w:right="40" w:firstLine="987"/>
        <w:spacing w:after="0" w:line="287" w:lineRule="auto"/>
        <w:tabs>
          <w:tab w:leader="none" w:pos="1240"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At any time and from time to time after the Shelf has been declared effective by the SEC, the Holders, may request to sell all or any portion of their Registrable Securities in an Underwritten Offering that is registered pursuant to the Shelf (each, an “</w:t>
      </w:r>
      <w:r>
        <w:rPr>
          <w:rFonts w:ascii="Arial" w:cs="Arial" w:eastAsia="Arial" w:hAnsi="Arial"/>
          <w:sz w:val="16"/>
          <w:szCs w:val="16"/>
          <w:u w:val="single" w:color="auto"/>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PubCo shall only be obligated to effect an Underwritten Shelf Takedown if such offering</w:t>
      </w:r>
    </w:p>
    <w:p>
      <w:pPr>
        <w:spacing w:after="0" w:line="2" w:lineRule="exact"/>
        <w:rPr>
          <w:rFonts w:ascii="Arial" w:cs="Arial" w:eastAsia="Arial" w:hAnsi="Arial"/>
          <w:sz w:val="16"/>
          <w:szCs w:val="16"/>
          <w:color w:val="auto"/>
        </w:rPr>
      </w:pPr>
    </w:p>
    <w:p>
      <w:pPr>
        <w:ind w:left="4" w:right="40" w:hanging="4"/>
        <w:spacing w:after="0" w:line="267" w:lineRule="auto"/>
        <w:tabs>
          <w:tab w:leader="none" w:pos="21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shall include securities with a total offering price (including piggyback securities and before deduction of underwriting discounts) reasonably expected to exceed, in the aggregate, $25,000,000 (the “</w:t>
      </w:r>
      <w:r>
        <w:rPr>
          <w:rFonts w:ascii="Arial" w:cs="Arial" w:eastAsia="Arial" w:hAnsi="Arial"/>
          <w:sz w:val="17"/>
          <w:szCs w:val="17"/>
          <w:u w:val="single" w:color="auto"/>
          <w:color w:val="auto"/>
        </w:rPr>
        <w:t>Minimum Takedown Threshold</w:t>
      </w:r>
      <w:r>
        <w:rPr>
          <w:rFonts w:ascii="Arial" w:cs="Arial" w:eastAsia="Arial" w:hAnsi="Arial"/>
          <w:sz w:val="17"/>
          <w:szCs w:val="17"/>
          <w:color w:val="auto"/>
        </w:rPr>
        <w:t xml:space="preserve">”) or (ii) shall be made with respect to all of the Registrable Securities of the Demanding Holder. All requests for Underwritten Shelf Takedowns shall be made by giving written notice to PubCo, which shall specify the approximate number of Registrable Securities proposed to be sold in the Underwritten Shelf Takedown and the expected price range (net of underwriting discounts and commissions) of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Holder agrees that the fact that such a notice has been delivered shall constitute Confidential Information subject to </w:t>
      </w:r>
      <w:r>
        <w:rPr>
          <w:rFonts w:ascii="Arial" w:cs="Arial" w:eastAsia="Arial" w:hAnsi="Arial"/>
          <w:sz w:val="17"/>
          <w:szCs w:val="17"/>
          <w:u w:val="single" w:color="auto"/>
          <w:color w:val="auto"/>
        </w:rPr>
        <w:t>Section 4.14</w:t>
      </w:r>
      <w:r>
        <w:rPr>
          <w:rFonts w:ascii="Arial" w:cs="Arial" w:eastAsia="Arial" w:hAnsi="Arial"/>
          <w:sz w:val="17"/>
          <w:szCs w:val="17"/>
          <w:color w:val="auto"/>
        </w:rPr>
        <w:t>. The Holders that requested such Underwritten Shelf Takedown (the “</w:t>
      </w:r>
      <w:r>
        <w:rPr>
          <w:rFonts w:ascii="Arial" w:cs="Arial" w:eastAsia="Arial" w:hAnsi="Arial"/>
          <w:sz w:val="17"/>
          <w:szCs w:val="17"/>
          <w:u w:val="single" w:color="auto"/>
          <w:color w:val="auto"/>
        </w:rPr>
        <w:t>Demanding Holders</w:t>
      </w:r>
      <w:r>
        <w:rPr>
          <w:rFonts w:ascii="Arial" w:cs="Arial" w:eastAsia="Arial" w:hAnsi="Arial"/>
          <w:sz w:val="17"/>
          <w:szCs w:val="17"/>
          <w:color w:val="auto"/>
        </w:rPr>
        <w:t xml:space="preserve">”) holding a majority in interest of the Registrable Securities to be registered pursuant to such Underwritten Shelf Takedown shall have the right to select the Underwriters for such offering (which shall consist of one (1) or more reputable nationally or regionally recognized investment banks), and to agree to the pricing and other terms of such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selection shall be subject to the consent of PubCo, which consent shall not be unreasonably withheld, conditioned or delayed. Notwithstanding anything to the contrary contained in this Investor Rights Agreement, in no event shall any Holder or any Transferee thereof request an Underwritten Shelf Takedown during the Lock-Up Period applicable to such Person. No Holder may request any Underwritten Shelf Takedown more than two (2) times in any twelve (12) month period, subject to the proviso in the first sentence of this </w:t>
      </w:r>
      <w:r>
        <w:rPr>
          <w:rFonts w:ascii="Arial" w:cs="Arial" w:eastAsia="Arial" w:hAnsi="Arial"/>
          <w:sz w:val="17"/>
          <w:szCs w:val="17"/>
          <w:u w:val="single" w:color="auto"/>
          <w:color w:val="auto"/>
        </w:rPr>
        <w:t>Section 2.1(c)</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 w:firstLine="987"/>
        <w:spacing w:after="0" w:line="269" w:lineRule="auto"/>
        <w:tabs>
          <w:tab w:leader="none" w:pos="125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Reduction of Underwritten Shelf Takedowns</w:t>
      </w:r>
      <w:r>
        <w:rPr>
          <w:rFonts w:ascii="Arial" w:cs="Arial" w:eastAsia="Arial" w:hAnsi="Arial"/>
          <w:sz w:val="17"/>
          <w:szCs w:val="17"/>
          <w:color w:val="auto"/>
        </w:rPr>
        <w:t>. If the managing Underwriter or Underwriters in an Underwritten Shelf Takedown, in good faith, advise PubCo,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PubCo desires to sell and all other shares of Common Stock or other Equity Securities, if any, that have been requested to be sold in such Underwritten Offering pursuant to separate written contractual piggyback registration rights held by any other stockholders of PubCo, exceeds the maximum dollar amount or maximum number of Equity Securities that can be sold in such Underwritten Offering without adversely affecting the proposed offering price, the timing, the distribution method or the probability of success of such Underwritten Offering (such maximum dollar amount or maximum number of such Equity Securities, as applicable, the “</w:t>
      </w:r>
      <w:r>
        <w:rPr>
          <w:rFonts w:ascii="Arial" w:cs="Arial" w:eastAsia="Arial" w:hAnsi="Arial"/>
          <w:sz w:val="17"/>
          <w:szCs w:val="17"/>
          <w:u w:val="single" w:color="auto"/>
          <w:color w:val="auto"/>
        </w:rPr>
        <w:t>Maximum Number of Securities</w:t>
      </w:r>
      <w:r>
        <w:rPr>
          <w:rFonts w:ascii="Arial" w:cs="Arial" w:eastAsia="Arial" w:hAnsi="Arial"/>
          <w:sz w:val="17"/>
          <w:szCs w:val="17"/>
          <w:color w:val="auto"/>
        </w:rPr>
        <w:t>”), then PubCo shall include in such Underwritten Offering, as follows: at all times (i) first, the Registrable Securities of the Demanding Holders and the Requesting Holders (if any) (pro rata based on the respective number of Registrable Securities that each Demanding Holder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28" w:name="page329"/>
    <w:bookmarkEnd w:id="328"/>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Requesting Holder (if any) has requested be included in such Underwritten Shelf Takedown) that can be sold without exceeding the Maximum Number of Securities; (ii) second, to the extent that the Maximum Number of Securities has not been reached under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the shares of Common Stock or other Equity Securities that PubCo desires to sell, which can be sold without exceeding the Maximum Number of Securities;</w:t>
      </w:r>
    </w:p>
    <w:p>
      <w:pPr>
        <w:spacing w:after="0" w:line="2" w:lineRule="exact"/>
        <w:rPr>
          <w:sz w:val="20"/>
          <w:szCs w:val="20"/>
          <w:color w:val="auto"/>
        </w:rPr>
      </w:pPr>
    </w:p>
    <w:p>
      <w:pPr>
        <w:ind w:left="4" w:right="360" w:hanging="4"/>
        <w:spacing w:after="0" w:line="277" w:lineRule="auto"/>
        <w:tabs>
          <w:tab w:leader="none" w:pos="31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third, to the extent that the Maximum Number of Securities has not been reached under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the shares of Common Stock or other Equity Securities of other Persons that PubCo is obligated to include in such Underwritten Offering pursuant to separate written contractual arrangements with such Persons and that can be sold without exceeding the Maximum Number of Securities.</w:t>
      </w:r>
    </w:p>
    <w:p>
      <w:pPr>
        <w:spacing w:after="0" w:line="64" w:lineRule="exact"/>
        <w:rPr>
          <w:rFonts w:ascii="Arial" w:cs="Arial" w:eastAsia="Arial" w:hAnsi="Arial"/>
          <w:sz w:val="17"/>
          <w:szCs w:val="17"/>
          <w:color w:val="auto"/>
        </w:rPr>
      </w:pPr>
    </w:p>
    <w:p>
      <w:pPr>
        <w:ind w:left="4" w:right="120" w:firstLine="987"/>
        <w:spacing w:after="0" w:line="270" w:lineRule="auto"/>
        <w:tabs>
          <w:tab w:leader="none" w:pos="1240"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Any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u w:val="single" w:color="auto"/>
          <w:color w:val="auto"/>
        </w:rPr>
        <w:t>Withdrawal Notice</w:t>
      </w:r>
      <w:r>
        <w:rPr>
          <w:rFonts w:ascii="Arial" w:cs="Arial" w:eastAsia="Arial" w:hAnsi="Arial"/>
          <w:sz w:val="17"/>
          <w:szCs w:val="17"/>
          <w:color w:val="auto"/>
        </w:rPr>
        <w:t xml:space="preserve">”) to PubCo and the Underwriter or Underwriters (if any) of such Demanding Holder’s intention to withdraw from such Underwritten Shelf Takedown, prior to the public announcement of the Underwritten Shelf Takedown by PubCo;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Holder not so withdrawing may elect to have PubCo continue such Underwritten Shelf Takedown if the Minimum Takedown Threshold would still be satisfied or if such Underwritten Shelf Takedown would be made with respect to all of the Registrable Securities of such Holder. Following the receipt of any Withdrawal Notice, PubCo shall promptly forward such Withdrawal Notice to any other Holders that had elected to participate in such Underwritten Shelf Takedown. Notwithstanding anything to the contrary contained in this Investor Rights Agreement, PubCo shall be responsible for the Registration Expenses incurred in connection with an Underwritten Shelf Takedown prior to delivery of a Withdrawal Notice under this </w:t>
      </w:r>
      <w:r>
        <w:rPr>
          <w:rFonts w:ascii="Arial" w:cs="Arial" w:eastAsia="Arial" w:hAnsi="Arial"/>
          <w:sz w:val="17"/>
          <w:szCs w:val="17"/>
          <w:u w:val="single" w:color="auto"/>
          <w:color w:val="auto"/>
        </w:rPr>
        <w:t>Section 2.1(e)</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 w:firstLine="987"/>
        <w:spacing w:after="0" w:line="254" w:lineRule="auto"/>
        <w:tabs>
          <w:tab w:leader="none" w:pos="1220"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Long-Form Demands</w:t>
      </w:r>
      <w:r>
        <w:rPr>
          <w:rFonts w:ascii="Arial" w:cs="Arial" w:eastAsia="Arial" w:hAnsi="Arial"/>
          <w:sz w:val="18"/>
          <w:szCs w:val="18"/>
          <w:color w:val="auto"/>
        </w:rPr>
        <w:t xml:space="preserve">. Upon the expiration of the Lock-Up Period applicable to such Person, and during such times as no Shelf is effective, each Holder may demand that PubCo file a Registration Statement on Form S-1 for the purpose of conducting an Underwritten Offering of any or all of such Holder’s Registrable Securities. PubCo shall file such Registration Statement within 30 days of receipt of such demand and use its commercially reasonable efforts to cause the same to be declared effective within 60 days of filing. The provisions of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shall apply to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as if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were an Underwritten Shelf Takedown;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order to withdraw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such withdrawal must be received by PubCo prior to PubCo having publicly filed a Registration Statement pursuant to this </w:t>
      </w:r>
      <w:r>
        <w:rPr>
          <w:rFonts w:ascii="Arial" w:cs="Arial" w:eastAsia="Arial" w:hAnsi="Arial"/>
          <w:sz w:val="18"/>
          <w:szCs w:val="18"/>
          <w:u w:val="single" w:color="auto"/>
          <w:color w:val="auto"/>
        </w:rPr>
        <w:t>Section 2.1(f)</w:t>
      </w:r>
      <w:r>
        <w:rPr>
          <w:rFonts w:ascii="Arial" w:cs="Arial" w:eastAsia="Arial" w:hAnsi="Arial"/>
          <w:sz w:val="18"/>
          <w:szCs w:val="18"/>
          <w:color w:val="auto"/>
        </w:rPr>
        <w:t>.</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4" w:right="200" w:firstLine="987"/>
        <w:spacing w:after="0" w:line="255" w:lineRule="auto"/>
        <w:tabs>
          <w:tab w:leader="none" w:pos="12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Piggyback Rights</w:t>
      </w:r>
      <w:r>
        <w:rPr>
          <w:rFonts w:ascii="Arial" w:cs="Arial" w:eastAsia="Arial" w:hAnsi="Arial"/>
          <w:sz w:val="18"/>
          <w:szCs w:val="18"/>
          <w:color w:val="auto"/>
        </w:rPr>
        <w:t xml:space="preserve">. If PubCo or any Holder proposes to conduct a registered offering of, or if PubCo proposes to file a Registration Statement under the Securities Act with respect to an offering of, Equity Securities of PubCo or securities or other obligations exercisable or exchangeable for or convertible into Equity Securities of PubCo, for its own account or for the account of stockholders of PubCo (or by PubCo and by the stockholders of PubCo, including an Underwritten Shelf Takedown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other than a Registration Statement (or any registered offering with respect thereto) (i) filed in connection with any employee stock option or other benefit plan or SEC Rule 145 transaction, (ii) for an exchange offer or offering of</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329" w:name="page330"/>
    <w:bookmarkEnd w:id="32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solely to PubCo’s existing stockholders, (iii) for an offering of debt that is convertible into Equity Securities of PubCo or (iv) for a dividend reinvestment plan, then PubCo shall give written notice of such proposed offering to all Holders as soon as practicable but not less than four (4) calendar days before the anticipated filing date of such Registration Statement or, in the case of an underwritten offering pursuant to a Shelf Registration, the launch date of such offering, which notice shall (A) describe the amount and type of securities to be included in such offering, the intended method(s) of distribution, and the name of the proposed managing Underwriter or Underwriters, if any and if known, in such offering, and (B) offer to all of the Holders the opportunity to include in such registered offering such number of Registrable Securities as such Holders may request in writing within three</w:t>
      </w:r>
    </w:p>
    <w:p>
      <w:pPr>
        <w:spacing w:after="0" w:line="4" w:lineRule="exact"/>
        <w:rPr>
          <w:sz w:val="20"/>
          <w:szCs w:val="20"/>
          <w:color w:val="auto"/>
        </w:rPr>
      </w:pPr>
    </w:p>
    <w:p>
      <w:pPr>
        <w:ind w:left="4" w:right="20" w:hanging="4"/>
        <w:spacing w:after="0" w:line="288" w:lineRule="auto"/>
        <w:tabs>
          <w:tab w:leader="none" w:pos="25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calendar day after receipt of such written notice (such registered offering,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Holder agrees that the fact that such a notice has been delivered shall constitute Confidential Information subject to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PubCo shall cause such Registrable Securities to be included in such Piggyback Registration and shall use its commercially reasonable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to be included in a Piggyback Registration on the same terms and conditions as any similar securities of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abide by the terms of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 w:firstLine="987"/>
        <w:spacing w:after="0" w:line="293" w:lineRule="auto"/>
        <w:tabs>
          <w:tab w:leader="none" w:pos="1250"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Offering that is to be a Piggyback Registration (other than an Underwritten Shelf Takedown), in good faith, advises PubCo and the Holders participating in the Piggyback Registration in writing that the dollar amount or number of shares of Common Stock or other Equity Securities that PubCo desires to sell, taken together with (i) the shares of Common Stock or other Equity Securities, if any, as to which Registration or a registered offering has been demanded pursuant to separate written contractual arrangements with Persons other than the Holders hereunder and (ii) the shares of Common Stock or other Equity Securities, if any, as to which registration has been requested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exceeds the Maximum Number of Securities, then:</w:t>
      </w:r>
    </w:p>
    <w:p>
      <w:pPr>
        <w:spacing w:after="0" w:line="56" w:lineRule="exact"/>
        <w:rPr>
          <w:rFonts w:ascii="Arial" w:cs="Arial" w:eastAsia="Arial" w:hAnsi="Arial"/>
          <w:sz w:val="16"/>
          <w:szCs w:val="16"/>
          <w:color w:val="auto"/>
        </w:rPr>
      </w:pPr>
    </w:p>
    <w:p>
      <w:pPr>
        <w:ind w:left="4" w:right="40" w:firstLine="1428"/>
        <w:spacing w:after="0" w:line="290" w:lineRule="auto"/>
        <w:tabs>
          <w:tab w:leader="none" w:pos="1651" w:val="left"/>
        </w:tabs>
        <w:numPr>
          <w:ilvl w:val="2"/>
          <w:numId w:val="330"/>
        </w:numPr>
        <w:rPr>
          <w:rFonts w:ascii="Arial" w:cs="Arial" w:eastAsia="Arial" w:hAnsi="Arial"/>
          <w:sz w:val="16"/>
          <w:szCs w:val="16"/>
          <w:color w:val="auto"/>
        </w:rPr>
      </w:pPr>
      <w:r>
        <w:rPr>
          <w:rFonts w:ascii="Arial" w:cs="Arial" w:eastAsia="Arial" w:hAnsi="Arial"/>
          <w:sz w:val="16"/>
          <w:szCs w:val="16"/>
          <w:color w:val="auto"/>
        </w:rPr>
        <w:t xml:space="preserve">if the Registration is initiated and undertaken for PubCo’s account, PubCo shall include in any such Registration (A) first, the shares of Common Stock or other Equity Securities that PubCo desires to sell,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(pro rata based on the respective number of Registrable Securities that each Holder has requested be included in such Registration), which can be sold without exceeding the Maximum Number of Securities and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the shares of Common Stock or other Equity Securities, if any, as to which Registration has been requested pursuant to written contractual piggyback registration rights of other stockholders of PubCo, which can be sold without exceeding the Maximum Number of Securities; or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30" w:name="page331"/>
    <w:bookmarkEnd w:id="330"/>
    <w:p>
      <w:pPr>
        <w:ind w:left="1704" w:hanging="272"/>
        <w:spacing w:after="0"/>
        <w:tabs>
          <w:tab w:leader="none" w:pos="1704" w:val="left"/>
        </w:tabs>
        <w:numPr>
          <w:ilvl w:val="1"/>
          <w:numId w:val="3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Registration is pursuant to a request by Persons other than the Holders, then PubCo shall include in any such Registration</w:t>
      </w:r>
    </w:p>
    <w:p>
      <w:pPr>
        <w:spacing w:after="0" w:line="46" w:lineRule="exact"/>
        <w:rPr>
          <w:rFonts w:ascii="Arial" w:cs="Arial" w:eastAsia="Arial" w:hAnsi="Arial"/>
          <w:sz w:val="16"/>
          <w:szCs w:val="16"/>
          <w:color w:val="auto"/>
        </w:rPr>
      </w:pPr>
    </w:p>
    <w:p>
      <w:pPr>
        <w:ind w:left="4" w:right="60" w:hanging="4"/>
        <w:spacing w:after="0" w:line="268" w:lineRule="auto"/>
        <w:tabs>
          <w:tab w:leader="none" w:pos="29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first, the shares of Common Stock or other Equity Securities, if any, of such requesting Persons, other than the Holders,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(pro rata based on the respective number of Registrable Securities that each Holder has requested be included in such Registration), which can be sold without exceeding the Maximum Number of Securities,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shares of Common Stock or other Equity Securities that PubCo desires to sell, which can be sold without exceeding the Maximum Number of Securities and (D) fourth,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the shares of Common Stock or other Equity Securities, if any, for the account of other Persons that PubCo is obligated to register pursuant to separate written contractual piggyback registration rights of such Persons, which can be sold without exceeding the Maximum Number of Securities.</w:t>
      </w:r>
    </w:p>
    <w:p>
      <w:pPr>
        <w:spacing w:after="0" w:line="179"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in the event a Demanding Holder has submitted notice for a bona fide Underwritten Shelf Takedown and all sales pursuant to such Underwritten Shelf Takedown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have not been effected in accordance with the applicable plan of distribution or submitted a Withdrawal Notice prior to such time that PubCo has given written notice of a Piggyback Registration to all Holders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then any reduction in the number of Registrable Securities to be offered in such offering shall be determined in accordance with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instead of this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80" w:lineRule="exact"/>
        <w:rPr>
          <w:sz w:val="20"/>
          <w:szCs w:val="20"/>
          <w:color w:val="auto"/>
        </w:rPr>
      </w:pPr>
    </w:p>
    <w:p>
      <w:pPr>
        <w:ind w:left="4" w:right="20" w:firstLine="987"/>
        <w:spacing w:after="0" w:line="289" w:lineRule="auto"/>
        <w:tabs>
          <w:tab w:leader="none" w:pos="124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shall have the right to withdraw from a Piggyback Registration for any or no reason whatsoever upon written notification to PubCo and the Underwriter or Underwriters (if any) of such Holder’s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PubCo (whether on its own good faith determination or as the result of a request for withdrawal by Persons pursuant to separate written contractual obligations) may withdraw a Registration Statement filed with the SEC in connection with a Piggyback Registration (which, in no circumstance, shall include the Shelf) at any time prior to the effectiveness of such Registration Statement. Notwithstanding anything to the contrary set forth in this Investor Rights Agreement, PubCo shall be responsible for the Registration Expenses incurred in connection with a Piggyback Registration prior to its withdrawal under this </w:t>
      </w:r>
      <w:r>
        <w:rPr>
          <w:rFonts w:ascii="Arial" w:cs="Arial" w:eastAsia="Arial" w:hAnsi="Arial"/>
          <w:sz w:val="16"/>
          <w:szCs w:val="16"/>
          <w:u w:val="single" w:color="auto"/>
          <w:color w:val="auto"/>
        </w:rPr>
        <w:t>Section 2.2(c)</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firstLine="987"/>
        <w:spacing w:after="0" w:line="263" w:lineRule="auto"/>
        <w:tabs>
          <w:tab w:leader="none" w:pos="125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(i) for any Holder or Party, prior to the expiration of the Lock-Up Period in respect of such Holder or Party or (ii) to any Shelf Take-Down irrespective of whether such Shelf Take-Down is an Underwritten Shelf Take-Down or not an Underwritten Shelf Take-Down.</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331" w:name="page332"/>
    <w:bookmarkEnd w:id="331"/>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Arial" w:cs="Arial" w:eastAsia="Arial" w:hAnsi="Arial"/>
          <w:sz w:val="17"/>
          <w:szCs w:val="17"/>
          <w:u w:val="single" w:color="auto"/>
          <w:color w:val="auto"/>
        </w:rPr>
        <w:t>Restriction on Transfer</w:t>
      </w:r>
      <w:r>
        <w:rPr>
          <w:rFonts w:ascii="Arial" w:cs="Arial" w:eastAsia="Arial" w:hAnsi="Arial"/>
          <w:sz w:val="17"/>
          <w:szCs w:val="17"/>
          <w:color w:val="auto"/>
        </w:rPr>
        <w:t>. In connection with any Underwritten Offering of Equity Securities of PubCo, each Holder that participates in such Underwritten Offering agrees that it shall not Transfer any shares of Common Stock (other than those included in such offering pursuant to this Investor Rights Agreement), without the prior written consent of PubCo, during the period commencing seven (7) calendar days prior (to the extent notice of such Underwritten Offering has been provided) to such Underwritten Offering and ending upon the shorter of (a) the shortest number of days that a director of PubCo, “executive officer” (as defined under Section 16 of the Exchange Act) of PubCo or any stockholder of PubCo (other than a Holder or director or employee of, or consultant to, PubCo) who owns 10% or more of the outstanding shares of Common Stock contractually agrees with the Underwriters of such Underwritten Offering to not to sell any securities of PubCo following such Underwritten Offering and (b) the 90-day period beginning on the date of pricing of such offering, except in the event the Underwriter managing the offering otherwise agrees by written consent, and further agrees to execute a customary lock-up agreement in favor of the Underwriters to such effect (in each case, on substantially the same terms and conditions as all such Holders).</w:t>
      </w:r>
    </w:p>
    <w:p>
      <w:pPr>
        <w:spacing w:after="0" w:line="18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General Procedures</w:t>
      </w:r>
      <w:r>
        <w:rPr>
          <w:rFonts w:ascii="Arial" w:cs="Arial" w:eastAsia="Arial" w:hAnsi="Arial"/>
          <w:sz w:val="18"/>
          <w:szCs w:val="18"/>
          <w:color w:val="auto"/>
        </w:rPr>
        <w:t xml:space="preserve">. In connection with effecting any Registration and/or Shelf Takedown, subject to applicable Law and any regulations promulgated by any securities exchange on which PubCo’s Equity Securities are then listed, each as interpreted by PubCo with the advice of its counsel, PubCo shall use its commercially reasonable efforts (except as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 to effect such Registration and/or Shelf Takedown to permit the sale of the Registrable Securities included in such Registration and/or Shelf Takedown in accordance with the intended plan of distribution thereof, and pursuant thereto PubCo shall, as expeditiously as possible:</w:t>
      </w:r>
    </w:p>
    <w:p>
      <w:pPr>
        <w:spacing w:after="0" w:line="80" w:lineRule="exact"/>
        <w:rPr>
          <w:sz w:val="20"/>
          <w:szCs w:val="20"/>
          <w:color w:val="auto"/>
        </w:rPr>
      </w:pPr>
    </w:p>
    <w:p>
      <w:pPr>
        <w:ind w:right="180" w:firstLine="987"/>
        <w:spacing w:after="0" w:line="263" w:lineRule="auto"/>
        <w:tabs>
          <w:tab w:leader="none" w:pos="123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prepare and file with the SEC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75"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any Holder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79" w:lineRule="exact"/>
        <w:rPr>
          <w:rFonts w:ascii="Arial" w:cs="Arial" w:eastAsia="Arial" w:hAnsi="Arial"/>
          <w:sz w:val="18"/>
          <w:szCs w:val="18"/>
          <w:color w:val="auto"/>
        </w:rPr>
      </w:pPr>
    </w:p>
    <w:p>
      <w:pPr>
        <w:ind w:firstLine="987"/>
        <w:spacing w:after="0" w:line="293" w:lineRule="auto"/>
        <w:tabs>
          <w:tab w:leader="none" w:pos="123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furnish without charge to the Underwriters, if any, and the Holders of Registrable Securities included in such Registration, and such Holders’ legal counsel, if any,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or the Holders of Registrable Securities included in such Registration or the legal counsel for any such Holders, if any, may reasonably request in order to facilitate the disposition of the Registrable Securities owned by such Holders;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32" w:name="page333"/>
    <w:bookmarkEnd w:id="332"/>
    <w:p>
      <w:pPr>
        <w:ind w:left="-20" w:firstLine="987"/>
        <w:spacing w:after="0" w:line="269" w:lineRule="auto"/>
        <w:tabs>
          <w:tab w:leader="none" w:pos="1226" w:val="left"/>
        </w:tabs>
        <w:numPr>
          <w:ilvl w:val="0"/>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Entities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77" w:lineRule="exact"/>
        <w:rPr>
          <w:rFonts w:ascii="Arial" w:cs="Arial" w:eastAsia="Arial" w:hAnsi="Arial"/>
          <w:sz w:val="17"/>
          <w:szCs w:val="17"/>
          <w:color w:val="auto"/>
        </w:rPr>
      </w:pPr>
    </w:p>
    <w:p>
      <w:pPr>
        <w:ind w:left="-20" w:firstLine="987"/>
        <w:spacing w:after="0" w:line="277" w:lineRule="auto"/>
        <w:tabs>
          <w:tab w:leader="none" w:pos="121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or automated quotation system on which similar securities issued by PubCo are then listed;</w:t>
      </w:r>
    </w:p>
    <w:p>
      <w:pPr>
        <w:spacing w:after="0" w:line="62" w:lineRule="exact"/>
        <w:rPr>
          <w:rFonts w:ascii="Arial" w:cs="Arial" w:eastAsia="Arial" w:hAnsi="Arial"/>
          <w:sz w:val="18"/>
          <w:szCs w:val="18"/>
          <w:color w:val="auto"/>
        </w:rPr>
      </w:pPr>
    </w:p>
    <w:p>
      <w:pPr>
        <w:ind w:left="-20" w:right="120" w:firstLine="987"/>
        <w:spacing w:after="0" w:line="277" w:lineRule="auto"/>
        <w:tabs>
          <w:tab w:leader="none" w:pos="119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62" w:lineRule="exact"/>
        <w:rPr>
          <w:rFonts w:ascii="Arial" w:cs="Arial" w:eastAsia="Arial" w:hAnsi="Arial"/>
          <w:sz w:val="18"/>
          <w:szCs w:val="18"/>
          <w:color w:val="auto"/>
        </w:rPr>
      </w:pPr>
    </w:p>
    <w:p>
      <w:pPr>
        <w:ind w:left="-20" w:right="380" w:firstLine="987"/>
        <w:spacing w:after="0" w:line="259" w:lineRule="auto"/>
        <w:tabs>
          <w:tab w:leader="none" w:pos="122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advise each Holder of Registrable Securities covered by a Registration Statement, promptly after it shall receive notice or obtain knowledge thereof, of the issuance of any stop order by the SEC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78" w:lineRule="exact"/>
        <w:rPr>
          <w:rFonts w:ascii="Arial" w:cs="Arial" w:eastAsia="Arial" w:hAnsi="Arial"/>
          <w:sz w:val="18"/>
          <w:szCs w:val="18"/>
          <w:color w:val="auto"/>
        </w:rPr>
      </w:pPr>
    </w:p>
    <w:p>
      <w:pPr>
        <w:ind w:left="-20" w:right="40" w:firstLine="987"/>
        <w:spacing w:after="0" w:line="279" w:lineRule="auto"/>
        <w:tabs>
          <w:tab w:leader="none" w:pos="122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at least three (3) calendar days prior to the filing of any Registration Statement or Prospectus or any amendment or supplement to such Registration Statement or Prospectus or any document that is to be incorporated by reference into such Registration Statement or Prospectus furnish a draft thereof to each Holder of Registrable Securities included in such Registration Statement, or its counsel, if any (excluding any exhibits thereto and any filing made under the Exchange Act that is to be incorporated by reference therein);</w:t>
      </w:r>
    </w:p>
    <w:p>
      <w:pPr>
        <w:spacing w:after="0" w:line="63" w:lineRule="exact"/>
        <w:rPr>
          <w:rFonts w:ascii="Arial" w:cs="Arial" w:eastAsia="Arial" w:hAnsi="Arial"/>
          <w:sz w:val="17"/>
          <w:szCs w:val="17"/>
          <w:color w:val="auto"/>
        </w:rPr>
      </w:pPr>
    </w:p>
    <w:p>
      <w:pPr>
        <w:ind w:left="-20" w:firstLine="987"/>
        <w:spacing w:after="0" w:line="263" w:lineRule="auto"/>
        <w:tabs>
          <w:tab w:leader="none" w:pos="118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333" w:name="page334"/>
    <w:bookmarkEnd w:id="333"/>
    <w:p>
      <w:pPr>
        <w:ind w:right="40" w:firstLine="987"/>
        <w:spacing w:after="0" w:line="296" w:lineRule="auto"/>
        <w:tabs>
          <w:tab w:leader="none" w:pos="1206"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 Representatives of the Holders, the Underwriters, if any, and any attorney, consultant or accountant retained by such Holders or Underwriter to participate, at each such Person’s own expense, except to the extent such expenses constitute Registration Expenses, in the preparation of the Registration Statement, and cause PubCo’s officers, directors and employees to supply all information reasonably requested by any such Representative, Underwriter, attorney, consultant or accountant in connection with such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Persons agree to confidentiality arrangements reasonably satisfactory to PubCo, prior to the release or disclosure of any such information;</w:t>
      </w:r>
    </w:p>
    <w:p>
      <w:pPr>
        <w:spacing w:after="0" w:line="53" w:lineRule="exact"/>
        <w:rPr>
          <w:rFonts w:ascii="Arial" w:cs="Arial" w:eastAsia="Arial" w:hAnsi="Arial"/>
          <w:sz w:val="16"/>
          <w:szCs w:val="16"/>
          <w:color w:val="auto"/>
        </w:rPr>
      </w:pPr>
    </w:p>
    <w:p>
      <w:pPr>
        <w:jc w:val="both"/>
        <w:ind w:right="280" w:firstLine="987"/>
        <w:spacing w:after="0" w:line="259"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obtain a “cold comfort” letter, and a bring-down thereof, from PubCo’s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78" w:lineRule="exact"/>
        <w:rPr>
          <w:rFonts w:ascii="Arial" w:cs="Arial" w:eastAsia="Arial" w:hAnsi="Arial"/>
          <w:sz w:val="18"/>
          <w:szCs w:val="18"/>
          <w:color w:val="auto"/>
        </w:rPr>
      </w:pPr>
    </w:p>
    <w:p>
      <w:pPr>
        <w:ind w:right="80" w:firstLine="987"/>
        <w:spacing w:after="0" w:line="257" w:lineRule="auto"/>
        <w:tabs>
          <w:tab w:leader="none" w:pos="120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and negative assurances letter, dated as of such date, of counsel representing PubCo for the purposes of such Registration,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negative assurance letters, and reasonably satisfactory to the participating Holders;</w:t>
      </w:r>
    </w:p>
    <w:p>
      <w:pPr>
        <w:spacing w:after="0" w:line="79" w:lineRule="exact"/>
        <w:rPr>
          <w:rFonts w:ascii="Arial" w:cs="Arial" w:eastAsia="Arial" w:hAnsi="Arial"/>
          <w:sz w:val="18"/>
          <w:szCs w:val="18"/>
          <w:color w:val="auto"/>
        </w:rPr>
      </w:pPr>
    </w:p>
    <w:p>
      <w:pPr>
        <w:ind w:right="560" w:firstLine="987"/>
        <w:spacing w:after="0" w:line="277" w:lineRule="auto"/>
        <w:tabs>
          <w:tab w:leader="none" w:pos="129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Underwritten Offering;</w:t>
      </w:r>
    </w:p>
    <w:p>
      <w:pPr>
        <w:spacing w:after="0" w:line="62" w:lineRule="exact"/>
        <w:rPr>
          <w:rFonts w:ascii="Arial" w:cs="Arial" w:eastAsia="Arial" w:hAnsi="Arial"/>
          <w:sz w:val="18"/>
          <w:szCs w:val="18"/>
          <w:color w:val="auto"/>
        </w:rPr>
      </w:pPr>
    </w:p>
    <w:p>
      <w:pPr>
        <w:ind w:right="460" w:firstLine="987"/>
        <w:spacing w:after="0" w:line="286" w:lineRule="auto"/>
        <w:tabs>
          <w:tab w:leader="none" w:pos="1246" w:val="left"/>
        </w:tabs>
        <w:numPr>
          <w:ilvl w:val="0"/>
          <w:numId w:val="336"/>
        </w:numPr>
        <w:rPr>
          <w:rFonts w:ascii="Arial" w:cs="Arial" w:eastAsia="Arial" w:hAnsi="Arial"/>
          <w:sz w:val="17"/>
          <w:szCs w:val="17"/>
          <w:color w:val="auto"/>
        </w:rPr>
      </w:pPr>
      <w:r>
        <w:rPr>
          <w:rFonts w:ascii="Arial" w:cs="Arial" w:eastAsia="Arial" w:hAnsi="Arial"/>
          <w:sz w:val="17"/>
          <w:szCs w:val="17"/>
          <w:color w:val="auto"/>
        </w:rPr>
        <w:t>make available to its security holders, as soon as reasonably practicable, an earnings statement covering the period of at least 12 months beginning within three months after the effective date of such Registration Statement, which satisfies the provisions of Section 11(a) of the Securities Act and Rule 158 thereunder (or any successor rule promulgated thereafter by the SEC);</w:t>
      </w:r>
    </w:p>
    <w:p>
      <w:pPr>
        <w:spacing w:after="0" w:line="57"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an Underwritten Offering involves Registrable Securities with a total offering price (including piggyback securities and before deduction of underwriting discounts) reasonably expected to exceed, in the aggregate, $35,000,000, use its commercially reasonable efforts to make available senior executives of PubCo to participate in customary “road show” presentations that may be reasonably requested by the Underwriter in such Underwritten Offering; and</w:t>
      </w:r>
    </w:p>
    <w:p>
      <w:pPr>
        <w:spacing w:after="0" w:line="78"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Registration Expenses of all Registrations shall be borne by PubCo. It is acknowledged by the Holders that the Holders selling any Registrable Securities in an offering shall bear all incremental selling expenses relating to the sale of Registrable Securities (including all reasonable fees and expenses of any legal counsel representing such Holders (to the extent such counsel is not also representing PubCo, as determined in accordance with clause (f) of the definition of “Registration Expenses”)), such as Underwriters’ commissions and discounts, brokerage fees, Underwriter marketing costs, in each case, pro rata based on the number of Registrable Securities that such Holders have sold in such Registration.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34" w:name="page335"/>
    <w:bookmarkEnd w:id="334"/>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7"/>
          <w:szCs w:val="17"/>
          <w:u w:val="single" w:color="auto"/>
          <w:color w:val="auto"/>
        </w:rPr>
        <w:t>Requirements for Participating in Underwritten Offerings</w:t>
      </w:r>
      <w:r>
        <w:rPr>
          <w:rFonts w:ascii="Arial" w:cs="Arial" w:eastAsia="Arial" w:hAnsi="Arial"/>
          <w:sz w:val="17"/>
          <w:szCs w:val="17"/>
          <w:color w:val="auto"/>
        </w:rPr>
        <w:t xml:space="preserve">. Notwithstanding anything to the contrary contained in this Investor Rights Agreement, if any Holder does not provide PubCo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such Person (a) agrees to sell such Person’s Registrable Securities on the basis provided in any underwriting and other arrangements approved by PubCo in the case of an Underwritten Offering initiated by PubCo, and approved by the Demanding Holders in the case of an Underwritten Offering initiated by the Demanding Holders and (b) completes and executes all customary questionnaires, powers of attorney, custody agreements, indemnities, lock-up agreements, underwriting agreements and other customary documents as may be reasonably required under the terms of such underwriting arrangements. Subject to the minimum thresholds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2.4(o)</w:t>
      </w:r>
      <w:r>
        <w:rPr>
          <w:rFonts w:ascii="Arial" w:cs="Arial" w:eastAsia="Arial" w:hAnsi="Arial"/>
          <w:sz w:val="17"/>
          <w:szCs w:val="17"/>
          <w:color w:val="auto"/>
        </w:rPr>
        <w:t xml:space="preserve">, the exclusion of a Holder’s Registrable Securities as a result of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PubCo that a Registration Statement or Prospectus contains a Misstatement, each of the Holders shall forthwith discontinue disposition of Registrable Securities until it has received copies of a supplemented or amended Prospectus correcting the Misstatement (and PubCo hereby covenants to prepare and file such supplement or amendment as soon as practicable after giving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reasonable control, PubCo may, upon giving prompt written notice of such action to the Holders, delay the filing or initial effectiveness of, or suspend use of, such Registration Statement for the shortest period of time, but in no event more than 90 days in any 12-month period, determined in good faith by PubCo to be necessary for such purpose. In the event PubCo exercises its rights under the preceding sentence, the Holders agree to suspend, immediately upon their receipt of the notice referred to above, their use of the Prospectus relating to such Registration in connection with any sale or offer to sell Registrable Securities. PubCo shall immediately notify the Holders of the expiration of any period during which it exercised its rights under this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Effective Date pursuant to Sections 13(a) or 15(d) of the Exchange Act and to promptly furnish the Holders with true and complete copies of all such filings;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documents publicly filed or furnished with the SEC pursuant to the Electronic Data Gathering, Analysis and Retrieval System shall be deemed to have been furnished to the Holders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5" w:name="page336"/>
    <w:bookmarkEnd w:id="335"/>
    <w:p>
      <w:pPr>
        <w:ind w:right="18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Arial" w:cs="Arial" w:eastAsia="Arial" w:hAnsi="Arial"/>
          <w:sz w:val="16"/>
          <w:szCs w:val="16"/>
          <w:u w:val="single" w:color="auto"/>
          <w:color w:val="auto"/>
        </w:rPr>
        <w:t>Other Obligations</w:t>
      </w:r>
      <w:r>
        <w:rPr>
          <w:rFonts w:ascii="Arial" w:cs="Arial" w:eastAsia="Arial" w:hAnsi="Arial"/>
          <w:sz w:val="16"/>
          <w:szCs w:val="16"/>
          <w:color w:val="auto"/>
        </w:rPr>
        <w:t xml:space="preserve">. In connection with a Transfer of Registrable Securities pursuant to SEC Rule 144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 (a) promptly instruct its transfer agent to remove any restrictive legends applicable to the Registrable Securities being Transferred and (b) cause its legal counsel to deliver the necessary legal opinions, if any, to the transfer agent in connection with the instruction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addition, PubCo shall cooperate reasonably with, and take such customary actions as may reasonably be requested by the Holders in connection with, the aforementioned Transfers;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PubCo agrees to indemnify and hold harmless each Holder, its officers, managers, directors, employees,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amendment thereof or supplement thereto, or any omission or alleged omission of a material fact required to be stated therein or necessary to make the statements therein not misleading or (ii) any violation or alleged violation by PubCo of the Securities Act or any other similar federal or state securities Laws, and will reimburse, as incurred, each such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loss, claim, damage, liability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PubCo will not be liable in any such case to the extent that any such loss, claim, damage, liability or expense are caused by, arises out of or is based on any untrue statement or omission made in reliance and in conformity with written information furnished to PubCo by or on behalf of such Holder expressly for use therein. PubCo shall indemnify each Underwriter, its respective officers and directors and each Person who controls such Underwriter (within the meaning of the Securities Act) to the same extent as provided in the foregoing sentence with respect to the indemnification of each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36" w:name="page337"/>
    <w:bookmarkEnd w:id="336"/>
    <w:p>
      <w:pPr>
        <w:ind w:left="-20" w:firstLine="987"/>
        <w:spacing w:after="0" w:line="268" w:lineRule="auto"/>
        <w:tabs>
          <w:tab w:leader="none" w:pos="1226" w:val="left"/>
        </w:tabs>
        <w:numPr>
          <w:ilvl w:val="0"/>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Registration Statement or Prospectus in which a Holder of Registrable Securities is participating, such Holder shall furnish to PubCo in writing such information and affidavits as PubCo reasonably requests for use in connection with any such Registration Statement or Prospectus (the “</w:t>
      </w:r>
      <w:r>
        <w:rPr>
          <w:rFonts w:ascii="Arial" w:cs="Arial" w:eastAsia="Arial" w:hAnsi="Arial"/>
          <w:sz w:val="17"/>
          <w:szCs w:val="17"/>
          <w:u w:val="single" w:color="auto"/>
          <w:color w:val="auto"/>
        </w:rPr>
        <w:t>Holder Information</w:t>
      </w:r>
      <w:r>
        <w:rPr>
          <w:rFonts w:ascii="Arial" w:cs="Arial" w:eastAsia="Arial" w:hAnsi="Arial"/>
          <w:sz w:val="17"/>
          <w:szCs w:val="17"/>
          <w:color w:val="auto"/>
        </w:rPr>
        <w:t xml:space="preserve">”) and, to the extent permitted by Law, such Holder shall indemnify and hold harmless PubCo, its officers, managers, directors, employees, trustees, equityholders, beneficiaries, affiliates, agents and Representatives and each Person who controls PubCo (within the meaning of the Securities Act) against any losses, claims, damages, liabilities and expenses (including reasonable attorneys’ fees) (or actions in respect thereof) arising out of, resulting from or based on any untrue statement of material fact contained in the Registration Statement, Prospectus or preliminary Prospectus or similar document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each Underwriter, its officers, directors and each Person who controls such Underwriter (within the meaning of the Securities Act) to the same extent as provided in the foregoing sentence with respect to indemnification of PubCo.</w:t>
      </w:r>
    </w:p>
    <w:p>
      <w:pPr>
        <w:spacing w:after="0" w:line="76" w:lineRule="exact"/>
        <w:rPr>
          <w:rFonts w:ascii="Arial" w:cs="Arial" w:eastAsia="Arial" w:hAnsi="Arial"/>
          <w:sz w:val="17"/>
          <w:szCs w:val="17"/>
          <w:color w:val="auto"/>
        </w:rPr>
      </w:pPr>
    </w:p>
    <w:p>
      <w:pPr>
        <w:ind w:left="-20" w:firstLine="987"/>
        <w:spacing w:after="0" w:line="269" w:lineRule="auto"/>
        <w:tabs>
          <w:tab w:leader="none" w:pos="121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Any Person entitled to indemnification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(i) give prompt written notice, after such Person has actual knowledge thereof, to the indemnifying party of any claim or litigation with respect to which such Person seeks indemnification (provided that the failure to give prompt notice shall not impair any Person’s right to indemnification hereunder to the extent such failure has not materially prejudiced the indemnifying party in the defense of any such claim or litigation) and (ii) permit such indemnifying party to assume the defense of such claim with counsel reasonably satisfactory to the indemnified party (not be unreasonably withheld, conditioned or delayed)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 indemnifying party, in the defense of any such claim or litigation, without the consent of each indemnified party, may only consent to the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sums payable in connection with such settlement are paid in full by the indemnifying party.</w:t>
      </w:r>
    </w:p>
    <w:p>
      <w:pPr>
        <w:spacing w:after="0" w:line="70" w:lineRule="exact"/>
        <w:rPr>
          <w:rFonts w:ascii="Arial" w:cs="Arial" w:eastAsia="Arial" w:hAnsi="Arial"/>
          <w:sz w:val="17"/>
          <w:szCs w:val="17"/>
          <w:color w:val="auto"/>
        </w:rPr>
      </w:pPr>
    </w:p>
    <w:p>
      <w:pPr>
        <w:jc w:val="both"/>
        <w:ind w:left="-20" w:firstLine="987"/>
        <w:spacing w:after="0" w:line="263" w:lineRule="auto"/>
        <w:tabs>
          <w:tab w:leader="none" w:pos="12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indemnification provided under this Investor Rights Agreement shall remain in full force and effect regardless of any investigation made by or on behalf of the indemnified party or any officer, manager, director, Representative or controlling Person of such indemnified party and shall survive the Transfer of securities.</w:t>
      </w:r>
    </w:p>
    <w:p>
      <w:pPr>
        <w:spacing w:after="0" w:line="75" w:lineRule="exact"/>
        <w:rPr>
          <w:rFonts w:ascii="Arial" w:cs="Arial" w:eastAsia="Arial" w:hAnsi="Arial"/>
          <w:sz w:val="18"/>
          <w:szCs w:val="18"/>
          <w:color w:val="auto"/>
        </w:rPr>
      </w:pPr>
    </w:p>
    <w:p>
      <w:pPr>
        <w:ind w:left="-20" w:right="80" w:firstLine="987"/>
        <w:spacing w:after="0" w:line="259" w:lineRule="auto"/>
        <w:tabs>
          <w:tab w:leader="none" w:pos="121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If the indemnification provided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337" w:name="page338"/>
    <w:bookmarkEnd w:id="3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2.10(a)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from any Person who was not guilty of such fraudulent misrepresentation.</w:t>
      </w:r>
    </w:p>
    <w:p>
      <w:pPr>
        <w:spacing w:after="0" w:line="16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the registration rights set forth in the Original RRA, in the PIPE Subscription Agreements and in the NextEra Subscription Agreement,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the Sponsor and the Sponsor Principals represents and warrants that this Investor Rights Agreement supersedes any other registration rights agreement or agreement (including the Original RRA), other than the PIPE Subscription Agreements and the NextEra Subscription Agreement.</w:t>
      </w:r>
    </w:p>
    <w:p>
      <w:pPr>
        <w:spacing w:after="0" w:line="16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SEC Rule 144</w:t>
      </w:r>
      <w:r>
        <w:rPr>
          <w:rFonts w:ascii="Arial" w:cs="Arial" w:eastAsia="Arial" w:hAnsi="Arial"/>
          <w:sz w:val="17"/>
          <w:szCs w:val="17"/>
          <w:color w:val="auto"/>
        </w:rPr>
        <w:t>. With a view to making available to the Holders the benefits of SEC Rule 144, PubCo covenants that it will (a) make available at all times information necessary to comply with SEC Rule 144, if SEC Rule 144 is available with respect to resales of the Registrable Securities under the Securities Act and (b) take such further action as the Holders may reasonably request, all to the extent required from time to time to enable them to sell Registrable Securities without registration under the Securities Act within the limitation of the exemptions provided by SEC Rule 144 promulgated under the Securities Act (if available with respect to resales of the Registrable Securities), as such rule may be amended from time to time. Upon the request of any Holder, PubCo will deliver to such Holder a written statement as to whether PubCo has complied with such information requirements, and, if not, the specific reasons for non-compliance.</w:t>
      </w:r>
    </w:p>
    <w:p>
      <w:pPr>
        <w:spacing w:after="0" w:line="17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terminate with respect to any Holder on the date that such Holder no longer holds any Registrable Securities.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survive any such termination with respect to such 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8" w:name="page339"/>
    <w:bookmarkEnd w:id="338"/>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Each Holder agrees, if requested in writing by PubCo, to represent to PubCo the total number of Registrable Securities held by such Holder in order for PubCo to make determinations under this Investor Rights Agreement, including for purposes of </w:t>
      </w:r>
      <w:r>
        <w:rPr>
          <w:rFonts w:ascii="Arial" w:cs="Arial" w:eastAsia="Arial" w:hAnsi="Arial"/>
          <w:sz w:val="18"/>
          <w:szCs w:val="18"/>
          <w:u w:val="single" w:color="auto"/>
          <w:color w:val="auto"/>
        </w:rPr>
        <w:t>Section 2.12</w:t>
      </w:r>
      <w:r>
        <w:rPr>
          <w:rFonts w:ascii="Arial" w:cs="Arial" w:eastAsia="Arial" w:hAnsi="Arial"/>
          <w:sz w:val="18"/>
          <w:szCs w:val="18"/>
          <w:color w:val="auto"/>
        </w:rPr>
        <w:t>. Other than the Sellers and the Founder Holders, a Party who does not hold Registrable Securities as of the Closing Date and who acquires Registrable Securities after the Closing Date will not be a “Holder” until such Party gives PubCo a representation in writing of the number of Registrable Securities it holds.</w:t>
      </w:r>
    </w:p>
    <w:p>
      <w:pPr>
        <w:spacing w:after="0" w:line="18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Termination of Original RRA</w:t>
      </w:r>
      <w:r>
        <w:rPr>
          <w:rFonts w:ascii="Arial" w:cs="Arial" w:eastAsia="Arial" w:hAnsi="Arial"/>
          <w:sz w:val="16"/>
          <w:szCs w:val="16"/>
          <w:color w:val="auto"/>
        </w:rPr>
        <w:t>. Upon the Closing, PubCo, the Sponsor and the Sponsor Principals hereby agree that the Original RRA and all of the respective rights and obligations of the parties thereunder are hereby terminated in their entirety and shall be of no further force or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Distributions; Direct Ownership</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In the event that, pursuant to and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the Sponsor distributes all of its Registrable Securities to its equityholders, limited partners and members of its general partner (the “</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the Sponsor Members shall be treated as the Sponsor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Sponsor Members, taken as a whole, shall not be entitled to rights in excess of those conferred on the Sponsor, as if the Sponsor remained a single entity party to this Investor Rights Agreement.</w:t>
      </w:r>
    </w:p>
    <w:p>
      <w:pPr>
        <w:spacing w:after="0" w:line="78"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In the event that a Seller distributes all of its Registrable Securities to its equityholders, such equityholders shall be treated as a Seller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equityholders, taken as a whole, shall not be entitled to rights in excess of those conferred on a Seller, as if such Seller remained a single party to this Investor Rights Agreement.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Adjustments</w:t>
      </w:r>
      <w:r>
        <w:rPr>
          <w:rFonts w:ascii="Arial" w:cs="Arial" w:eastAsia="Arial" w:hAnsi="Arial"/>
          <w:sz w:val="18"/>
          <w:szCs w:val="18"/>
          <w:color w:val="auto"/>
        </w:rPr>
        <w:t>. If there are any changes in the shares of Common Stock as a result of stock split, stock dividend, combination or reclassification, or through merger, consolidation, recapitalization or other similar event, equitable adjustment shall be made in the provisions of this Investor Rights Agreement, as may be required, so that the rights, privileges, duties and obligations under this Investor Rights Agreement shall continue with respect to the shares of Common Stock as so changed.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55" w:lineRule="auto"/>
        <w:tabs>
          <w:tab w:leader="none" w:pos="123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Each Holder (other than the Sponsor Principals, except to the extent a Sponsor Principal is a transferee (including Permitted Transferee) of Lock-Up Shares from another Holder) severally, and not jointly, agrees with PubCo not to effect any Transfer, or make a public announcement of any intention to effect such Transfer, of any Lock-Up Shares Beneficially Owned or otherwise held by such Holder during the Lock-Up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prohibition shall not apply to Transfers (i) permitted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(ii) permitted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2.9</w:t>
      </w:r>
      <w:r>
        <w:rPr>
          <w:rFonts w:ascii="Arial" w:cs="Arial" w:eastAsia="Arial" w:hAnsi="Arial"/>
          <w:sz w:val="18"/>
          <w:szCs w:val="18"/>
          <w:color w:val="auto"/>
        </w:rPr>
        <w:t>). The “</w:t>
      </w:r>
      <w:r>
        <w:rPr>
          <w:rFonts w:ascii="Arial" w:cs="Arial" w:eastAsia="Arial" w:hAnsi="Arial"/>
          <w:sz w:val="18"/>
          <w:szCs w:val="18"/>
          <w:u w:val="single" w:color="auto"/>
          <w:color w:val="auto"/>
        </w:rPr>
        <w:t>Lock-Up Period</w:t>
      </w:r>
      <w:r>
        <w:rPr>
          <w:rFonts w:ascii="Arial" w:cs="Arial" w:eastAsia="Arial" w:hAnsi="Arial"/>
          <w:sz w:val="18"/>
          <w:szCs w:val="18"/>
          <w:color w:val="auto"/>
        </w:rPr>
        <w:t>” with respect to the Lock-Up Shares of each Holder (other than the Sponsor Principals) shall be the period commencing 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9" w:name="page340"/>
    <w:bookmarkEnd w:id="339"/>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Closing Date and continuing until the date that is one hundred eighty (180) days after the Closing Date.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Equity Securities of PubCo and the Operating Company held by the Holders (other than the Sponsor Principals, except to the extent a Sponsor Principal is a transferee (including Permitted Transferee) of Lock-Up Shares from another Holder), directly or indirectly,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Warrants (or any shares of Class A Common Stock issued upon exercise of any Warrant) be considered “Lock-Up Shares.”</w:t>
      </w:r>
    </w:p>
    <w:p>
      <w:pPr>
        <w:spacing w:after="0" w:line="49" w:lineRule="exact"/>
        <w:rPr>
          <w:sz w:val="20"/>
          <w:szCs w:val="20"/>
          <w:color w:val="auto"/>
        </w:rPr>
      </w:pPr>
    </w:p>
    <w:p>
      <w:pPr>
        <w:ind w:left="4" w:right="120" w:firstLine="987"/>
        <w:spacing w:after="0" w:line="277" w:lineRule="auto"/>
        <w:tabs>
          <w:tab w:leader="none" w:pos="125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During the Lock-Up Period, any purported Transfer of Lock-Up Shares other than in accordance with this Investor Rights Agreement shall be null and void, and PubCo shall refuse to recognize any such Transfer for any purpose.</w:t>
      </w:r>
    </w:p>
    <w:p>
      <w:pPr>
        <w:spacing w:after="0" w:line="62" w:lineRule="exact"/>
        <w:rPr>
          <w:rFonts w:ascii="Arial" w:cs="Arial" w:eastAsia="Arial" w:hAnsi="Arial"/>
          <w:sz w:val="18"/>
          <w:szCs w:val="18"/>
          <w:color w:val="auto"/>
        </w:rPr>
      </w:pPr>
    </w:p>
    <w:p>
      <w:pPr>
        <w:jc w:val="both"/>
        <w:ind w:left="4" w:right="100" w:firstLine="987"/>
        <w:spacing w:after="0" w:line="259" w:lineRule="auto"/>
        <w:tabs>
          <w:tab w:leader="none" w:pos="12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Holders acknowledge and agree that, notwithstanding anything to the contrary contained in this Investor Rights Agreement, the Equity Securities of PubCo and the Operating Company, in each case, Beneficially Owned by such Holder shall remain subject to any restrictions on Transfer under applicable securities Laws of any Governmental Entity, including all applicable holding periods under the Securities Act and other rules of the SEC.</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Notwithstanding anything to the contrary contained in this Investor Rights Agreement, during the Lock-Up Period applicable to any Lock-Up Shares of a Holder, such Holder may Transfer, without the consent of PubCo, any of such Lock-Up Shares to (a) any of such Holder’s Permitted Transferees, upon written notice to PubCo or (b)(i) a charitable organization, upon written notice to PubCo, (ii) in the case of an individual, by virtue of Laws of descent and distribution upon death of the individual, (iii) in the case of an individual, pursuant to a qualified domestic relations order or (iv) pursuant to any liquidation, merger, stock exchange or other similar transaction which results in all of PubCo’s stockholders having the right to exchange their shares of Common Stock for cash, securities or other property subsequent to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Transfer of such Lock-Up Shares pursuant to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(A) the restrictions and obligations contained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continue to apply to such Lock-Up Shares after any Transfer of such Lock-Up Shares and (B) the Transferee of such Lock-Up Shares shall have no rights under this Investor Rights Agreement, unless, for the avoidance of doubt, such Transferee is a Permitted Transferee in accordance with this Investor Rights Agreement. Any Transferee of Lock-Up Shares that is a Permitted Transferee of the Transferor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whereupon such Transferee will be treated as a Party (with the same rights and obligations as the Transferor) for all purposes of this Investor Rights Agreement. Notwithstanding anything to the contrary, and for the avoidance of doubt, the Sponsor shall be permitted to forfeit any portion of its Lock-Up Shares pursuant to the Sponsor Letter.</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Other Lock-Up Restrictions</w:t>
      </w:r>
      <w:r>
        <w:rPr>
          <w:rFonts w:ascii="Arial" w:cs="Arial" w:eastAsia="Arial" w:hAnsi="Arial"/>
          <w:sz w:val="16"/>
          <w:szCs w:val="16"/>
          <w:color w:val="auto"/>
        </w:rPr>
        <w:t xml:space="preserve">. Each of PubCo, the Sponsor and each Sponsor Principal hereby acknowledge and agree that this </w:t>
      </w:r>
      <w:r>
        <w:rPr>
          <w:rFonts w:ascii="Arial" w:cs="Arial" w:eastAsia="Arial" w:hAnsi="Arial"/>
          <w:sz w:val="16"/>
          <w:szCs w:val="16"/>
          <w:u w:val="single" w:color="auto"/>
          <w:color w:val="auto"/>
        </w:rPr>
        <w:t>Article</w:t>
      </w:r>
    </w:p>
    <w:p>
      <w:pPr>
        <w:spacing w:after="0" w:line="46" w:lineRule="exact"/>
        <w:rPr>
          <w:sz w:val="20"/>
          <w:szCs w:val="20"/>
          <w:color w:val="auto"/>
        </w:rPr>
      </w:pPr>
    </w:p>
    <w:p>
      <w:pPr>
        <w:ind w:left="4" w:right="40" w:hanging="4"/>
        <w:spacing w:after="0" w:line="260" w:lineRule="auto"/>
        <w:tabs>
          <w:tab w:leader="none" w:pos="229" w:val="left"/>
        </w:tabs>
        <w:numPr>
          <w:ilvl w:val="0"/>
          <w:numId w:val="342"/>
        </w:numPr>
        <w:rPr>
          <w:rFonts w:ascii="Arial" w:cs="Arial" w:eastAsia="Arial" w:hAnsi="Arial"/>
          <w:sz w:val="18"/>
          <w:szCs w:val="18"/>
          <w:u w:val="single" w:color="auto"/>
          <w:color w:val="auto"/>
        </w:rPr>
      </w:pPr>
      <w:r>
        <w:rPr>
          <w:rFonts w:ascii="Arial" w:cs="Arial" w:eastAsia="Arial" w:hAnsi="Arial"/>
          <w:sz w:val="18"/>
          <w:szCs w:val="18"/>
          <w:color w:val="auto"/>
        </w:rPr>
        <w:t>supersedes Section 5 of the Sponsor Letter in all respects, and, upon execution of this Investor Rights Agreement by each of PubCo, the Sponsor and each Sponsor Principal, the Sponsor Letter shall be deemed amended to remove Section 5 of the Sponsor Letter.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Assignment; Successors and Assigns; No Third Party Beneficiaries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2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Except as otherwise permitted pursuant to this Investor Rights Agreement, and other than assignments in connection with a distribution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no Party may assign such Party’s rights and obligations under this Investor Rights Agreement, in whole or in part, without the prior written consent of Opal HoldCo, in the case of an assignment by a Founder Holder, or the Sponsor, in the case of an assignment by a Seller. Any such assignee may not again assign those rights, other than in accordance with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attempted assignment of rights or obligations in violation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null and void.</w:t>
      </w:r>
    </w:p>
    <w:p>
      <w:pPr>
        <w:spacing w:after="0" w:line="79" w:lineRule="exact"/>
        <w:rPr>
          <w:rFonts w:ascii="Arial" w:cs="Arial" w:eastAsia="Arial" w:hAnsi="Arial"/>
          <w:sz w:val="18"/>
          <w:szCs w:val="18"/>
          <w:color w:val="auto"/>
        </w:rPr>
      </w:pPr>
    </w:p>
    <w:p>
      <w:pPr>
        <w:ind w:firstLine="987"/>
        <w:spacing w:after="0" w:line="268" w:lineRule="auto"/>
        <w:tabs>
          <w:tab w:leader="none" w:pos="124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Investor Rights Agreement (other than the succeeding sentence of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(i) prior to the expiration of the Lock-Up Period with respect to any Lock-Up Shares of a Holder, such Holder may not Transfer such Holder’s rights or obligations under this Investor Rights Agreement in connection with a Transfer of such Holder’s Registrable Securities, in whole or in part, except in connection with a Transfer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(ii) after the expiration of the Lock-Up Period with respect to such Lock-Up Shares, such Holder may Transfer such Holder’s rights or obligations under this Investor Rights Agreement in connection with a Transfer of such Holder’s Registrable Securities, in whole or in part, to (A) any of such Holder’s Permitted Transferees or (B) any Person with the prior written consent of PubCo. Any Transferee of Registrable Securities (other than pursuant to an effective Registration Statement or an SEC Rule 144 transaction)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whereupon such Transferee will be treated as a Party (with the same rights and obligations as the Transferor) for all purposes of this Investor Rights Agreement.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w:t>
      </w:r>
    </w:p>
    <w:p>
      <w:pPr>
        <w:spacing w:after="0" w:line="76" w:lineRule="exact"/>
        <w:rPr>
          <w:rFonts w:ascii="Arial" w:cs="Arial" w:eastAsia="Arial" w:hAnsi="Arial"/>
          <w:sz w:val="17"/>
          <w:szCs w:val="17"/>
          <w:color w:val="auto"/>
        </w:rPr>
      </w:pPr>
    </w:p>
    <w:p>
      <w:pPr>
        <w:ind w:right="200" w:firstLine="987"/>
        <w:spacing w:after="0" w:line="311" w:lineRule="auto"/>
        <w:tabs>
          <w:tab w:leader="none" w:pos="123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40" w:lineRule="exact"/>
        <w:rPr>
          <w:rFonts w:ascii="Arial" w:cs="Arial" w:eastAsia="Arial" w:hAnsi="Arial"/>
          <w:sz w:val="16"/>
          <w:szCs w:val="16"/>
          <w:color w:val="auto"/>
        </w:rPr>
      </w:pPr>
    </w:p>
    <w:p>
      <w:pPr>
        <w:ind w:right="100" w:firstLine="987"/>
        <w:spacing w:after="0" w:line="263" w:lineRule="auto"/>
        <w:tabs>
          <w:tab w:leader="none" w:pos="12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41" w:name="page342"/>
    <w:bookmarkEnd w:id="341"/>
    <w:p>
      <w:pPr>
        <w:ind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Investor Rights Agreement shall terminate as set forth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The remainder of this Investor Rights Agreement shall terminate automatically (without any action by any Party) as to each Holder when such Holder ceases to Beneficially Own any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survive any such termination with respect to such Holder.</w:t>
      </w:r>
    </w:p>
    <w:p>
      <w:pPr>
        <w:spacing w:after="0" w:line="149"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Entire Agreement; Amendments; No Waiver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This Investor Rights Agreement, together with Exhibits to this Investor Rights Agreement, the BCA, the OpCo LLC Agreement, all other Ancillary Documents,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79" w:lineRule="exact"/>
        <w:rPr>
          <w:rFonts w:ascii="Arial" w:cs="Arial" w:eastAsia="Arial" w:hAnsi="Arial"/>
          <w:sz w:val="18"/>
          <w:szCs w:val="18"/>
          <w:color w:val="auto"/>
        </w:rPr>
      </w:pPr>
    </w:p>
    <w:p>
      <w:pPr>
        <w:ind w:right="100" w:firstLine="987"/>
        <w:spacing w:after="0" w:line="270" w:lineRule="auto"/>
        <w:tabs>
          <w:tab w:leader="none" w:pos="1246"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No provision of this Investor Rights Agreement may be amended or modified in whole or in part at any time without the express written consent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in any event at least the Holders holding in the aggregate more than fifty percent (50%) of the Registrable Securities Beneficially Owned by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or modification that would be materially adverse in any respect to any Holder shall require the prior written consent of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a provision that has terminated with respect to a Party shall not require any consent of such Party (and such Party’s Class A Common Stock shall not be considered in computing any percentages) with respect to amending or modifying such provision.</w:t>
      </w:r>
    </w:p>
    <w:p>
      <w:pPr>
        <w:spacing w:after="0" w:line="72" w:lineRule="exact"/>
        <w:rPr>
          <w:rFonts w:ascii="Arial" w:cs="Arial" w:eastAsia="Arial" w:hAnsi="Arial"/>
          <w:sz w:val="17"/>
          <w:szCs w:val="17"/>
          <w:color w:val="auto"/>
        </w:rPr>
      </w:pPr>
    </w:p>
    <w:p>
      <w:pPr>
        <w:ind w:right="60" w:firstLine="987"/>
        <w:spacing w:after="0" w:line="290" w:lineRule="auto"/>
        <w:tabs>
          <w:tab w:leader="none" w:pos="123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No waiver of any provision or default under, nor consent to any exception to, the terms of this Investor Rights Agreement shall be effective unless in writing and signed by the Party to be bound and then only to the specific purpose, extent and instance so provided; provided that, notwithstanding the foregoing, no waiver of any provision or default under, nor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at least the Holders holding, in the aggregate, more than fifty percent (50%) of the Registrable Securities Beneficially Owned by the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42" w:name="page343"/>
    <w:bookmarkEnd w:id="342"/>
    <w:p>
      <w:pPr>
        <w:ind w:right="280" w:firstLine="987"/>
        <w:spacing w:after="0" w:line="301" w:lineRule="auto"/>
        <w:tabs>
          <w:tab w:leader="none" w:pos="1246" w:val="left"/>
        </w:tabs>
        <w:numPr>
          <w:ilvl w:val="0"/>
          <w:numId w:val="3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other than with respect to amendments, modifications, waivers or consents relating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no amendment, modification, waiver or consent shall be required by (i) the Sponsor or its Permitted Transferees, with respect to any provision that has,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terminated as to the Founder Holders or (ii) any Seller or its Permitted Transferees, with respect to any provision that has,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 terminated as to such Seller or all of the Sellers.</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Counterparts; Electronic Delivery</w:t>
      </w:r>
      <w:r>
        <w:rPr>
          <w:rFonts w:ascii="Arial" w:cs="Arial" w:eastAsia="Arial" w:hAnsi="Arial"/>
          <w:sz w:val="17"/>
          <w:szCs w:val="17"/>
          <w:color w:val="auto"/>
        </w:rPr>
        <w:t>. This Investor Rights Agreement and any other agreements, certificates, instruments and documents delivered pursuant to this Investor Rights Agreement may be executed and delivered in one or more counterparts and by email or other electronic transmission,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spacing w:after="0" w:line="176"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63" w:lineRule="exact"/>
        <w:rPr>
          <w:sz w:val="20"/>
          <w:szCs w:val="20"/>
          <w:color w:val="auto"/>
        </w:rPr>
      </w:pPr>
    </w:p>
    <w:p>
      <w:pPr>
        <w:ind w:left="1420" w:hanging="439"/>
        <w:spacing w:after="0"/>
        <w:tabs>
          <w:tab w:leader="none" w:pos="14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to PubCo,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Opal Fuels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3" w:name="page344"/>
    <w:bookmarkEnd w:id="34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Sheppard, Mullin, Richter &amp; Hampton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Felner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5279"/>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5239"/>
        <w:spacing w:after="0"/>
        <w:rPr>
          <w:sz w:val="20"/>
          <w:szCs w:val="20"/>
          <w:color w:val="auto"/>
        </w:rPr>
      </w:pPr>
      <w:r>
        <w:rPr>
          <w:rFonts w:ascii="Arial" w:cs="Arial" w:eastAsia="Arial" w:hAnsi="Arial"/>
          <w:sz w:val="18"/>
          <w:szCs w:val="18"/>
          <w:color w:val="auto"/>
        </w:rPr>
        <w:t>jbooher@sheppardmullin.com</w:t>
      </w:r>
    </w:p>
    <w:p>
      <w:pPr>
        <w:spacing w:after="0" w:line="116" w:lineRule="exact"/>
        <w:rPr>
          <w:sz w:val="20"/>
          <w:szCs w:val="20"/>
          <w:color w:val="auto"/>
        </w:rPr>
      </w:pPr>
    </w:p>
    <w:p>
      <w:pPr>
        <w:ind w:left="440" w:hanging="439"/>
        <w:spacing w:after="0"/>
        <w:tabs>
          <w:tab w:leader="none" w:pos="4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to any Seller,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8"/>
          <w:szCs w:val="18"/>
          <w:color w:val="auto"/>
        </w:rPr>
        <w:t>Attn:</w:t>
        <w:tab/>
        <w: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Andrew M. Felner</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5319"/>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5279"/>
        <w:spacing w:after="0"/>
        <w:rPr>
          <w:sz w:val="20"/>
          <w:szCs w:val="20"/>
          <w:color w:val="auto"/>
        </w:rPr>
      </w:pPr>
      <w:r>
        <w:rPr>
          <w:rFonts w:ascii="Arial" w:cs="Arial" w:eastAsia="Arial" w:hAnsi="Arial"/>
          <w:sz w:val="18"/>
          <w:szCs w:val="18"/>
          <w:color w:val="auto"/>
        </w:rPr>
        <w:t>jbooher@sheppardmullin.com</w:t>
      </w:r>
    </w:p>
    <w:p>
      <w:pPr>
        <w:spacing w:after="0" w:line="116" w:lineRule="exact"/>
        <w:rPr>
          <w:sz w:val="20"/>
          <w:szCs w:val="20"/>
          <w:color w:val="auto"/>
        </w:rPr>
      </w:pPr>
    </w:p>
    <w:p>
      <w:pPr>
        <w:ind w:left="440" w:hanging="439"/>
        <w:spacing w:after="0"/>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to any Founder Holder,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ArcLight CTC Holdings II, 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christine.miller@arclightclean.com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39"/>
          </w:cols>
          <w:pgMar w:left="1420" w:top="274" w:right="1440" w:bottom="1440" w:gutter="0" w:footer="0" w:header="0"/>
        </w:sectPr>
      </w:pPr>
    </w:p>
    <w:bookmarkStart w:id="344" w:name="page345"/>
    <w:bookmarkEnd w:id="344"/>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964"/>
        <w:spacing w:after="0"/>
        <w:tabs>
          <w:tab w:leader="none" w:pos="2584" w:val="left"/>
        </w:tabs>
        <w:rPr>
          <w:sz w:val="20"/>
          <w:szCs w:val="20"/>
          <w:color w:val="auto"/>
        </w:rPr>
      </w:pPr>
      <w:r>
        <w:rPr>
          <w:rFonts w:ascii="Arial" w:cs="Arial" w:eastAsia="Arial" w:hAnsi="Arial"/>
          <w:sz w:val="18"/>
          <w:szCs w:val="18"/>
          <w:color w:val="auto"/>
        </w:rPr>
        <w:t>Attn:</w:t>
        <w:tab/>
        <w:t>Doug Bacon, P.C.</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E-mail: douglas.bacon@kirkland.com</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jennifer.gasser@kirkland.com</w:t>
      </w:r>
    </w:p>
    <w:p>
      <w:pPr>
        <w:spacing w:after="0" w:line="21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Investor Rights Agreement and prior to such notice to the others in writing in the manner set forth above.</w:t>
      </w:r>
    </w:p>
    <w:p>
      <w:pPr>
        <w:spacing w:after="0" w:line="170"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Investor Rights Agreement and the consummation of the transactions contemplated by this Investor Rights Agreement, and any action, suit, dispute, controversy or claim arising out of this Investor Rights Agreement and the consummation of the transactions contemplated by this Investor Rights Agreement, or the validity, interpretation, breach or termination of this Investor Rights Agreement and the consummation of the transactions contemplated by this Investor Rights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8" w:lineRule="exact"/>
        <w:rPr>
          <w:sz w:val="20"/>
          <w:szCs w:val="20"/>
          <w:color w:val="auto"/>
        </w:rPr>
      </w:pPr>
    </w:p>
    <w:p>
      <w:pPr>
        <w:ind w:left="4" w:right="260" w:firstLine="440"/>
        <w:spacing w:after="0" w:line="271"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HEREBY IRREVOCABLY AND UNCONDITIONALLY WAIVES, TO THE FULLEST EXTENT PERMITTED BY LAW, ANY RIGHT IT MAY HAVE TO A TRIAL BY JURY WITH RESPECT TO ANY PROCEEDING, CLAIM, DEMAND, ACTION, OR CAUSE OF ACTION (A) ARISING UNDER THIS INVESTOR RIGHTS AGREEMENT OR</w:t>
      </w:r>
    </w:p>
    <w:p>
      <w:pPr>
        <w:ind w:left="4" w:hanging="4"/>
        <w:spacing w:after="0" w:line="251" w:lineRule="auto"/>
        <w:tabs>
          <w:tab w:leader="none" w:pos="28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ANY WAY CONNECTED WITH OR RELATED OR INCIDENTAL TO THE DEALINGS OF THE PARTIES IN RESPECT OF THIS INVESTOR RIGHTS AGREEMENT OR ANY OF THE TRANSACTIONS RELATED HERETO OR ANY FINANCING IN CONNECTION WITH THE TRANSACTIONS CONTEMPLATED 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INVESTOR RIGHTS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INVESTOR RIGHTS AGREEMENT BY, AMONG OTHER THINGS, THE MUTUAL WAIVERS AND CERTIFICATIONS IN THIS Section 4.8.</w:t>
      </w:r>
    </w:p>
    <w:p>
      <w:pPr>
        <w:spacing w:after="0" w:line="12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4" w:right="519" w:bottom="1440" w:gutter="0" w:footer="0" w:header="0"/>
        </w:sectPr>
      </w:pPr>
    </w:p>
    <w:bookmarkStart w:id="345" w:name="page346"/>
    <w:bookmarkEnd w:id="345"/>
    <w:p>
      <w:pPr>
        <w:ind w:right="4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4.9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irrevocably and unconditionally submits to the exclusive jurisdiction of the Chancery Court of the State of Delaware and any state appellate court therefrom within the State of Delaware (or, if the Chancery Court of the State of Delaware declines to accept jurisdiction, the Superior Court of the State of Delaware, or the United States District Court for the District of Delaware and, in each case, the appellate court(s) therefrom), for the purposes of any Proceeding, claim, demand, action or cause of action (a) arising under this Investor Rights Agreement or (b) in any way connected with or related or incidental to the dealings of the Parties in respect of this Agreement or any of the transactions contemplated 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Investor Rights Agreement or (ii) in any way connected with or related or incidental to the dealings of the Parties in respect of this Investor Rights Agreement or any of the transactions contemplated hereby, (A) any claim that such Party is not personally subject to the jurisdiction of the courts as described in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(1) the Proceeding, claim, demand, action or cause of action in any such court is brought against such Party in an inconvenient forum, (2) the venue of such Proceeding, claim, demand, action or cause of action against such Party is improper or (3) this Investor Rights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shall be effective service of process for any such Proceeding, claim, demand, action or cause of action.</w:t>
      </w:r>
    </w:p>
    <w:p>
      <w:pPr>
        <w:spacing w:after="0" w:line="17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hereby agrees and acknowledges that it will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Proceeding should be brought in equity to enforce any of the provisions of this Investor Rights Agreement, none of the Parties shall raise the defense that there is an adequate remedy at Law.</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Subsequent Acquisition of Shares</w:t>
      </w:r>
      <w:r>
        <w:rPr>
          <w:rFonts w:ascii="Arial" w:cs="Arial" w:eastAsia="Arial" w:hAnsi="Arial"/>
          <w:sz w:val="18"/>
          <w:szCs w:val="18"/>
          <w:color w:val="auto"/>
        </w:rPr>
        <w:t>. Any Equity Securities of PubCo or Operating Company acquired subsequent to the Effective Date by a Holder shall be subject to the terms and conditions of this Investor Rights Agreement and such Equity Securities shall be considered to be “Registrable Securities.”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346" w:name="page347"/>
    <w:bookmarkEnd w:id="346"/>
    <w:p>
      <w:pPr>
        <w:ind w:left="4"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Arial" w:cs="Arial" w:eastAsia="Arial" w:hAnsi="Arial"/>
          <w:sz w:val="16"/>
          <w:szCs w:val="16"/>
          <w:u w:val="single" w:color="auto"/>
          <w:color w:val="auto"/>
        </w:rPr>
        <w:t>Legends</w:t>
      </w:r>
      <w:r>
        <w:rPr>
          <w:rFonts w:ascii="Arial" w:cs="Arial" w:eastAsia="Arial" w:hAnsi="Arial"/>
          <w:sz w:val="16"/>
          <w:szCs w:val="16"/>
          <w:color w:val="auto"/>
        </w:rPr>
        <w:t>. Each of the Holders acknowledges that (a) no Transfer, hypothecation or assignment of any Registrable Securities Beneficially Owned by such Holder may be made except in compliance with applicable federal and state securities Laws and (b) PubCo shall (i) place customary restrictive legends on the certificates or book entries representing the Registrable Securities subject to this Investor Rights Agreement and</w:t>
      </w:r>
    </w:p>
    <w:p>
      <w:pPr>
        <w:spacing w:after="0" w:line="2" w:lineRule="exact"/>
        <w:rPr>
          <w:sz w:val="20"/>
          <w:szCs w:val="20"/>
          <w:color w:val="auto"/>
        </w:rPr>
      </w:pPr>
    </w:p>
    <w:p>
      <w:pPr>
        <w:ind w:left="4" w:right="580" w:hanging="4"/>
        <w:spacing w:after="0" w:line="260" w:lineRule="auto"/>
        <w:tabs>
          <w:tab w:leader="none" w:pos="26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remove such restrictive legends at the time the applicable Transfer and other restrictions contemplated thereby are no longer applicable to the Registrable Securities represented by such certificates or book entries.</w:t>
      </w:r>
    </w:p>
    <w:p>
      <w:pPr>
        <w:spacing w:after="0" w:line="18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No Third Party Liabilities</w:t>
      </w:r>
      <w:r>
        <w:rPr>
          <w:rFonts w:ascii="Arial" w:cs="Arial" w:eastAsia="Arial" w:hAnsi="Arial"/>
          <w:sz w:val="17"/>
          <w:szCs w:val="17"/>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(including any Person negotiating or executing this Investor Rights Agreement on behalf of a Party),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82" w:lineRule="exact"/>
        <w:rPr>
          <w:sz w:val="20"/>
          <w:szCs w:val="20"/>
          <w:color w:val="auto"/>
        </w:rPr>
      </w:pPr>
    </w:p>
    <w:p>
      <w:pPr>
        <w:ind w:left="4" w:right="240" w:firstLine="440"/>
        <w:spacing w:after="0" w:line="285"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Each of the Parties recognizes that it, or its Affiliates and Representatives, has acquired or will acquire Confidential Information the use or disclosure of which could cause PubCo substantial loss and damages that could not be readily calculated and for which no remedy at Law would be adequate. Accordingly, each of the Parties covenants and agrees with PubCo that it will not (and will cause its respective controlled Affiliates and Representatives not to) at any time, except with the prior written consent of PubCo, directly or indirectly, disclose any Confidential Information known to it to any third party, unless (a) such information becomes known to the public through no fault of such Party,</w:t>
      </w:r>
    </w:p>
    <w:p>
      <w:pPr>
        <w:spacing w:after="0" w:line="2" w:lineRule="exact"/>
        <w:rPr>
          <w:sz w:val="20"/>
          <w:szCs w:val="20"/>
          <w:color w:val="auto"/>
        </w:rPr>
      </w:pPr>
    </w:p>
    <w:p>
      <w:pPr>
        <w:ind w:left="4" w:right="40" w:hanging="4"/>
        <w:spacing w:after="0" w:line="286" w:lineRule="auto"/>
        <w:tabs>
          <w:tab w:leader="none" w:pos="25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disclosure is required by applicable Law or court of competent jurisdiction or requested by a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Party promptly notifies PubCo of such requirement or request and takes commercially reasonable steps, at the sole cost and expense of PubCo, to minimize the extent of any such required disclosure, (c) such information was available or becomes available to such Party before, on or after the Effective Date, without restriction, from a source (other than PubCo) without any breach of duty to PubCo or (d) such information was independently developed by such Party or its Representatives without the use of Confidential Information. Notwithstanding the foregoing, nothing in this Investor Rights Agreement shall prohibit any Party from disclosing Confidential Information to any Affiliate, Representative, limited partner, member or shareholder of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bound by an obligation of confidentiality with respect to such Confidential Information and such Party shall be responsible for any breach of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by any such Person. No Confidential Information shall be deemed to be provided to any Person, including any Affiliate of any Party, unless such Confidential Information is actually provided to such Person.</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47" w:name="page348"/>
    <w:bookmarkEnd w:id="3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right="80" w:firstLine="987"/>
        <w:spacing w:after="0" w:line="286" w:lineRule="auto"/>
        <w:tabs>
          <w:tab w:leader="none" w:pos="123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 Holder of Registrable Securities is participating, PubCo agrees to indemnify, to the extent permitted by law, each such Holder of Registrable Securities, its officers, directors, employees, advisors, agents, Representatives, members and each Person who controls such Holder (within the meaning of the Securities Act) against all losses, claims, damages, liabilities and expenses (including attorneys’ fees and inclusive of all reasonable attorneys’ fees arising out of the enforcement of each such Persons’ rights under</w:t>
      </w:r>
    </w:p>
    <w:p>
      <w:pPr>
        <w:spacing w:after="0" w:line="1"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in the light of the circumstances in which they were made, not misleading, except insofar as the same are caused by or contained in any information furnished in writing to PubCo by such Holder expressly for use therein. PubCo shall indemnify the Underwriters, their officers and directors and each Person who controls such Underwriters (within the meaning of the Securities Act) to the same extent as provided in the foregoing with respect to the indemnification of the Holder. Notwithstanding the foregoing, the indemnity agreement contained in this </w:t>
      </w: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shall not apply to amounts paid in settlement of any such claim or proceeding if such settlement is effected without the consent of PubCo, which consent shall not be unreasonably withheld, conditioned or delayed.</w:t>
      </w:r>
    </w:p>
    <w:p>
      <w:pPr>
        <w:spacing w:after="0" w:line="75" w:lineRule="exact"/>
        <w:rPr>
          <w:rFonts w:ascii="Arial" w:cs="Arial" w:eastAsia="Arial" w:hAnsi="Arial"/>
          <w:sz w:val="16"/>
          <w:szCs w:val="16"/>
          <w:color w:val="auto"/>
        </w:rPr>
      </w:pPr>
    </w:p>
    <w:p>
      <w:pPr>
        <w:ind w:right="40" w:firstLine="987"/>
        <w:spacing w:after="0" w:line="287" w:lineRule="auto"/>
        <w:tabs>
          <w:tab w:leader="none" w:pos="124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and any other Holders of Registrable Securities participating in the Registration,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59" w:lineRule="exact"/>
        <w:rPr>
          <w:rFonts w:ascii="Arial" w:cs="Arial" w:eastAsia="Arial" w:hAnsi="Arial"/>
          <w:sz w:val="16"/>
          <w:szCs w:val="16"/>
          <w:color w:val="auto"/>
        </w:rPr>
      </w:pPr>
    </w:p>
    <w:p>
      <w:pPr>
        <w:ind w:firstLine="987"/>
        <w:spacing w:after="0" w:line="259"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Person entitled to indemnification herein shall (i) give prompt written notice to the indemnifying party of any claim with respect to which it seeks indemnification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prompt notice shall not impair any Person’s right to indemnification hereunder to the extent such failure has not materially prejudiced the indemnifying party’s ability to defend such action) and (ii) unless in such indemnified party’s reasonable judgment a conflict of interest between such indemnified and indemnifying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8" w:name="page349"/>
    <w:bookmarkEnd w:id="34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exist with respect to such claim or there may be reasonable defenses available to the indemnified party that are different from or additional to those available to the indemnifying party,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60" w:lineRule="exact"/>
        <w:rPr>
          <w:sz w:val="20"/>
          <w:szCs w:val="20"/>
          <w:color w:val="auto"/>
        </w:rPr>
      </w:pPr>
    </w:p>
    <w:p>
      <w:pPr>
        <w:ind w:firstLine="987"/>
        <w:spacing w:after="0" w:line="301" w:lineRule="auto"/>
        <w:tabs>
          <w:tab w:leader="none" w:pos="124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Holder of Registrable Securities participating in an offering also agrees to make such provisions as are reasonably requested by any indemnified party for contribution to such party in the event PubCo’s or such Holder’s indemnification is unavailable for any reason.</w:t>
      </w:r>
    </w:p>
    <w:p>
      <w:pPr>
        <w:spacing w:after="0" w:line="49" w:lineRule="exact"/>
        <w:rPr>
          <w:rFonts w:ascii="Arial" w:cs="Arial" w:eastAsia="Arial" w:hAnsi="Arial"/>
          <w:sz w:val="16"/>
          <w:szCs w:val="16"/>
          <w:color w:val="auto"/>
        </w:rPr>
      </w:pPr>
    </w:p>
    <w:p>
      <w:pPr>
        <w:ind w:right="20" w:firstLine="987"/>
        <w:spacing w:after="0" w:line="286" w:lineRule="auto"/>
        <w:tabs>
          <w:tab w:leader="none" w:pos="123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from the indemnifying party is held by a court of competent jurisdiction to be unavailable or insufficient to hold harmless an indemnified party in respect of any losses, claims, damages, liabilities and expenses referred to herein, then the indemnifying party, in lieu of indemnifying the indemnified party, shall to the extent permitted by law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a court of law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shall be limited to the amount of the net proceeds received by such Holder in such offering giving rise to such liability except in the case of fraud or willful misconduct by such Holder.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4.15(c)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were determined by pro rata allocation or by any other method of allocation, which does not take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4" w:right="519" w:bottom="1440" w:gutter="0" w:footer="0" w:header="0"/>
        </w:sectPr>
      </w:pPr>
    </w:p>
    <w:bookmarkStart w:id="349" w:name="page350"/>
    <w:bookmarkEnd w:id="34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 of the equitable considerations referred to in this </w:t>
      </w:r>
      <w:r>
        <w:rPr>
          <w:rFonts w:ascii="Arial" w:cs="Arial" w:eastAsia="Arial" w:hAnsi="Arial"/>
          <w:sz w:val="18"/>
          <w:szCs w:val="18"/>
          <w:u w:val="single" w:color="auto"/>
          <w:color w:val="auto"/>
        </w:rPr>
        <w:t>Section 4.15(e)</w:t>
      </w:r>
      <w:r>
        <w:rPr>
          <w:rFonts w:ascii="Arial" w:cs="Arial" w:eastAsia="Arial" w:hAnsi="Arial"/>
          <w:sz w:val="18"/>
          <w:szCs w:val="18"/>
          <w:color w:val="auto"/>
        </w:rPr>
        <w:t xml:space="preserve">.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Section 4.15(e)</w:t>
      </w:r>
      <w:r>
        <w:rPr>
          <w:rFonts w:ascii="Arial" w:cs="Arial" w:eastAsia="Arial" w:hAnsi="Arial"/>
          <w:sz w:val="18"/>
          <w:szCs w:val="18"/>
          <w:color w:val="auto"/>
        </w:rPr>
        <w:t xml:space="preserve"> from any Person who was not guilty of such fraudulent misrepresentation.</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40"/>
          </w:cols>
          <w:pgMar w:left="440" w:top="274" w:right="91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duly executed this Investor Rights Agreement as of the Effective Date.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CTC HOLDINGS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Investor Rights Agreement]</w:t>
      </w:r>
    </w:p>
    <w:p>
      <w:pPr>
        <w:sectPr>
          <w:pgSz w:w="11900" w:h="16838" w:orient="portrait"/>
          <w:cols w:equalWidth="0" w:num="1">
            <w:col w:w="9579"/>
          </w:cols>
          <w:pgMar w:left="880" w:top="274" w:right="1440" w:bottom="1440" w:gutter="0" w:footer="0" w:header="0"/>
        </w:sectPr>
      </w:pPr>
    </w:p>
    <w:bookmarkStart w:id="351" w:name="page352"/>
    <w:bookmarkEnd w:id="351"/>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ARCC BEACON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OPAL HOLDCO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HILLMAN RNG INVESTMENTS,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Investor Rights Agreement]</w:t>
      </w:r>
    </w:p>
    <w:p>
      <w:pPr>
        <w:sectPr>
          <w:pgSz w:w="11900" w:h="16838" w:orient="portrait"/>
          <w:cols w:equalWidth="0" w:num="1">
            <w:col w:w="9019"/>
          </w:cols>
          <w:pgMar w:left="1440" w:top="270" w:right="1440" w:bottom="1440" w:gutter="0" w:footer="0" w:header="0"/>
        </w:sectPr>
      </w:pPr>
    </w:p>
    <w:bookmarkStart w:id="352" w:name="page353"/>
    <w:bookmarkEnd w:id="352"/>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 PRINCIPALS</w:t>
      </w:r>
      <w:r>
        <w:rPr>
          <w:rFonts w:ascii="Arial" w:cs="Arial" w:eastAsia="Arial" w:hAnsi="Arial"/>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Solely for purposes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Section 2.16(a)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280035</wp:posOffset>
            </wp:positionV>
            <wp:extent cx="279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Arno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Ja-Chin Audrey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Goncher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Berkenfeld</w:t>
      </w:r>
    </w:p>
    <w:p>
      <w:pPr>
        <w:spacing w:after="0" w:line="15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Investor Rights Agreement]</w:t>
      </w:r>
    </w:p>
    <w:p>
      <w:pPr>
        <w:sectPr>
          <w:pgSz w:w="11900" w:h="16838" w:orient="portrait"/>
          <w:cols w:equalWidth="0" w:num="1">
            <w:col w:w="9880"/>
          </w:cols>
          <w:pgMar w:left="1440" w:top="270" w:right="579" w:bottom="1440" w:gutter="0" w:footer="0" w:header="0"/>
        </w:sectPr>
      </w:pPr>
    </w:p>
    <w:bookmarkStart w:id="353" w:name="page354"/>
    <w:bookmarkEnd w:id="353"/>
    <w:tbl>
      <w:tblPr>
        <w:tblLayout w:type="fixed"/>
        <w:tblInd w:w="4"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Exhibit A</w:t>
            </w:r>
          </w:p>
        </w:tc>
        <w:tc>
          <w:tcPr>
            <w:tcW w:w="12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Form of Joinder</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300" w:type="dxa"/>
            <w:vAlign w:val="bottom"/>
          </w:tcPr>
          <w:p>
            <w:pPr>
              <w:spacing w:after="0"/>
              <w:rPr>
                <w:sz w:val="24"/>
                <w:szCs w:val="24"/>
                <w:color w:val="auto"/>
              </w:rPr>
            </w:pPr>
          </w:p>
        </w:tc>
        <w:tc>
          <w:tcPr>
            <w:tcW w:w="6800" w:type="dxa"/>
            <w:vAlign w:val="bottom"/>
            <w:gridSpan w:val="11"/>
          </w:tcPr>
          <w:p>
            <w:pPr>
              <w:ind w:left="140"/>
              <w:spacing w:after="0"/>
              <w:rPr>
                <w:sz w:val="20"/>
                <w:szCs w:val="20"/>
                <w:color w:val="auto"/>
              </w:rPr>
            </w:pPr>
            <w:r>
              <w:rPr>
                <w:rFonts w:ascii="Arial" w:cs="Arial" w:eastAsia="Arial" w:hAnsi="Arial"/>
                <w:sz w:val="18"/>
                <w:szCs w:val="18"/>
                <w:color w:val="auto"/>
              </w:rPr>
              <w:t>This Joinder (this “Joinder”) to the Investor Rights Agreement, made as of</w:t>
            </w:r>
          </w:p>
        </w:tc>
        <w:tc>
          <w:tcPr>
            <w:tcW w:w="1440" w:type="dxa"/>
            <w:vAlign w:val="bottom"/>
          </w:tcPr>
          <w:p>
            <w:pPr>
              <w:spacing w:after="0"/>
              <w:rPr>
                <w:sz w:val="20"/>
                <w:szCs w:val="20"/>
                <w:color w:val="auto"/>
              </w:rPr>
            </w:pPr>
            <w:r>
              <w:rPr>
                <w:rFonts w:ascii="Arial" w:cs="Arial" w:eastAsia="Arial" w:hAnsi="Arial"/>
                <w:sz w:val="18"/>
                <w:szCs w:val="18"/>
                <w:color w:val="auto"/>
                <w:w w:val="91"/>
              </w:rPr>
              <w:t>, is by and between</w:t>
            </w:r>
          </w:p>
        </w:tc>
        <w:tc>
          <w:tcPr>
            <w:tcW w:w="126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5"/>
              </w:rPr>
              <w:t>(“Transferor”)</w:t>
            </w:r>
          </w:p>
        </w:tc>
      </w:tr>
      <w:tr>
        <w:trPr>
          <w:trHeight w:val="20"/>
        </w:trPr>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Arial" w:cs="Arial" w:eastAsia="Arial" w:hAnsi="Arial"/>
                <w:sz w:val="18"/>
                <w:szCs w:val="18"/>
                <w:color w:val="auto"/>
                <w:w w:val="93"/>
              </w:rPr>
              <w:t>and</w:t>
            </w:r>
          </w:p>
        </w:tc>
        <w:tc>
          <w:tcPr>
            <w:tcW w:w="1260" w:type="dxa"/>
            <w:vAlign w:val="bottom"/>
          </w:tcPr>
          <w:p>
            <w:pPr>
              <w:spacing w:after="0"/>
              <w:rPr>
                <w:sz w:val="17"/>
                <w:szCs w:val="17"/>
                <w:color w:val="auto"/>
              </w:rPr>
            </w:pPr>
          </w:p>
        </w:tc>
        <w:tc>
          <w:tcPr>
            <w:tcW w:w="5540" w:type="dxa"/>
            <w:vAlign w:val="bottom"/>
            <w:gridSpan w:val="10"/>
          </w:tcPr>
          <w:p>
            <w:pPr>
              <w:ind w:left="40"/>
              <w:spacing w:after="0" w:line="196" w:lineRule="exact"/>
              <w:rPr>
                <w:sz w:val="20"/>
                <w:szCs w:val="20"/>
                <w:color w:val="auto"/>
              </w:rPr>
            </w:pPr>
            <w:r>
              <w:rPr>
                <w:rFonts w:ascii="Arial" w:cs="Arial" w:eastAsia="Arial" w:hAnsi="Arial"/>
                <w:sz w:val="18"/>
                <w:szCs w:val="18"/>
                <w:color w:val="auto"/>
              </w:rPr>
              <w:t>(“Transferee”).</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4"/>
        <w:spacing w:after="0"/>
        <w:rPr>
          <w:sz w:val="20"/>
          <w:szCs w:val="20"/>
          <w:color w:val="auto"/>
        </w:rPr>
      </w:pPr>
      <w:r>
        <w:rPr>
          <w:rFonts w:ascii="Arial" w:cs="Arial" w:eastAsia="Arial" w:hAnsi="Arial"/>
          <w:sz w:val="18"/>
          <w:szCs w:val="18"/>
          <w:color w:val="auto"/>
        </w:rPr>
        <w:t>WHEREAS, as of the date hereof, Transferee is acquiring Registrable Securities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from Transferor;</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WHEREAS, Transferor is a party to that certain Investor Rights Agreement, dated as of [•], 2022, by and among Opal Fuels Inc. (“</w:t>
      </w:r>
      <w:r>
        <w:rPr>
          <w:rFonts w:ascii="Arial" w:cs="Arial" w:eastAsia="Arial" w:hAnsi="Arial"/>
          <w:sz w:val="18"/>
          <w:szCs w:val="18"/>
          <w:u w:val="single" w:color="auto"/>
          <w:color w:val="auto"/>
        </w:rPr>
        <w:t>PubCo</w:t>
      </w:r>
      <w:r>
        <w:rPr>
          <w:rFonts w:ascii="Arial" w:cs="Arial" w:eastAsia="Arial" w:hAnsi="Arial"/>
          <w:sz w:val="18"/>
          <w:szCs w:val="18"/>
          <w:color w:val="auto"/>
        </w:rPr>
        <w:t>”) and the other persons party thereto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the Transfer of the Acquired Interests, to become a party to the Investor Rights Agreement by executing and delivering this Joinder, whereupon Transferee will be treated as a Party (with the same rights and obligations as Transferor) for all purposes of the Investor Rights Agreement.</w:t>
      </w:r>
    </w:p>
    <w:p>
      <w:pPr>
        <w:spacing w:after="0" w:line="184"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Investor Rights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Transferor hereby Transfers to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Transferee has received and read the Investor Rights Agreement,</w:t>
      </w:r>
    </w:p>
    <w:p>
      <w:pPr>
        <w:spacing w:after="0" w:line="46" w:lineRule="exact"/>
        <w:rPr>
          <w:sz w:val="20"/>
          <w:szCs w:val="20"/>
          <w:color w:val="auto"/>
        </w:rPr>
      </w:pPr>
    </w:p>
    <w:p>
      <w:pPr>
        <w:ind w:left="244" w:hanging="244"/>
        <w:spacing w:after="0"/>
        <w:tabs>
          <w:tab w:leader="none" w:pos="24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Transferee is acquiring the Acquired Interests in accordance with and subject to the terms and conditions of the Investor Rights Agreement and</w:t>
      </w:r>
    </w:p>
    <w:p>
      <w:pPr>
        <w:spacing w:after="0" w:line="32" w:lineRule="exact"/>
        <w:rPr>
          <w:rFonts w:ascii="Arial" w:cs="Arial" w:eastAsia="Arial" w:hAnsi="Arial"/>
          <w:sz w:val="16"/>
          <w:szCs w:val="16"/>
          <w:color w:val="auto"/>
        </w:rPr>
      </w:pPr>
    </w:p>
    <w:p>
      <w:pPr>
        <w:ind w:left="244" w:hanging="244"/>
        <w:spacing w:after="0"/>
        <w:tabs>
          <w:tab w:leader="none" w:pos="24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Transferee will be treated as a Party (with the same rights and obligations as Transferor) for all purposes of the Investor Rights Agreement.</w:t>
      </w:r>
    </w:p>
    <w:p>
      <w:pPr>
        <w:spacing w:after="0" w:line="222"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Investor Rights Agreement shall be given to Transferee at the address set forth on the signature page hereto in accordance with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the Investor Rights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ectPr>
          <w:pgSz w:w="11900" w:h="16838" w:orient="portrait"/>
          <w:cols w:equalWidth="0" w:num="1">
            <w:col w:w="10884"/>
          </w:cols>
          <w:pgMar w:left="436" w:top="257" w:right="579" w:bottom="1440" w:gutter="0" w:footer="0" w:header="0"/>
        </w:sectPr>
      </w:pPr>
    </w:p>
    <w:bookmarkStart w:id="354" w:name="page355"/>
    <w:bookmarkEnd w:id="354"/>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860"/>
          </w:cols>
          <w:pgMar w:left="440" w:top="274" w:right="599" w:bottom="1440" w:gutter="0" w:footer="0" w:header="0"/>
        </w:sectPr>
      </w:pPr>
    </w:p>
    <w:bookmarkStart w:id="355" w:name="page356"/>
    <w:bookmarkEnd w:id="3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[TRANSFEROR]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[TRANSFEREE]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443230</wp:posOffset>
            </wp:positionV>
            <wp:extent cx="27946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597535</wp:posOffset>
            </wp:positionV>
            <wp:extent cx="27946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E6400E6"/>
    <w:multiLevelType w:val="hybridMultilevel"/>
    <w:lvl w:ilvl="0">
      <w:lvlJc w:val="left"/>
      <w:lvlText w:val="☒"/>
      <w:numFmt w:val="bullet"/>
      <w:start w:val="1"/>
    </w:lvl>
  </w:abstractNum>
  <w:abstractNum w:abstractNumId="1">
    <w:nsid w:val="14217E23"/>
    <w:multiLevelType w:val="hybridMultilevel"/>
    <w:lvl w:ilvl="0">
      <w:lvlJc w:val="left"/>
      <w:lvlText w:val="☐"/>
      <w:numFmt w:val="bullet"/>
      <w:start w:val="1"/>
    </w:lvl>
  </w:abstractNum>
  <w:abstractNum w:abstractNumId="2">
    <w:nsid w:val="710757D0"/>
    <w:multiLevelType w:val="hybridMultilevel"/>
    <w:lvl w:ilvl="0">
      <w:lvlJc w:val="left"/>
      <w:lvlText w:val="(%1)"/>
      <w:numFmt w:val="lowerRoman"/>
      <w:start w:val="3"/>
    </w:lvl>
  </w:abstractNum>
  <w:abstractNum w:abstractNumId="3">
    <w:nsid w:val="5015CD1A"/>
    <w:multiLevelType w:val="hybridMultilevel"/>
    <w:lvl w:ilvl="0">
      <w:lvlJc w:val="left"/>
      <w:lvlText w:val="(%1)"/>
      <w:numFmt w:val="lowerRoman"/>
      <w:start w:val="1"/>
    </w:lvl>
  </w:abstractNum>
  <w:abstractNum w:abstractNumId="4">
    <w:nsid w:val="424479DA"/>
    <w:multiLevelType w:val="hybridMultilevel"/>
    <w:lvl w:ilvl="0">
      <w:lvlJc w:val="left"/>
      <w:lvlText w:val="(%1)"/>
      <w:numFmt w:val="lowerRoman"/>
      <w:start w:val="3"/>
    </w:lvl>
  </w:abstractNum>
  <w:abstractNum w:abstractNumId="5">
    <w:nsid w:val="1A9A9E69"/>
    <w:multiLevelType w:val="hybridMultilevel"/>
    <w:lvl w:ilvl="0">
      <w:lvlJc w:val="left"/>
      <w:lvlText w:val="(%1)"/>
      <w:numFmt w:val="lowerLetter"/>
      <w:start w:val="4"/>
    </w:lvl>
  </w:abstractNum>
  <w:abstractNum w:abstractNumId="6">
    <w:nsid w:val="475E256A"/>
    <w:multiLevelType w:val="hybridMultilevel"/>
    <w:lvl w:ilvl="0">
      <w:lvlJc w:val="left"/>
      <w:lvlText w:val="†"/>
      <w:numFmt w:val="bullet"/>
      <w:start w:val="1"/>
    </w:lvl>
  </w:abstractNum>
  <w:abstractNum w:abstractNumId="7">
    <w:nsid w:val="368DB37E"/>
    <w:multiLevelType w:val="hybridMultilevel"/>
    <w:lvl w:ilvl="0">
      <w:lvlJc w:val="left"/>
      <w:lvlText w:val="(%1)"/>
      <w:numFmt w:val="lowerLetter"/>
      <w:start w:val="2"/>
    </w:lvl>
  </w:abstractNum>
  <w:abstractNum w:abstractNumId="8">
    <w:nsid w:val="6A3B714C"/>
    <w:multiLevelType w:val="hybridMultilevel"/>
    <w:lvl w:ilvl="0">
      <w:lvlJc w:val="left"/>
      <w:lvlText w:val="(%1)"/>
      <w:numFmt w:val="lowerLetter"/>
      <w:start w:val="4"/>
    </w:lvl>
  </w:abstractNum>
  <w:abstractNum w:abstractNumId="9">
    <w:nsid w:val="327B517E"/>
    <w:multiLevelType w:val="hybridMultilevel"/>
    <w:lvl w:ilvl="0">
      <w:lvlJc w:val="left"/>
      <w:lvlText w:val="(%1)"/>
      <w:numFmt w:val="lowerRoman"/>
      <w:start w:val="5"/>
    </w:lvl>
  </w:abstractNum>
  <w:abstractNum w:abstractNumId="10">
    <w:nsid w:val="1F461B51"/>
    <w:multiLevelType w:val="hybridMultilevel"/>
    <w:lvl w:ilvl="0">
      <w:lvlJc w:val="left"/>
      <w:lvlText w:val="(%1)"/>
      <w:numFmt w:val="lowerLetter"/>
      <w:start w:val="6"/>
    </w:lvl>
  </w:abstractNum>
  <w:abstractNum w:abstractNumId="11">
    <w:nsid w:val="29BACF25"/>
    <w:multiLevelType w:val="hybridMultilevel"/>
    <w:lvl w:ilvl="0">
      <w:lvlJc w:val="left"/>
      <w:lvlText w:val="(%1)"/>
      <w:numFmt w:val="lowerRoman"/>
      <w:start w:val="3"/>
    </w:lvl>
  </w:abstractNum>
  <w:abstractNum w:abstractNumId="12">
    <w:nsid w:val="5D5BABB3"/>
    <w:multiLevelType w:val="hybridMultilevel"/>
    <w:lvl w:ilvl="0">
      <w:lvlJc w:val="left"/>
      <w:lvlText w:val="(%1)"/>
      <w:numFmt w:val="lowerRoman"/>
      <w:start w:val="1"/>
    </w:lvl>
  </w:abstractNum>
  <w:abstractNum w:abstractNumId="13">
    <w:nsid w:val="51BF6B48"/>
    <w:multiLevelType w:val="hybridMultilevel"/>
    <w:lvl w:ilvl="0">
      <w:lvlJc w:val="left"/>
      <w:lvlText w:val="(%1)"/>
      <w:numFmt w:val="lowerLetter"/>
      <w:start w:val="2"/>
    </w:lvl>
  </w:abstractNum>
  <w:abstractNum w:abstractNumId="14">
    <w:nsid w:val="7E0F6384"/>
    <w:multiLevelType w:val="hybridMultilevel"/>
    <w:lvl w:ilvl="0">
      <w:lvlJc w:val="left"/>
      <w:lvlText w:val="(%1)"/>
      <w:numFmt w:val="lowerLetter"/>
      <w:start w:val="3"/>
    </w:lvl>
  </w:abstractNum>
  <w:abstractNum w:abstractNumId="15">
    <w:nsid w:val="2B4B8B53"/>
    <w:multiLevelType w:val="hybridMultilevel"/>
    <w:lvl w:ilvl="0">
      <w:lvlJc w:val="left"/>
      <w:lvlText w:val="(%1)"/>
      <w:numFmt w:val="lowerLetter"/>
      <w:start w:val="2"/>
    </w:lvl>
  </w:abstractNum>
  <w:abstractNum w:abstractNumId="16">
    <w:nsid w:val="72E3413A"/>
    <w:multiLevelType w:val="hybridMultilevel"/>
    <w:lvl w:ilvl="0">
      <w:lvlJc w:val="left"/>
      <w:lvlText w:val="(%1)"/>
      <w:numFmt w:val="lowerLetter"/>
      <w:start w:val="2"/>
    </w:lvl>
  </w:abstractNum>
  <w:abstractNum w:abstractNumId="17">
    <w:nsid w:val="116AE494"/>
    <w:multiLevelType w:val="hybridMultilevel"/>
    <w:lvl w:ilvl="0">
      <w:lvlJc w:val="left"/>
      <w:lvlText w:val="(%1)"/>
      <w:numFmt w:val="lowerRoman"/>
      <w:start w:val="1"/>
    </w:lvl>
  </w:abstractNum>
  <w:abstractNum w:abstractNumId="18">
    <w:nsid w:val="3494B2FB"/>
    <w:multiLevelType w:val="hybridMultilevel"/>
    <w:lvl w:ilvl="0">
      <w:lvlJc w:val="left"/>
      <w:lvlText w:val="%1"/>
      <w:numFmt w:val="decimal"/>
      <w:start w:val="1"/>
    </w:lvl>
    <w:lvl w:ilvl="1">
      <w:lvlJc w:val="left"/>
      <w:lvlText w:val="(%2)"/>
      <w:numFmt w:val="lowerLetter"/>
      <w:start w:val="1"/>
    </w:lvl>
  </w:abstractNum>
  <w:abstractNum w:abstractNumId="19">
    <w:nsid w:val="B13A31"/>
    <w:multiLevelType w:val="hybridMultilevel"/>
    <w:lvl w:ilvl="0">
      <w:lvlJc w:val="left"/>
      <w:lvlText w:val="(%1)"/>
      <w:numFmt w:val="decimal"/>
      <w:start w:val="1"/>
    </w:lvl>
    <w:lvl w:ilvl="1">
      <w:lvlJc w:val="left"/>
      <w:lvlText w:val="(%2)"/>
      <w:numFmt w:val="lowerLetter"/>
      <w:start w:val="3"/>
    </w:lvl>
  </w:abstractNum>
  <w:abstractNum w:abstractNumId="20">
    <w:nsid w:val="64429599"/>
    <w:multiLevelType w:val="hybridMultilevel"/>
    <w:lvl w:ilvl="0">
      <w:lvlJc w:val="left"/>
      <w:lvlText w:val="(%1)"/>
      <w:numFmt w:val="lowerLetter"/>
      <w:start w:val="5"/>
    </w:lvl>
  </w:abstractNum>
  <w:abstractNum w:abstractNumId="21">
    <w:nsid w:val="631F1690"/>
    <w:multiLevelType w:val="hybridMultilevel"/>
    <w:lvl w:ilvl="0">
      <w:lvlJc w:val="left"/>
      <w:lvlText w:val="(%1)"/>
      <w:numFmt w:val="lowerLetter"/>
      <w:start w:val="1"/>
    </w:lvl>
  </w:abstractNum>
  <w:abstractNum w:abstractNumId="22">
    <w:nsid w:val="25973E32"/>
    <w:multiLevelType w:val="hybridMultilevel"/>
    <w:lvl w:ilvl="0">
      <w:lvlJc w:val="left"/>
      <w:lvlText w:val="(%1)"/>
      <w:numFmt w:val="lowerLetter"/>
      <w:start w:val="2"/>
    </w:lvl>
  </w:abstractNum>
  <w:abstractNum w:abstractNumId="23">
    <w:nsid w:val="EAD6F57"/>
    <w:multiLevelType w:val="hybridMultilevel"/>
    <w:lvl w:ilvl="0">
      <w:lvlJc w:val="left"/>
      <w:lvlText w:val="(%1)"/>
      <w:numFmt w:val="lowerLetter"/>
      <w:start w:val="1"/>
    </w:lvl>
  </w:abstractNum>
  <w:abstractNum w:abstractNumId="24">
    <w:nsid w:val="6EC9D844"/>
    <w:multiLevelType w:val="hybridMultilevel"/>
    <w:lvl w:ilvl="0">
      <w:lvlJc w:val="left"/>
      <w:lvlText w:val="(%1)"/>
      <w:numFmt w:val="lowerLetter"/>
      <w:start w:val="1"/>
    </w:lvl>
  </w:abstractNum>
  <w:abstractNum w:abstractNumId="25">
    <w:nsid w:val="5C49EAEE"/>
    <w:multiLevelType w:val="hybridMultilevel"/>
    <w:lvl w:ilvl="0">
      <w:lvlJc w:val="left"/>
      <w:lvlText w:val="(%1)"/>
      <w:numFmt w:val="lowerLetter"/>
      <w:start w:val="2"/>
    </w:lvl>
  </w:abstractNum>
  <w:abstractNum w:abstractNumId="26">
    <w:nsid w:val="64AF49B"/>
    <w:multiLevelType w:val="hybridMultilevel"/>
    <w:lvl w:ilvl="0">
      <w:lvlJc w:val="left"/>
      <w:lvlText w:val="(%1)"/>
      <w:numFmt w:val="lowerLetter"/>
      <w:start w:val="1"/>
    </w:lvl>
  </w:abstractNum>
  <w:abstractNum w:abstractNumId="27">
    <w:nsid w:val="397C46BC"/>
    <w:multiLevelType w:val="hybridMultilevel"/>
    <w:lvl w:ilvl="0">
      <w:lvlJc w:val="left"/>
      <w:lvlText w:val="(%1)"/>
      <w:numFmt w:val="lowerRoman"/>
      <w:start w:val="4"/>
    </w:lvl>
    <w:lvl w:ilvl="1">
      <w:lvlJc w:val="left"/>
      <w:lvlText w:val="%2"/>
      <w:numFmt w:val="lowerLetter"/>
      <w:start w:val="1"/>
    </w:lvl>
  </w:abstractNum>
  <w:abstractNum w:abstractNumId="28">
    <w:nsid w:val="7E448DE9"/>
    <w:multiLevelType w:val="hybridMultilevel"/>
    <w:lvl w:ilvl="0">
      <w:lvlJc w:val="left"/>
      <w:lvlText w:val="(%1)"/>
      <w:numFmt w:val="lowerRoman"/>
      <w:start w:val="6"/>
    </w:lvl>
    <w:lvl w:ilvl="1">
      <w:lvlJc w:val="left"/>
      <w:lvlText w:val="(%2)"/>
      <w:numFmt w:val="lowerLetter"/>
      <w:start w:val="3"/>
    </w:lvl>
  </w:abstractNum>
  <w:abstractNum w:abstractNumId="29">
    <w:nsid w:val="5A9CC3E5"/>
    <w:multiLevelType w:val="hybridMultilevel"/>
    <w:lvl w:ilvl="0">
      <w:lvlJc w:val="left"/>
      <w:lvlText w:val="(%1)"/>
      <w:numFmt w:val="lowerRoman"/>
      <w:start w:val="2"/>
    </w:lvl>
    <w:lvl w:ilvl="1">
      <w:lvlJc w:val="left"/>
      <w:lvlText w:val="%2"/>
      <w:numFmt w:val="lowerLetter"/>
      <w:start w:val="1"/>
    </w:lvl>
  </w:abstractNum>
  <w:abstractNum w:abstractNumId="30">
    <w:nsid w:val="1AFE3625"/>
    <w:multiLevelType w:val="hybridMultilevel"/>
    <w:lvl w:ilvl="0">
      <w:lvlJc w:val="left"/>
      <w:lvlText w:val="(%1)"/>
      <w:numFmt w:val="lowerLetter"/>
      <w:start w:val="1"/>
    </w:lvl>
  </w:abstractNum>
  <w:abstractNum w:abstractNumId="31">
    <w:nsid w:val="3CA88ECF"/>
    <w:multiLevelType w:val="hybridMultilevel"/>
    <w:lvl w:ilvl="0">
      <w:lvlJc w:val="left"/>
      <w:lvlText w:val="(%1)"/>
      <w:numFmt w:val="lowerLetter"/>
      <w:start w:val="1"/>
    </w:lvl>
    <w:lvl w:ilvl="1">
      <w:lvlJc w:val="left"/>
      <w:lvlText w:val="(%2)"/>
      <w:numFmt w:val="lowerRoman"/>
      <w:start w:val="1"/>
    </w:lvl>
  </w:abstractNum>
  <w:abstractNum w:abstractNumId="32">
    <w:nsid w:val="6EBE4208"/>
    <w:multiLevelType w:val="hybridMultilevel"/>
    <w:lvl w:ilvl="0">
      <w:lvlJc w:val="left"/>
      <w:lvlText w:val="(%1)"/>
      <w:numFmt w:val="lowerRoman"/>
      <w:start w:val="4"/>
    </w:lvl>
  </w:abstractNum>
  <w:abstractNum w:abstractNumId="33">
    <w:nsid w:val="C058DF5"/>
    <w:multiLevelType w:val="hybridMultilevel"/>
    <w:lvl w:ilvl="0">
      <w:lvlJc w:val="left"/>
      <w:lvlText w:val="%1"/>
      <w:numFmt w:val="lowerLetter"/>
      <w:start w:val="1"/>
    </w:lvl>
    <w:lvl w:ilvl="1">
      <w:lvlJc w:val="left"/>
      <w:lvlText w:val="(%2)"/>
      <w:numFmt w:val="lowerRoman"/>
      <w:start w:val="13"/>
    </w:lvl>
  </w:abstractNum>
  <w:abstractNum w:abstractNumId="34">
    <w:nsid w:val="CBE5BE9"/>
    <w:multiLevelType w:val="hybridMultilevel"/>
    <w:lvl w:ilvl="0">
      <w:lvlJc w:val="left"/>
      <w:lvlText w:val="(%1)"/>
      <w:numFmt w:val="lowerLetter"/>
      <w:start w:val="2"/>
    </w:lvl>
    <w:lvl w:ilvl="1">
      <w:lvlJc w:val="left"/>
      <w:lvlText w:val="%2"/>
      <w:numFmt w:val="lowerRoman"/>
      <w:start w:val="1"/>
    </w:lvl>
  </w:abstractNum>
  <w:abstractNum w:abstractNumId="35">
    <w:nsid w:val="3102BBE2"/>
    <w:multiLevelType w:val="hybridMultilevel"/>
    <w:lvl w:ilvl="0">
      <w:lvlJc w:val="left"/>
      <w:lvlText w:val="(%1)"/>
      <w:numFmt w:val="lowerLetter"/>
      <w:start w:val="1"/>
    </w:lvl>
  </w:abstractNum>
  <w:abstractNum w:abstractNumId="36">
    <w:nsid w:val="26A02C5E"/>
    <w:multiLevelType w:val="hybridMultilevel"/>
    <w:lvl w:ilvl="0">
      <w:lvlJc w:val="left"/>
      <w:lvlText w:val="(%1)"/>
      <w:numFmt w:val="lowerLetter"/>
      <w:start w:val="3"/>
    </w:lvl>
  </w:abstractNum>
  <w:abstractNum w:abstractNumId="37">
    <w:nsid w:val="541C8153"/>
    <w:multiLevelType w:val="hybridMultilevel"/>
    <w:lvl w:ilvl="0">
      <w:lvlJc w:val="left"/>
      <w:lvlText w:val="(%1)"/>
      <w:numFmt w:val="lowerLetter"/>
      <w:start w:val="8"/>
    </w:lvl>
  </w:abstractNum>
  <w:abstractNum w:abstractNumId="38">
    <w:nsid w:val="67906F60"/>
    <w:multiLevelType w:val="hybridMultilevel"/>
    <w:lvl w:ilvl="0">
      <w:lvlJc w:val="left"/>
      <w:lvlText w:val="(%1)"/>
      <w:numFmt w:val="lowerLetter"/>
      <w:start w:val="1"/>
    </w:lvl>
  </w:abstractNum>
  <w:abstractNum w:abstractNumId="39">
    <w:nsid w:val="10DB9DAA"/>
    <w:multiLevelType w:val="hybridMultilevel"/>
    <w:lvl w:ilvl="0">
      <w:lvlJc w:val="left"/>
      <w:lvlText w:val="(%1)"/>
      <w:numFmt w:val="lowerLetter"/>
      <w:start w:val="4"/>
    </w:lvl>
  </w:abstractNum>
  <w:abstractNum w:abstractNumId="40">
    <w:nsid w:val="697D2D2"/>
    <w:multiLevelType w:val="hybridMultilevel"/>
    <w:lvl w:ilvl="0">
      <w:lvlJc w:val="left"/>
      <w:lvlText w:val="(%1)"/>
      <w:numFmt w:val="lowerLetter"/>
      <w:start w:val="1"/>
    </w:lvl>
  </w:abstractNum>
  <w:abstractNum w:abstractNumId="41">
    <w:nsid w:val="6D68AB2"/>
    <w:multiLevelType w:val="hybridMultilevel"/>
    <w:lvl w:ilvl="0">
      <w:lvlJc w:val="left"/>
      <w:lvlText w:val="(%1)"/>
      <w:numFmt w:val="upperLetter"/>
      <w:start w:val="4"/>
    </w:lvl>
    <w:lvl w:ilvl="1">
      <w:lvlJc w:val="left"/>
      <w:lvlText w:val="(%2)"/>
      <w:numFmt w:val="lowerLetter"/>
      <w:start w:val="4"/>
    </w:lvl>
  </w:abstractNum>
  <w:abstractNum w:abstractNumId="42">
    <w:nsid w:val="3A966CD0"/>
    <w:multiLevelType w:val="hybridMultilevel"/>
    <w:lvl w:ilvl="0">
      <w:lvlJc w:val="left"/>
      <w:lvlText w:val="(%1)"/>
      <w:numFmt w:val="lowerLetter"/>
      <w:start w:val="6"/>
    </w:lvl>
  </w:abstractNum>
  <w:abstractNum w:abstractNumId="43">
    <w:nsid w:val="63F37E85"/>
    <w:multiLevelType w:val="hybridMultilevel"/>
    <w:lvl w:ilvl="0">
      <w:lvlJc w:val="left"/>
      <w:lvlText w:val="(%1)"/>
      <w:numFmt w:val="lowerLetter"/>
      <w:start w:val="11"/>
    </w:lvl>
  </w:abstractNum>
  <w:abstractNum w:abstractNumId="44">
    <w:nsid w:val="5895F5FA"/>
    <w:multiLevelType w:val="hybridMultilevel"/>
    <w:lvl w:ilvl="0">
      <w:lvlJc w:val="left"/>
      <w:lvlText w:val="(%1)"/>
      <w:numFmt w:val="lowerLetter"/>
      <w:start w:val="1"/>
    </w:lvl>
  </w:abstractNum>
  <w:abstractNum w:abstractNumId="45">
    <w:nsid w:val="38A5D054"/>
    <w:multiLevelType w:val="hybridMultilevel"/>
    <w:lvl w:ilvl="0">
      <w:lvlJc w:val="left"/>
      <w:lvlText w:val="(%1)"/>
      <w:numFmt w:val="lowerLetter"/>
      <w:start w:val="4"/>
    </w:lvl>
  </w:abstractNum>
  <w:abstractNum w:abstractNumId="46">
    <w:nsid w:val="F3F09D8"/>
    <w:multiLevelType w:val="hybridMultilevel"/>
    <w:lvl w:ilvl="0">
      <w:lvlJc w:val="left"/>
      <w:lvlText w:val="(%1)"/>
      <w:numFmt w:val="lowerLetter"/>
      <w:start w:val="1"/>
    </w:lvl>
  </w:abstractNum>
  <w:abstractNum w:abstractNumId="47">
    <w:nsid w:val="4B793735"/>
    <w:multiLevelType w:val="hybridMultilevel"/>
    <w:lvl w:ilvl="0">
      <w:lvlJc w:val="left"/>
      <w:lvlText w:val="(%1)"/>
      <w:numFmt w:val="lowerLetter"/>
      <w:start w:val="2"/>
    </w:lvl>
  </w:abstractNum>
  <w:abstractNum w:abstractNumId="48">
    <w:nsid w:val="4A10B4E8"/>
    <w:multiLevelType w:val="hybridMultilevel"/>
    <w:lvl w:ilvl="0">
      <w:lvlJc w:val="left"/>
      <w:lvlText w:val="%1"/>
      <w:numFmt w:val="lowerRoman"/>
      <w:start w:val="1"/>
    </w:lvl>
    <w:lvl w:ilvl="1">
      <w:lvlJc w:val="left"/>
      <w:lvlText w:val="(%2)"/>
      <w:numFmt w:val="lowerLetter"/>
      <w:start w:val="12"/>
    </w:lvl>
  </w:abstractNum>
  <w:abstractNum w:abstractNumId="49">
    <w:nsid w:val="43D3BCD4"/>
    <w:multiLevelType w:val="hybridMultilevel"/>
    <w:lvl w:ilvl="0">
      <w:lvlJc w:val="left"/>
      <w:lvlText w:val="(%1)"/>
      <w:numFmt w:val="lowerRoman"/>
      <w:start w:val="1"/>
    </w:lvl>
    <w:lvl w:ilvl="1">
      <w:lvlJc w:val="left"/>
      <w:lvlText w:val="%2"/>
      <w:numFmt w:val="lowerLetter"/>
      <w:start w:val="1"/>
    </w:lvl>
  </w:abstractNum>
  <w:abstractNum w:abstractNumId="50">
    <w:nsid w:val="4C2A7166"/>
    <w:multiLevelType w:val="hybridMultilevel"/>
    <w:lvl w:ilvl="0">
      <w:lvlJc w:val="left"/>
      <w:lvlText w:val="(%1)"/>
      <w:numFmt w:val="lowerRoman"/>
      <w:start w:val="4"/>
    </w:lvl>
    <w:lvl w:ilvl="1">
      <w:lvlJc w:val="left"/>
      <w:lvlText w:val="(%2)"/>
      <w:numFmt w:val="lowerLetter"/>
      <w:start w:val="15"/>
    </w:lvl>
  </w:abstractNum>
  <w:abstractNum w:abstractNumId="51">
    <w:nsid w:val="2E534A82"/>
    <w:multiLevelType w:val="hybridMultilevel"/>
    <w:lvl w:ilvl="0">
      <w:lvlJc w:val="left"/>
      <w:lvlText w:val="(%1)"/>
      <w:numFmt w:val="lowerLetter"/>
      <w:start w:val="1"/>
    </w:lvl>
  </w:abstractNum>
  <w:abstractNum w:abstractNumId="52">
    <w:nsid w:val="26F2D364"/>
    <w:multiLevelType w:val="hybridMultilevel"/>
    <w:lvl w:ilvl="0">
      <w:lvlJc w:val="left"/>
      <w:lvlText w:val="(%1)"/>
      <w:numFmt w:val="lowerLetter"/>
      <w:start w:val="4"/>
    </w:lvl>
  </w:abstractNum>
  <w:abstractNum w:abstractNumId="53">
    <w:nsid w:val="71C1AF98"/>
    <w:multiLevelType w:val="hybridMultilevel"/>
    <w:lvl w:ilvl="0">
      <w:lvlJc w:val="left"/>
      <w:lvlText w:val="(%1)"/>
      <w:numFmt w:val="upperLetter"/>
      <w:start w:val="1"/>
    </w:lvl>
  </w:abstractNum>
  <w:abstractNum w:abstractNumId="54">
    <w:nsid w:val="3D00B9D9"/>
    <w:multiLevelType w:val="hybridMultilevel"/>
    <w:lvl w:ilvl="0">
      <w:lvlJc w:val="left"/>
      <w:lvlText w:val="(%1)"/>
      <w:numFmt w:val="lowerLetter"/>
      <w:start w:val="1"/>
    </w:lvl>
  </w:abstractNum>
  <w:abstractNum w:abstractNumId="55">
    <w:nsid w:val="15BCABA8"/>
    <w:multiLevelType w:val="hybridMultilevel"/>
    <w:lvl w:ilvl="0">
      <w:lvlJc w:val="left"/>
      <w:lvlText w:val="(%1)"/>
      <w:numFmt w:val="lowerLetter"/>
      <w:start w:val="2"/>
    </w:lvl>
  </w:abstractNum>
  <w:abstractNum w:abstractNumId="56">
    <w:nsid w:val="4E0B9A87"/>
    <w:multiLevelType w:val="hybridMultilevel"/>
    <w:lvl w:ilvl="0">
      <w:lvlJc w:val="left"/>
      <w:lvlText w:val="%1"/>
      <w:numFmt w:val="lowerLetter"/>
      <w:start w:val="1"/>
    </w:lvl>
    <w:lvl w:ilvl="1">
      <w:lvlJc w:val="left"/>
      <w:lvlText w:val="(%2)"/>
      <w:numFmt w:val="lowerLetter"/>
      <w:start w:val="1"/>
    </w:lvl>
  </w:abstractNum>
  <w:abstractNum w:abstractNumId="57">
    <w:nsid w:val="434BAE75"/>
    <w:multiLevelType w:val="hybridMultilevel"/>
    <w:lvl w:ilvl="0">
      <w:lvlJc w:val="left"/>
      <w:lvlText w:val="(%1)"/>
      <w:numFmt w:val="lowerLetter"/>
      <w:start w:val="9"/>
    </w:lvl>
    <w:lvl w:ilvl="1">
      <w:lvlJc w:val="left"/>
      <w:lvlText w:val="(%2)"/>
      <w:numFmt w:val="lowerLetter"/>
      <w:start w:val="2"/>
    </w:lvl>
  </w:abstractNum>
  <w:abstractNum w:abstractNumId="58">
    <w:nsid w:val="4F38F265"/>
    <w:multiLevelType w:val="hybridMultilevel"/>
    <w:lvl w:ilvl="0">
      <w:lvlJc w:val="left"/>
      <w:lvlText w:val="(%1)"/>
      <w:numFmt w:val="lowerLetter"/>
      <w:start w:val="1"/>
    </w:lvl>
  </w:abstractNum>
  <w:abstractNum w:abstractNumId="59">
    <w:nsid w:val="4C502870"/>
    <w:multiLevelType w:val="hybridMultilevel"/>
    <w:lvl w:ilvl="0">
      <w:lvlJc w:val="left"/>
      <w:lvlText w:val="(%1)"/>
      <w:numFmt w:val="lowerLetter"/>
      <w:start w:val="1"/>
    </w:lvl>
  </w:abstractNum>
  <w:abstractNum w:abstractNumId="60">
    <w:nsid w:val="1DE8725A"/>
    <w:multiLevelType w:val="hybridMultilevel"/>
    <w:lvl w:ilvl="0">
      <w:lvlJc w:val="left"/>
      <w:lvlText w:val="(%1)"/>
      <w:numFmt w:val="lowerLetter"/>
      <w:start w:val="2"/>
    </w:lvl>
  </w:abstractNum>
  <w:abstractNum w:abstractNumId="61">
    <w:nsid w:val="6A37288A"/>
    <w:multiLevelType w:val="hybridMultilevel"/>
    <w:lvl w:ilvl="0">
      <w:lvlJc w:val="left"/>
      <w:lvlText w:val="(%1)"/>
      <w:numFmt w:val="lowerLetter"/>
      <w:start w:val="1"/>
    </w:lvl>
  </w:abstractNum>
  <w:abstractNum w:abstractNumId="62">
    <w:nsid w:val="8F8B73F"/>
    <w:multiLevelType w:val="hybridMultilevel"/>
    <w:lvl w:ilvl="0">
      <w:lvlJc w:val="left"/>
      <w:lvlText w:val="%1"/>
      <w:numFmt w:val="lowerLetter"/>
      <w:start w:val="1"/>
    </w:lvl>
    <w:lvl w:ilvl="1">
      <w:lvlJc w:val="left"/>
      <w:lvlText w:val="(%2)"/>
      <w:numFmt w:val="lowerLetter"/>
      <w:start w:val="1"/>
    </w:lvl>
  </w:abstractNum>
  <w:abstractNum w:abstractNumId="63">
    <w:nsid w:val="CA6B462"/>
    <w:multiLevelType w:val="hybridMultilevel"/>
    <w:lvl w:ilvl="0">
      <w:lvlJc w:val="left"/>
      <w:lvlText w:val="(%1)"/>
      <w:numFmt w:val="lowerLetter"/>
      <w:start w:val="61"/>
    </w:lvl>
    <w:lvl w:ilvl="1">
      <w:lvlJc w:val="left"/>
      <w:lvlText w:val="%2"/>
      <w:numFmt w:val="lowerLetter"/>
      <w:start w:val="1"/>
    </w:lvl>
  </w:abstractNum>
  <w:abstractNum w:abstractNumId="64">
    <w:nsid w:val="763CB680"/>
    <w:multiLevelType w:val="hybridMultilevel"/>
    <w:lvl w:ilvl="0">
      <w:lvlJc w:val="left"/>
      <w:lvlText w:val="(%1)"/>
      <w:numFmt w:val="lowerLetter"/>
      <w:start w:val="1"/>
    </w:lvl>
  </w:abstractNum>
  <w:abstractNum w:abstractNumId="65">
    <w:nsid w:val="15B71329"/>
    <w:multiLevelType w:val="hybridMultilevel"/>
    <w:lvl w:ilvl="0">
      <w:lvlJc w:val="left"/>
      <w:lvlText w:val="(%1)"/>
      <w:numFmt w:val="lowerLetter"/>
      <w:start w:val="2"/>
    </w:lvl>
  </w:abstractNum>
  <w:abstractNum w:abstractNumId="66">
    <w:nsid w:val="3DA97044"/>
    <w:multiLevelType w:val="hybridMultilevel"/>
    <w:lvl w:ilvl="0">
      <w:lvlJc w:val="left"/>
      <w:lvlText w:val="%1"/>
      <w:numFmt w:val="lowerLetter"/>
      <w:start w:val="1"/>
    </w:lvl>
    <w:lvl w:ilvl="1">
      <w:lvlJc w:val="left"/>
      <w:lvlText w:val="(%2)"/>
      <w:numFmt w:val="lowerLetter"/>
      <w:start w:val="1"/>
    </w:lvl>
  </w:abstractNum>
  <w:abstractNum w:abstractNumId="67">
    <w:nsid w:val="1CDCE2DE"/>
    <w:multiLevelType w:val="hybridMultilevel"/>
    <w:lvl w:ilvl="0">
      <w:lvlJc w:val="left"/>
      <w:lvlText w:val="(%1)"/>
      <w:numFmt w:val="lowerLetter"/>
      <w:start w:val="9"/>
    </w:lvl>
    <w:lvl w:ilvl="1">
      <w:lvlJc w:val="left"/>
      <w:lvlText w:val="%2"/>
      <w:numFmt w:val="lowerLetter"/>
      <w:start w:val="1"/>
    </w:lvl>
  </w:abstractNum>
  <w:abstractNum w:abstractNumId="68">
    <w:nsid w:val="69D3947C"/>
    <w:multiLevelType w:val="hybridMultilevel"/>
    <w:lvl w:ilvl="0">
      <w:lvlJc w:val="left"/>
      <w:lvlText w:val="(%1)"/>
      <w:numFmt w:val="lowerLetter"/>
      <w:start w:val="2"/>
    </w:lvl>
  </w:abstractNum>
  <w:abstractNum w:abstractNumId="69">
    <w:nsid w:val="2539DFA5"/>
    <w:multiLevelType w:val="hybridMultilevel"/>
    <w:lvl w:ilvl="0">
      <w:lvlJc w:val="left"/>
      <w:lvlText w:val="%1"/>
      <w:numFmt w:val="lowerRoman"/>
      <w:start w:val="1"/>
    </w:lvl>
    <w:lvl w:ilvl="1">
      <w:lvlJc w:val="left"/>
      <w:lvlText w:val="(%2)"/>
      <w:numFmt w:val="lowerLetter"/>
      <w:start w:val="1"/>
    </w:lvl>
  </w:abstractNum>
  <w:abstractNum w:abstractNumId="70">
    <w:nsid w:val="2DB88089"/>
    <w:multiLevelType w:val="hybridMultilevel"/>
    <w:lvl w:ilvl="0">
      <w:lvlJc w:val="left"/>
      <w:lvlText w:val="(%1)"/>
      <w:numFmt w:val="lowerRoman"/>
      <w:start w:val="1"/>
    </w:lvl>
    <w:lvl w:ilvl="1">
      <w:lvlJc w:val="left"/>
      <w:lvlText w:val="%2"/>
      <w:numFmt w:val="lowerLetter"/>
      <w:start w:val="1"/>
    </w:lvl>
  </w:abstractNum>
  <w:abstractNum w:abstractNumId="71">
    <w:nsid w:val="706B674E"/>
    <w:multiLevelType w:val="hybridMultilevel"/>
    <w:lvl w:ilvl="0">
      <w:lvlJc w:val="left"/>
      <w:lvlText w:val="(%1)"/>
      <w:numFmt w:val="lowerRoman"/>
      <w:start w:val="4"/>
    </w:lvl>
    <w:lvl w:ilvl="1">
      <w:lvlJc w:val="left"/>
      <w:lvlText w:val="%2"/>
      <w:numFmt w:val="lowerLetter"/>
      <w:start w:val="1"/>
    </w:lvl>
  </w:abstractNum>
  <w:abstractNum w:abstractNumId="72">
    <w:nsid w:val="2C106A57"/>
    <w:multiLevelType w:val="hybridMultilevel"/>
    <w:lvl w:ilvl="0">
      <w:lvlJc w:val="left"/>
      <w:lvlText w:val="(%1)"/>
      <w:numFmt w:val="lowerLetter"/>
      <w:start w:val="5"/>
    </w:lvl>
  </w:abstractNum>
  <w:abstractNum w:abstractNumId="73">
    <w:nsid w:val="684EED59"/>
    <w:multiLevelType w:val="hybridMultilevel"/>
    <w:lvl w:ilvl="0">
      <w:lvlJc w:val="left"/>
      <w:lvlText w:val="(%1)"/>
      <w:numFmt w:val="lowerLetter"/>
      <w:start w:val="1"/>
    </w:lvl>
  </w:abstractNum>
  <w:abstractNum w:abstractNumId="74">
    <w:nsid w:val="545EE5D3"/>
    <w:multiLevelType w:val="hybridMultilevel"/>
    <w:lvl w:ilvl="0">
      <w:lvlJc w:val="left"/>
      <w:lvlText w:val="(%1)"/>
      <w:numFmt w:val="lowerLetter"/>
      <w:start w:val="1"/>
    </w:lvl>
  </w:abstractNum>
  <w:abstractNum w:abstractNumId="75">
    <w:nsid w:val="4A66051"/>
    <w:multiLevelType w:val="hybridMultilevel"/>
    <w:lvl w:ilvl="0">
      <w:lvlJc w:val="left"/>
      <w:lvlText w:val="%1"/>
      <w:numFmt w:val="lowerLetter"/>
      <w:start w:val="1"/>
    </w:lvl>
    <w:lvl w:ilvl="1">
      <w:lvlJc w:val="left"/>
      <w:lvlText w:val="(%2)"/>
      <w:numFmt w:val="lowerLetter"/>
      <w:start w:val="5"/>
    </w:lvl>
  </w:abstractNum>
  <w:abstractNum w:abstractNumId="76">
    <w:nsid w:val="20F4BDAD"/>
    <w:multiLevelType w:val="hybridMultilevel"/>
    <w:lvl w:ilvl="0">
      <w:lvlJc w:val="left"/>
      <w:lvlText w:val="(%1)"/>
      <w:numFmt w:val="lowerLetter"/>
      <w:start w:val="4"/>
    </w:lvl>
    <w:lvl w:ilvl="1">
      <w:lvlJc w:val="left"/>
      <w:lvlText w:val="%2"/>
      <w:numFmt w:val="lowerLetter"/>
      <w:start w:val="1"/>
    </w:lvl>
  </w:abstractNum>
  <w:abstractNum w:abstractNumId="77">
    <w:nsid w:val="639DEFAC"/>
    <w:multiLevelType w:val="hybridMultilevel"/>
    <w:lvl w:ilvl="0">
      <w:lvlJc w:val="left"/>
      <w:lvlText w:val="(%1)"/>
      <w:numFmt w:val="lowerLetter"/>
      <w:start w:val="15"/>
    </w:lvl>
  </w:abstractNum>
  <w:abstractNum w:abstractNumId="78">
    <w:nsid w:val="501F9786"/>
    <w:multiLevelType w:val="hybridMultilevel"/>
    <w:lvl w:ilvl="0">
      <w:lvlJc w:val="left"/>
      <w:lvlText w:val="(%1)"/>
      <w:numFmt w:val="lowerLetter"/>
      <w:start w:val="2"/>
    </w:lvl>
  </w:abstractNum>
  <w:abstractNum w:abstractNumId="79">
    <w:nsid w:val="6B057295"/>
    <w:multiLevelType w:val="hybridMultilevel"/>
    <w:lvl w:ilvl="0">
      <w:lvlJc w:val="left"/>
      <w:lvlText w:val="(%1)"/>
      <w:numFmt w:val="lowerLetter"/>
      <w:start w:val="1"/>
    </w:lvl>
  </w:abstractNum>
  <w:abstractNum w:abstractNumId="80">
    <w:nsid w:val="2771AC80"/>
    <w:multiLevelType w:val="hybridMultilevel"/>
    <w:lvl w:ilvl="0">
      <w:lvlJc w:val="left"/>
      <w:lvlText w:val="(%1)"/>
      <w:numFmt w:val="lowerLetter"/>
      <w:start w:val="2"/>
    </w:lvl>
  </w:abstractNum>
  <w:abstractNum w:abstractNumId="81">
    <w:nsid w:val="1C4A08EC"/>
    <w:multiLevelType w:val="hybridMultilevel"/>
    <w:lvl w:ilvl="0">
      <w:lvlJc w:val="left"/>
      <w:lvlText w:val="(%1)"/>
      <w:numFmt w:val="lowerLetter"/>
      <w:start w:val="1"/>
    </w:lvl>
  </w:abstractNum>
  <w:abstractNum w:abstractNumId="82">
    <w:nsid w:val="1958BD17"/>
    <w:multiLevelType w:val="hybridMultilevel"/>
    <w:lvl w:ilvl="0">
      <w:lvlJc w:val="left"/>
      <w:lvlText w:val="%1"/>
      <w:numFmt w:val="upperLetter"/>
      <w:start w:val="1"/>
    </w:lvl>
    <w:lvl w:ilvl="1">
      <w:lvlJc w:val="left"/>
      <w:lvlText w:val="(%2)"/>
      <w:numFmt w:val="lowerLetter"/>
      <w:start w:val="1"/>
    </w:lvl>
  </w:abstractNum>
  <w:abstractNum w:abstractNumId="83">
    <w:nsid w:val="4E647FE4"/>
    <w:multiLevelType w:val="hybridMultilevel"/>
    <w:lvl w:ilvl="0">
      <w:lvlJc w:val="left"/>
      <w:lvlText w:val="(%1)"/>
      <w:numFmt w:val="upperLetter"/>
      <w:start w:val="3"/>
    </w:lvl>
    <w:lvl w:ilvl="1">
      <w:lvlJc w:val="left"/>
      <w:lvlText w:val="%2"/>
      <w:numFmt w:val="lowerLetter"/>
      <w:start w:val="1"/>
    </w:lvl>
  </w:abstractNum>
  <w:abstractNum w:abstractNumId="84">
    <w:nsid w:val="E0BB885"/>
    <w:multiLevelType w:val="hybridMultilevel"/>
    <w:lvl w:ilvl="0">
      <w:lvlJc w:val="left"/>
      <w:lvlText w:val="(%1)"/>
      <w:numFmt w:val="lowerLetter"/>
      <w:start w:val="2"/>
    </w:lvl>
    <w:lvl w:ilvl="1">
      <w:lvlJc w:val="left"/>
      <w:lvlText w:val="(%2)"/>
      <w:numFmt w:val="lowerRoman"/>
      <w:start w:val="1"/>
    </w:lvl>
  </w:abstractNum>
  <w:abstractNum w:abstractNumId="85">
    <w:nsid w:val="565976F1"/>
    <w:multiLevelType w:val="hybridMultilevel"/>
    <w:lvl w:ilvl="0">
      <w:lvlJc w:val="left"/>
      <w:lvlText w:val="(%1)"/>
      <w:numFmt w:val="upperLetter"/>
      <w:start w:val="2"/>
    </w:lvl>
  </w:abstractNum>
  <w:abstractNum w:abstractNumId="86">
    <w:nsid w:val="64212B8C"/>
    <w:multiLevelType w:val="hybridMultilevel"/>
    <w:lvl w:ilvl="0">
      <w:lvlJc w:val="left"/>
      <w:lvlText w:val="(%1)"/>
      <w:numFmt w:val="lowerRoman"/>
      <w:start w:val="6"/>
    </w:lvl>
  </w:abstractNum>
  <w:abstractNum w:abstractNumId="87">
    <w:nsid w:val="5C17530C"/>
    <w:multiLevelType w:val="hybridMultilevel"/>
    <w:lvl w:ilvl="0">
      <w:lvlJc w:val="left"/>
      <w:lvlText w:val="(%1)"/>
      <w:numFmt w:val="lowerRoman"/>
      <w:start w:val="10"/>
    </w:lvl>
  </w:abstractNum>
  <w:abstractNum w:abstractNumId="88">
    <w:nsid w:val="19A52566"/>
    <w:multiLevelType w:val="hybridMultilevel"/>
    <w:lvl w:ilvl="0">
      <w:lvlJc w:val="left"/>
      <w:lvlText w:val="%1"/>
      <w:numFmt w:val="lowerLetter"/>
      <w:start w:val="1"/>
    </w:lvl>
    <w:lvl w:ilvl="1">
      <w:lvlJc w:val="left"/>
      <w:lvlText w:val="(%2)"/>
      <w:numFmt w:val="lowerRoman"/>
      <w:start w:val="17"/>
    </w:lvl>
  </w:abstractNum>
  <w:abstractNum w:abstractNumId="89">
    <w:nsid w:val="335A1DF1"/>
    <w:multiLevelType w:val="hybridMultilevel"/>
    <w:lvl w:ilvl="0">
      <w:lvlJc w:val="left"/>
      <w:lvlText w:val="(%1)"/>
      <w:numFmt w:val="lowerLetter"/>
      <w:start w:val="3"/>
    </w:lvl>
    <w:lvl w:ilvl="1">
      <w:lvlJc w:val="left"/>
      <w:lvlText w:val="%2"/>
      <w:numFmt w:val="lowerRoman"/>
      <w:start w:val="1"/>
    </w:lvl>
  </w:abstractNum>
  <w:abstractNum w:abstractNumId="90">
    <w:nsid w:val="28677B7C"/>
    <w:multiLevelType w:val="hybridMultilevel"/>
    <w:lvl w:ilvl="0">
      <w:lvlJc w:val="left"/>
      <w:lvlText w:val="(%1)"/>
      <w:numFmt w:val="lowerLetter"/>
      <w:start w:val="1"/>
    </w:lvl>
  </w:abstractNum>
  <w:abstractNum w:abstractNumId="91">
    <w:nsid w:val="378D97C0"/>
    <w:multiLevelType w:val="hybridMultilevel"/>
    <w:lvl w:ilvl="0">
      <w:lvlJc w:val="left"/>
      <w:lvlText w:val="(%1)"/>
      <w:numFmt w:val="upperLetter"/>
      <w:start w:val="4"/>
    </w:lvl>
    <w:lvl w:ilvl="1">
      <w:lvlJc w:val="left"/>
      <w:lvlText w:val="(%2)"/>
      <w:numFmt w:val="lowerLetter"/>
      <w:start w:val="3"/>
    </w:lvl>
  </w:abstractNum>
  <w:abstractNum w:abstractNumId="92">
    <w:nsid w:val="1D91467C"/>
    <w:multiLevelType w:val="hybridMultilevel"/>
    <w:lvl w:ilvl="0">
      <w:lvlJc w:val="left"/>
      <w:lvlText w:val="%1"/>
      <w:numFmt w:val="upperLetter"/>
      <w:start w:val="1"/>
    </w:lvl>
    <w:lvl w:ilvl="1">
      <w:lvlJc w:val="left"/>
      <w:lvlText w:val="(%2)"/>
      <w:numFmt w:val="lowerLetter"/>
      <w:start w:val="1"/>
    </w:lvl>
  </w:abstractNum>
  <w:abstractNum w:abstractNumId="93">
    <w:nsid w:val="316032BB"/>
    <w:multiLevelType w:val="hybridMultilevel"/>
    <w:lvl w:ilvl="0">
      <w:lvlJc w:val="left"/>
      <w:lvlText w:val="(%1)"/>
      <w:numFmt w:val="upperLetter"/>
      <w:start w:val="1"/>
    </w:lvl>
    <w:lvl w:ilvl="1">
      <w:lvlJc w:val="left"/>
      <w:lvlText w:val="%2"/>
      <w:numFmt w:val="lowerLetter"/>
      <w:start w:val="1"/>
    </w:lvl>
  </w:abstractNum>
  <w:abstractNum w:abstractNumId="94">
    <w:nsid w:val="44344C22"/>
    <w:multiLevelType w:val="hybridMultilevel"/>
    <w:lvl w:ilvl="0">
      <w:lvlJc w:val="left"/>
      <w:lvlText w:val="(%1)"/>
      <w:numFmt w:val="upperLetter"/>
      <w:start w:val="4"/>
    </w:lvl>
    <w:lvl w:ilvl="1">
      <w:lvlJc w:val="left"/>
      <w:lvlText w:val="(%2)"/>
      <w:numFmt w:val="lowerLetter"/>
      <w:start w:val="3"/>
    </w:lvl>
  </w:abstractNum>
  <w:abstractNum w:abstractNumId="95">
    <w:nsid w:val="13CDFCFC"/>
    <w:multiLevelType w:val="hybridMultilevel"/>
    <w:lvl w:ilvl="0">
      <w:lvlJc w:val="left"/>
      <w:lvlText w:val="(%1)"/>
      <w:numFmt w:val="lowerRoman"/>
      <w:start w:val="2"/>
    </w:lvl>
  </w:abstractNum>
  <w:abstractNum w:abstractNumId="96">
    <w:nsid w:val="471745E4"/>
    <w:multiLevelType w:val="hybridMultilevel"/>
    <w:lvl w:ilvl="0">
      <w:lvlJc w:val="left"/>
      <w:lvlText w:val="%1"/>
      <w:numFmt w:val="upperLetter"/>
      <w:start w:val="1"/>
    </w:lvl>
    <w:lvl w:ilvl="1">
      <w:lvlJc w:val="left"/>
      <w:lvlText w:val="(%2)"/>
      <w:numFmt w:val="lowerLetter"/>
      <w:start w:val="1"/>
    </w:lvl>
  </w:abstractNum>
  <w:abstractNum w:abstractNumId="97">
    <w:nsid w:val="1DDBC66"/>
    <w:multiLevelType w:val="hybridMultilevel"/>
    <w:lvl w:ilvl="0">
      <w:lvlJc w:val="left"/>
      <w:lvlText w:val="(%1)"/>
      <w:numFmt w:val="upperLetter"/>
      <w:start w:val="1"/>
    </w:lvl>
    <w:lvl w:ilvl="1">
      <w:lvlJc w:val="left"/>
      <w:lvlText w:val="(%2)"/>
      <w:numFmt w:val="lowerLetter"/>
      <w:start w:val="2"/>
    </w:lvl>
  </w:abstractNum>
  <w:abstractNum w:abstractNumId="98">
    <w:nsid w:val="30AADFDA"/>
    <w:multiLevelType w:val="hybridMultilevel"/>
    <w:lvl w:ilvl="0">
      <w:lvlJc w:val="left"/>
      <w:lvlText w:val="(%1)"/>
      <w:numFmt w:val="decimal"/>
      <w:start w:val="4"/>
    </w:lvl>
  </w:abstractNum>
  <w:abstractNum w:abstractNumId="99">
    <w:nsid w:val="30EADA61"/>
    <w:multiLevelType w:val="hybridMultilevel"/>
    <w:lvl w:ilvl="0">
      <w:lvlJc w:val="left"/>
      <w:lvlText w:val="(%1)"/>
      <w:numFmt w:val="lowerLetter"/>
      <w:start w:val="1"/>
    </w:lvl>
    <w:lvl w:ilvl="1">
      <w:lvlJc w:val="left"/>
      <w:lvlText w:val="(%2)"/>
      <w:numFmt w:val="lowerRoman"/>
      <w:start w:val="1"/>
    </w:lvl>
  </w:abstractNum>
  <w:abstractNum w:abstractNumId="100">
    <w:nsid w:val="27179C0B"/>
    <w:multiLevelType w:val="hybridMultilevel"/>
    <w:lvl w:ilvl="0">
      <w:lvlJc w:val="left"/>
      <w:lvlText w:val="(%1)"/>
      <w:numFmt w:val="lowerLetter"/>
      <w:start w:val="3"/>
    </w:lvl>
  </w:abstractNum>
  <w:abstractNum w:abstractNumId="101">
    <w:nsid w:val="5E636063"/>
    <w:multiLevelType w:val="hybridMultilevel"/>
    <w:lvl w:ilvl="0">
      <w:lvlJc w:val="left"/>
      <w:lvlText w:val="%1"/>
      <w:numFmt w:val="lowerRoman"/>
      <w:start w:val="1"/>
    </w:lvl>
    <w:lvl w:ilvl="1">
      <w:lvlJc w:val="left"/>
      <w:lvlText w:val="(%2)"/>
      <w:numFmt w:val="lowerLetter"/>
      <w:start w:val="1"/>
    </w:lvl>
  </w:abstractNum>
  <w:abstractNum w:abstractNumId="102">
    <w:nsid w:val="215641AF"/>
    <w:multiLevelType w:val="hybridMultilevel"/>
    <w:lvl w:ilvl="0">
      <w:lvlJc w:val="left"/>
      <w:lvlText w:val="(%1)"/>
      <w:numFmt w:val="lowerRoman"/>
      <w:start w:val="4"/>
    </w:lvl>
    <w:lvl w:ilvl="1">
      <w:lvlJc w:val="left"/>
      <w:lvlText w:val="%2"/>
      <w:numFmt w:val="lowerLetter"/>
      <w:start w:val="1"/>
    </w:lvl>
  </w:abstractNum>
  <w:abstractNum w:abstractNumId="103">
    <w:nsid w:val="53280662"/>
    <w:multiLevelType w:val="hybridMultilevel"/>
    <w:lvl w:ilvl="0">
      <w:lvlJc w:val="left"/>
      <w:lvlText w:val="(%1)"/>
      <w:numFmt w:val="lowerLetter"/>
      <w:start w:val="2"/>
    </w:lvl>
  </w:abstractNum>
  <w:abstractNum w:abstractNumId="104">
    <w:nsid w:val="46B24DBC"/>
    <w:multiLevelType w:val="hybridMultilevel"/>
    <w:lvl w:ilvl="0">
      <w:lvlJc w:val="left"/>
      <w:lvlText w:val="(%1)"/>
      <w:numFmt w:val="lowerLetter"/>
      <w:start w:val="1"/>
    </w:lvl>
  </w:abstractNum>
  <w:abstractNum w:abstractNumId="105">
    <w:nsid w:val="75B52783"/>
    <w:multiLevelType w:val="hybridMultilevel"/>
    <w:lvl w:ilvl="0">
      <w:lvlJc w:val="left"/>
      <w:lvlText w:val="(%1)"/>
      <w:numFmt w:val="lowerLetter"/>
      <w:start w:val="1"/>
    </w:lvl>
  </w:abstractNum>
  <w:abstractNum w:abstractNumId="106">
    <w:nsid w:val="57CE66B4"/>
    <w:multiLevelType w:val="hybridMultilevel"/>
    <w:lvl w:ilvl="0">
      <w:lvlJc w:val="left"/>
      <w:lvlText w:val="(%1)"/>
      <w:numFmt w:val="lowerLetter"/>
      <w:start w:val="6"/>
    </w:lvl>
  </w:abstractNum>
  <w:abstractNum w:abstractNumId="107">
    <w:nsid w:val="67A70B69"/>
    <w:multiLevelType w:val="hybridMultilevel"/>
    <w:lvl w:ilvl="0">
      <w:lvlJc w:val="left"/>
      <w:lvlText w:val="(%1)"/>
      <w:numFmt w:val="lowerLetter"/>
      <w:start w:val="16"/>
    </w:lvl>
  </w:abstractNum>
  <w:abstractNum w:abstractNumId="108">
    <w:nsid w:val="5953172F"/>
    <w:multiLevelType w:val="hybridMultilevel"/>
    <w:lvl w:ilvl="0">
      <w:lvlJc w:val="left"/>
      <w:lvlText w:val="(%1)"/>
      <w:numFmt w:val="lowerLetter"/>
      <w:start w:val="1"/>
    </w:lvl>
  </w:abstractNum>
  <w:abstractNum w:abstractNumId="109">
    <w:nsid w:val="27EDFE3A"/>
    <w:multiLevelType w:val="hybridMultilevel"/>
    <w:lvl w:ilvl="0">
      <w:lvlJc w:val="left"/>
      <w:lvlText w:val="(%1)"/>
      <w:numFmt w:val="lowerLetter"/>
      <w:start w:val="1"/>
    </w:lvl>
  </w:abstractNum>
  <w:abstractNum w:abstractNumId="110">
    <w:nsid w:val="52AC7DFF"/>
    <w:multiLevelType w:val="hybridMultilevel"/>
    <w:lvl w:ilvl="0">
      <w:lvlJc w:val="left"/>
      <w:lvlText w:val="(%1)"/>
      <w:numFmt w:val="lowerLetter"/>
      <w:start w:val="1"/>
    </w:lvl>
  </w:abstractNum>
  <w:abstractNum w:abstractNumId="111">
    <w:nsid w:val="C4C3AF"/>
    <w:multiLevelType w:val="hybridMultilevel"/>
    <w:lvl w:ilvl="0">
      <w:lvlJc w:val="left"/>
      <w:lvlText w:val="(%1)"/>
      <w:numFmt w:val="lowerLetter"/>
      <w:start w:val="5"/>
    </w:lvl>
  </w:abstractNum>
  <w:abstractNum w:abstractNumId="112">
    <w:nsid w:val="44380727"/>
    <w:multiLevelType w:val="hybridMultilevel"/>
    <w:lvl w:ilvl="0">
      <w:lvlJc w:val="left"/>
      <w:lvlText w:val="%1"/>
      <w:numFmt w:val="decimal"/>
      <w:start w:val="1"/>
    </w:lvl>
    <w:lvl w:ilvl="1">
      <w:lvlJc w:val="left"/>
      <w:lvlText w:val="(%2)"/>
      <w:numFmt w:val="lowerLetter"/>
      <w:start w:val="1"/>
    </w:lvl>
  </w:abstractNum>
  <w:abstractNum w:abstractNumId="113">
    <w:nsid w:val="6C053B16"/>
    <w:multiLevelType w:val="hybridMultilevel"/>
    <w:lvl w:ilvl="0">
      <w:lvlJc w:val="left"/>
      <w:lvlText w:val="(%1)"/>
      <w:numFmt w:val="decimal"/>
      <w:start w:val="6"/>
    </w:lvl>
    <w:lvl w:ilvl="1">
      <w:lvlJc w:val="left"/>
      <w:lvlText w:val="%2"/>
      <w:numFmt w:val="lowerLetter"/>
      <w:start w:val="1"/>
    </w:lvl>
  </w:abstractNum>
  <w:abstractNum w:abstractNumId="114">
    <w:nsid w:val="4F294393"/>
    <w:multiLevelType w:val="hybridMultilevel"/>
    <w:lvl w:ilvl="0">
      <w:lvlJc w:val="left"/>
      <w:lvlText w:val="(%1)"/>
      <w:numFmt w:val="lowerLetter"/>
      <w:start w:val="4"/>
    </w:lvl>
  </w:abstractNum>
  <w:abstractNum w:abstractNumId="115">
    <w:nsid w:val="5243BFAC"/>
    <w:multiLevelType w:val="hybridMultilevel"/>
    <w:lvl w:ilvl="0">
      <w:lvlJc w:val="left"/>
      <w:lvlText w:val="(%1)"/>
      <w:numFmt w:val="lowerLetter"/>
      <w:start w:val="1"/>
    </w:lvl>
  </w:abstractNum>
  <w:abstractNum w:abstractNumId="116">
    <w:nsid w:val="425EB207"/>
    <w:multiLevelType w:val="hybridMultilevel"/>
    <w:lvl w:ilvl="0">
      <w:lvlJc w:val="left"/>
      <w:lvlText w:val="(%1)"/>
      <w:numFmt w:val="lowerLetter"/>
      <w:start w:val="5"/>
    </w:lvl>
  </w:abstractNum>
  <w:abstractNum w:abstractNumId="117">
    <w:nsid w:val="334A6F1F"/>
    <w:multiLevelType w:val="hybridMultilevel"/>
    <w:lvl w:ilvl="0">
      <w:lvlJc w:val="left"/>
      <w:lvlText w:val="(%1)"/>
      <w:numFmt w:val="lowerLetter"/>
      <w:start w:val="1"/>
    </w:lvl>
  </w:abstractNum>
  <w:abstractNum w:abstractNumId="118">
    <w:nsid w:val="2E5B12B8"/>
    <w:multiLevelType w:val="hybridMultilevel"/>
    <w:lvl w:ilvl="0">
      <w:lvlJc w:val="left"/>
      <w:lvlText w:val="(%1)"/>
      <w:numFmt w:val="lowerRoman"/>
      <w:start w:val="1"/>
    </w:lvl>
  </w:abstractNum>
  <w:abstractNum w:abstractNumId="119">
    <w:nsid w:val="5C03D76D"/>
    <w:multiLevelType w:val="hybridMultilevel"/>
    <w:lvl w:ilvl="0">
      <w:lvlJc w:val="left"/>
      <w:lvlText w:val="(%1)"/>
      <w:numFmt w:val="lowerLetter"/>
      <w:start w:val="1"/>
    </w:lvl>
  </w:abstractNum>
  <w:abstractNum w:abstractNumId="120">
    <w:nsid w:val="66A48D11"/>
    <w:multiLevelType w:val="hybridMultilevel"/>
    <w:lvl w:ilvl="0">
      <w:lvlJc w:val="left"/>
      <w:lvlText w:val="(%1)"/>
      <w:numFmt w:val="lowerLetter"/>
      <w:start w:val="3"/>
    </w:lvl>
  </w:abstractNum>
  <w:abstractNum w:abstractNumId="121">
    <w:nsid w:val="56C28E34"/>
    <w:multiLevelType w:val="hybridMultilevel"/>
    <w:lvl w:ilvl="0">
      <w:lvlJc w:val="left"/>
      <w:lvlText w:val="(%1)"/>
      <w:numFmt w:val="lowerLetter"/>
      <w:start w:val="1"/>
    </w:lvl>
  </w:abstractNum>
  <w:abstractNum w:abstractNumId="122">
    <w:nsid w:val="13916F2D"/>
    <w:multiLevelType w:val="hybridMultilevel"/>
    <w:lvl w:ilvl="0">
      <w:lvlJc w:val="left"/>
      <w:lvlText w:val="(%1)"/>
      <w:numFmt w:val="lowerLetter"/>
      <w:start w:val="2"/>
    </w:lvl>
    <w:lvl w:ilvl="1">
      <w:lvlJc w:val="left"/>
      <w:lvlText w:val="(%2)"/>
      <w:numFmt w:val="lowerRoman"/>
      <w:start w:val="1"/>
    </w:lvl>
  </w:abstractNum>
  <w:abstractNum w:abstractNumId="123">
    <w:nsid w:val="435D38D"/>
    <w:multiLevelType w:val="hybridMultilevel"/>
    <w:lvl w:ilvl="0">
      <w:lvlJc w:val="left"/>
      <w:lvlText w:val="(%1)"/>
      <w:numFmt w:val="lowerLetter"/>
      <w:start w:val="1"/>
    </w:lvl>
  </w:abstractNum>
  <w:abstractNum w:abstractNumId="124">
    <w:nsid w:val="822C0EF"/>
    <w:multiLevelType w:val="hybridMultilevel"/>
    <w:lvl w:ilvl="0">
      <w:lvlJc w:val="left"/>
      <w:lvlText w:val="(%1)"/>
      <w:numFmt w:val="lowerLetter"/>
      <w:start w:val="3"/>
    </w:lvl>
    <w:lvl w:ilvl="1">
      <w:lvlJc w:val="left"/>
      <w:lvlText w:val="(%2)"/>
      <w:numFmt w:val="lowerRoman"/>
      <w:start w:val="1"/>
    </w:lvl>
  </w:abstractNum>
  <w:abstractNum w:abstractNumId="125">
    <w:nsid w:val="57C5BB4F"/>
    <w:multiLevelType w:val="hybridMultilevel"/>
    <w:lvl w:ilvl="0">
      <w:lvlJc w:val="left"/>
      <w:lvlText w:val="(%1)"/>
      <w:numFmt w:val="lowerLetter"/>
      <w:start w:val="1"/>
    </w:lvl>
  </w:abstractNum>
  <w:abstractNum w:abstractNumId="126">
    <w:nsid w:val="1803D089"/>
    <w:multiLevelType w:val="hybridMultilevel"/>
    <w:lvl w:ilvl="0">
      <w:lvlJc w:val="left"/>
      <w:lvlText w:val="(%1)"/>
      <w:numFmt w:val="lowerLetter"/>
      <w:start w:val="7"/>
    </w:lvl>
  </w:abstractNum>
  <w:abstractNum w:abstractNumId="127">
    <w:nsid w:val="4F3A06D4"/>
    <w:multiLevelType w:val="hybridMultilevel"/>
    <w:lvl w:ilvl="0">
      <w:lvlJc w:val="left"/>
      <w:lvlText w:val="(%1)"/>
      <w:numFmt w:val="lowerLetter"/>
      <w:start w:val="12"/>
    </w:lvl>
  </w:abstractNum>
  <w:abstractNum w:abstractNumId="128">
    <w:nsid w:val="59A377B6"/>
    <w:multiLevelType w:val="hybridMultilevel"/>
    <w:lvl w:ilvl="0">
      <w:lvlJc w:val="left"/>
      <w:lvlText w:val="(%1)"/>
      <w:numFmt w:val="lowerLetter"/>
      <w:start w:val="2"/>
    </w:lvl>
  </w:abstractNum>
  <w:abstractNum w:abstractNumId="129">
    <w:nsid w:val="48AEB063"/>
    <w:multiLevelType w:val="hybridMultilevel"/>
    <w:lvl w:ilvl="0">
      <w:lvlJc w:val="left"/>
      <w:lvlText w:val="(%1)"/>
      <w:numFmt w:val="lowerLetter"/>
      <w:start w:val="1"/>
    </w:lvl>
    <w:lvl w:ilvl="1">
      <w:lvlJc w:val="left"/>
      <w:lvlText w:val="*"/>
      <w:numFmt w:val="bullet"/>
      <w:start w:val="1"/>
    </w:lvl>
  </w:abstractNum>
  <w:abstractNum w:abstractNumId="130">
    <w:nsid w:val="24E135"/>
    <w:multiLevelType w:val="hybridMultilevel"/>
    <w:lvl w:ilvl="0">
      <w:lvlJc w:val="left"/>
      <w:lvlText w:val="(%1)"/>
      <w:numFmt w:val="upperLetter"/>
      <w:start w:val="1"/>
    </w:lvl>
  </w:abstractNum>
  <w:abstractNum w:abstractNumId="131">
    <w:nsid w:val="BB13C1"/>
    <w:multiLevelType w:val="hybridMultilevel"/>
    <w:lvl w:ilvl="0">
      <w:lvlJc w:val="left"/>
      <w:lvlText w:val="(%1)"/>
      <w:numFmt w:val="lowerRoman"/>
      <w:start w:val="1"/>
    </w:lvl>
  </w:abstractNum>
  <w:abstractNum w:abstractNumId="132">
    <w:nsid w:val="271210C7"/>
    <w:multiLevelType w:val="hybridMultilevel"/>
    <w:lvl w:ilvl="0">
      <w:lvlJc w:val="left"/>
      <w:lvlText w:val="(%1)"/>
      <w:numFmt w:val="lowerRoman"/>
      <w:start w:val="2"/>
    </w:lvl>
  </w:abstractNum>
  <w:abstractNum w:abstractNumId="133">
    <w:nsid w:val="217B22E4"/>
    <w:multiLevelType w:val="hybridMultilevel"/>
    <w:lvl w:ilvl="0">
      <w:lvlJc w:val="left"/>
      <w:lvlText w:val="(%1)"/>
      <w:numFmt w:val="lowerRoman"/>
      <w:start w:val="1"/>
    </w:lvl>
  </w:abstractNum>
  <w:abstractNum w:abstractNumId="134">
    <w:nsid w:val="53E31A24"/>
    <w:multiLevelType w:val="hybridMultilevel"/>
    <w:lvl w:ilvl="0">
      <w:lvlJc w:val="left"/>
      <w:lvlText w:val="(%1)"/>
      <w:numFmt w:val="lowerLetter"/>
      <w:start w:val="1"/>
    </w:lvl>
  </w:abstractNum>
  <w:abstractNum w:abstractNumId="135">
    <w:nsid w:val="6DC45E83"/>
    <w:multiLevelType w:val="hybridMultilevel"/>
    <w:lvl w:ilvl="0">
      <w:lvlJc w:val="left"/>
      <w:lvlText w:val="(%1)"/>
      <w:numFmt w:val="lowerLetter"/>
      <w:start w:val="2"/>
    </w:lvl>
    <w:lvl w:ilvl="1">
      <w:lvlJc w:val="left"/>
      <w:lvlText w:val="(%2)"/>
      <w:numFmt w:val="lowerRoman"/>
      <w:start w:val="1"/>
    </w:lvl>
  </w:abstractNum>
  <w:abstractNum w:abstractNumId="136">
    <w:nsid w:val="17304A67"/>
    <w:multiLevelType w:val="hybridMultilevel"/>
    <w:lvl w:ilvl="0">
      <w:lvlJc w:val="left"/>
      <w:lvlText w:val="(%1)"/>
      <w:numFmt w:val="lowerLetter"/>
      <w:start w:val="1"/>
    </w:lvl>
  </w:abstractNum>
  <w:abstractNum w:abstractNumId="137">
    <w:nsid w:val="2BB180D8"/>
    <w:multiLevelType w:val="hybridMultilevel"/>
    <w:lvl w:ilvl="0">
      <w:lvlJc w:val="left"/>
      <w:lvlText w:val="(%1)"/>
      <w:numFmt w:val="lowerLetter"/>
      <w:start w:val="2"/>
    </w:lvl>
  </w:abstractNum>
  <w:abstractNum w:abstractNumId="138">
    <w:nsid w:val="556B69ED"/>
    <w:multiLevelType w:val="hybridMultilevel"/>
    <w:lvl w:ilvl="0">
      <w:lvlJc w:val="left"/>
      <w:lvlText w:val="(%1)"/>
      <w:numFmt w:val="lowerLetter"/>
      <w:start w:val="1"/>
    </w:lvl>
  </w:abstractNum>
  <w:abstractNum w:abstractNumId="139">
    <w:nsid w:val="70836196"/>
    <w:multiLevelType w:val="hybridMultilevel"/>
    <w:lvl w:ilvl="0">
      <w:lvlJc w:val="left"/>
      <w:lvlText w:val="(%1)"/>
      <w:numFmt w:val="lowerRoman"/>
      <w:start w:val="1"/>
    </w:lvl>
  </w:abstractNum>
  <w:abstractNum w:abstractNumId="140">
    <w:nsid w:val="539F7F12"/>
    <w:multiLevelType w:val="hybridMultilevel"/>
    <w:lvl w:ilvl="0">
      <w:lvlJc w:val="left"/>
      <w:lvlText w:val="(%1)"/>
      <w:numFmt w:val="lowerRoman"/>
      <w:start w:val="3"/>
    </w:lvl>
  </w:abstractNum>
  <w:abstractNum w:abstractNumId="141">
    <w:nsid w:val="2817E7EC"/>
    <w:multiLevelType w:val="hybridMultilevel"/>
    <w:lvl w:ilvl="0">
      <w:lvlJc w:val="left"/>
      <w:lvlText w:val="(%1)"/>
      <w:numFmt w:val="lowerLetter"/>
      <w:start w:val="1"/>
    </w:lvl>
  </w:abstractNum>
  <w:abstractNum w:abstractNumId="142">
    <w:nsid w:val="71482545"/>
    <w:multiLevelType w:val="hybridMultilevel"/>
    <w:lvl w:ilvl="0">
      <w:lvlJc w:val="left"/>
      <w:lvlText w:val="(%1)"/>
      <w:numFmt w:val="lowerLetter"/>
      <w:start w:val="1"/>
    </w:lvl>
  </w:abstractNum>
  <w:abstractNum w:abstractNumId="143">
    <w:nsid w:val="17D78639"/>
    <w:multiLevelType w:val="hybridMultilevel"/>
    <w:lvl w:ilvl="0">
      <w:lvlJc w:val="left"/>
      <w:lvlText w:val="(%1)"/>
      <w:numFmt w:val="lowerLetter"/>
      <w:start w:val="26"/>
    </w:lvl>
    <w:lvl w:ilvl="1">
      <w:lvlJc w:val="left"/>
      <w:lvlText w:val="(%2)"/>
      <w:numFmt w:val="lowerLetter"/>
      <w:start w:val="3"/>
    </w:lvl>
  </w:abstractNum>
  <w:abstractNum w:abstractNumId="144">
    <w:nsid w:val="141D2302"/>
    <w:multiLevelType w:val="hybridMultilevel"/>
    <w:lvl w:ilvl="0">
      <w:lvlJc w:val="left"/>
      <w:lvlText w:val="(%1)"/>
      <w:numFmt w:val="lowerLetter"/>
      <w:start w:val="1"/>
    </w:lvl>
  </w:abstractNum>
  <w:abstractNum w:abstractNumId="145">
    <w:nsid w:val="407168D8"/>
    <w:multiLevelType w:val="hybridMultilevel"/>
    <w:lvl w:ilvl="0">
      <w:lvlJc w:val="left"/>
      <w:lvlText w:val="(%1)"/>
      <w:numFmt w:val="lowerLetter"/>
      <w:start w:val="1"/>
    </w:lvl>
  </w:abstractNum>
  <w:abstractNum w:abstractNumId="146">
    <w:nsid w:val="6A1B45E5"/>
    <w:multiLevelType w:val="hybridMultilevel"/>
    <w:lvl w:ilvl="0">
      <w:lvlJc w:val="left"/>
      <w:lvlText w:val="(%1)"/>
      <w:numFmt w:val="lowerLetter"/>
      <w:start w:val="3"/>
    </w:lvl>
  </w:abstractNum>
  <w:abstractNum w:abstractNumId="147">
    <w:nsid w:val="567BD50A"/>
    <w:multiLevelType w:val="hybridMultilevel"/>
    <w:lvl w:ilvl="0">
      <w:lvlJc w:val="left"/>
      <w:lvlText w:val="(%1)"/>
      <w:numFmt w:val="lowerLetter"/>
      <w:start w:val="1"/>
    </w:lvl>
  </w:abstractNum>
  <w:abstractNum w:abstractNumId="148">
    <w:nsid w:val="73BBD7F8"/>
    <w:multiLevelType w:val="hybridMultilevel"/>
    <w:lvl w:ilvl="0">
      <w:lvlJc w:val="left"/>
      <w:lvlText w:val="(%1)"/>
      <w:numFmt w:val="lowerLetter"/>
      <w:start w:val="1"/>
    </w:lvl>
  </w:abstractNum>
  <w:abstractNum w:abstractNumId="149">
    <w:nsid w:val="1876589D"/>
    <w:multiLevelType w:val="hybridMultilevel"/>
    <w:lvl w:ilvl="0">
      <w:lvlJc w:val="left"/>
      <w:lvlText w:val="%1"/>
      <w:numFmt w:val="lowerLetter"/>
      <w:start w:val="1"/>
    </w:lvl>
    <w:lvl w:ilvl="1">
      <w:lvlJc w:val="left"/>
      <w:lvlText w:val="(%2)"/>
      <w:numFmt w:val="lowerLetter"/>
      <w:start w:val="1"/>
    </w:lvl>
  </w:abstractNum>
  <w:abstractNum w:abstractNumId="150">
    <w:nsid w:val="327FAC77"/>
    <w:multiLevelType w:val="hybridMultilevel"/>
    <w:lvl w:ilvl="0">
      <w:lvlJc w:val="left"/>
      <w:lvlText w:val="(%1)"/>
      <w:numFmt w:val="lowerLetter"/>
      <w:start w:val="35"/>
    </w:lvl>
    <w:lvl w:ilvl="1">
      <w:lvlJc w:val="left"/>
      <w:lvlText w:val="(%2)"/>
      <w:numFmt w:val="lowerLetter"/>
      <w:start w:val="2"/>
    </w:lvl>
  </w:abstractNum>
  <w:abstractNum w:abstractNumId="151">
    <w:nsid w:val="5A606509"/>
    <w:multiLevelType w:val="hybridMultilevel"/>
    <w:lvl w:ilvl="0">
      <w:lvlJc w:val="left"/>
      <w:lvlText w:val="(%1)"/>
      <w:numFmt w:val="lowerLetter"/>
      <w:start w:val="1"/>
    </w:lvl>
  </w:abstractNum>
  <w:abstractNum w:abstractNumId="152">
    <w:nsid w:val="6F38E6D1"/>
    <w:multiLevelType w:val="hybridMultilevel"/>
    <w:lvl w:ilvl="0">
      <w:lvlJc w:val="left"/>
      <w:lvlText w:val="(%1)"/>
      <w:numFmt w:val="lowerLetter"/>
      <w:start w:val="4"/>
    </w:lvl>
  </w:abstractNum>
  <w:abstractNum w:abstractNumId="153">
    <w:nsid w:val="46111BA5"/>
    <w:multiLevelType w:val="hybridMultilevel"/>
    <w:lvl w:ilvl="0">
      <w:lvlJc w:val="left"/>
      <w:lvlText w:val="%1."/>
      <w:numFmt w:val="decimal"/>
      <w:start w:val="1"/>
    </w:lvl>
  </w:abstractNum>
  <w:abstractNum w:abstractNumId="154">
    <w:nsid w:val="5E963896"/>
    <w:multiLevelType w:val="hybridMultilevel"/>
    <w:lvl w:ilvl="0">
      <w:lvlJc w:val="left"/>
      <w:lvlText w:val="(%1)"/>
      <w:numFmt w:val="lowerLetter"/>
      <w:start w:val="3"/>
    </w:lvl>
  </w:abstractNum>
  <w:abstractNum w:abstractNumId="155">
    <w:nsid w:val="775BA7C1"/>
    <w:multiLevelType w:val="hybridMultilevel"/>
    <w:lvl w:ilvl="0">
      <w:lvlJc w:val="left"/>
      <w:lvlText w:val="(%1)"/>
      <w:numFmt w:val="lowerRoman"/>
      <w:start w:val="1"/>
    </w:lvl>
  </w:abstractNum>
  <w:abstractNum w:abstractNumId="156">
    <w:nsid w:val="1DD6D6F4"/>
    <w:multiLevelType w:val="hybridMultilevel"/>
    <w:lvl w:ilvl="0">
      <w:lvlJc w:val="left"/>
      <w:lvlText w:val="(%1)"/>
      <w:numFmt w:val="lowerRoman"/>
      <w:start w:val="2"/>
    </w:lvl>
  </w:abstractNum>
  <w:abstractNum w:abstractNumId="157">
    <w:nsid w:val="769A091F"/>
    <w:multiLevelType w:val="hybridMultilevel"/>
    <w:lvl w:ilvl="0">
      <w:lvlJc w:val="left"/>
      <w:lvlText w:val="%1."/>
      <w:numFmt w:val="decimal"/>
      <w:start w:val="5"/>
    </w:lvl>
  </w:abstractNum>
  <w:abstractNum w:abstractNumId="158">
    <w:nsid w:val="4695AE95"/>
    <w:multiLevelType w:val="hybridMultilevel"/>
    <w:lvl w:ilvl="0">
      <w:lvlJc w:val="left"/>
      <w:lvlText w:val="(%1)"/>
      <w:numFmt w:val="lowerRoman"/>
      <w:start w:val="1"/>
    </w:lvl>
    <w:lvl w:ilvl="1">
      <w:lvlJc w:val="left"/>
      <w:lvlText w:val="(%2)"/>
      <w:numFmt w:val="decimal"/>
      <w:start w:val="1"/>
    </w:lvl>
  </w:abstractNum>
  <w:abstractNum w:abstractNumId="159">
    <w:nsid w:val="777A4EAA"/>
    <w:multiLevelType w:val="hybridMultilevel"/>
    <w:lvl w:ilvl="0">
      <w:lvlJc w:val="left"/>
      <w:lvlText w:val="%1"/>
      <w:numFmt w:val="lowerRoman"/>
      <w:start w:val="1"/>
    </w:lvl>
    <w:lvl w:ilvl="1">
      <w:lvlJc w:val="left"/>
      <w:lvlText w:val="(%2)"/>
      <w:numFmt w:val="decimal"/>
      <w:start w:val="2"/>
    </w:lvl>
  </w:abstractNum>
  <w:abstractNum w:abstractNumId="160">
    <w:nsid w:val="3F48B982"/>
    <w:multiLevelType w:val="hybridMultilevel"/>
    <w:lvl w:ilvl="0">
      <w:lvlJc w:val="left"/>
      <w:lvlText w:val="(%1)"/>
      <w:numFmt w:val="lowerRoman"/>
      <w:start w:val="2"/>
    </w:lvl>
    <w:lvl w:ilvl="1">
      <w:lvlJc w:val="left"/>
      <w:lvlText w:val="(%2)"/>
      <w:numFmt w:val="decimal"/>
      <w:start w:val="1"/>
    </w:lvl>
  </w:abstractNum>
  <w:abstractNum w:abstractNumId="161">
    <w:nsid w:val="46BA8FCA"/>
    <w:multiLevelType w:val="hybridMultilevel"/>
    <w:lvl w:ilvl="0">
      <w:lvlJc w:val="left"/>
      <w:lvlText w:val="%1"/>
      <w:numFmt w:val="lowerRoman"/>
      <w:start w:val="1"/>
    </w:lvl>
    <w:lvl w:ilvl="1">
      <w:lvlJc w:val="left"/>
      <w:lvlText w:val="(%2)"/>
      <w:numFmt w:val="decimal"/>
      <w:start w:val="2"/>
    </w:lvl>
  </w:abstractNum>
  <w:abstractNum w:abstractNumId="162">
    <w:nsid w:val="7835626C"/>
    <w:multiLevelType w:val="hybridMultilevel"/>
    <w:lvl w:ilvl="0">
      <w:lvlJc w:val="left"/>
      <w:lvlText w:val="(%1)"/>
      <w:numFmt w:val="lowerRoman"/>
      <w:start w:val="3"/>
    </w:lvl>
    <w:lvl w:ilvl="1">
      <w:lvlJc w:val="left"/>
      <w:lvlText w:val="%2"/>
      <w:numFmt w:val="decimal"/>
      <w:start w:val="1"/>
    </w:lvl>
  </w:abstractNum>
  <w:abstractNum w:abstractNumId="163">
    <w:nsid w:val="665ACA49"/>
    <w:multiLevelType w:val="hybridMultilevel"/>
    <w:lvl w:ilvl="0">
      <w:lvlJc w:val="left"/>
      <w:lvlText w:val="%1"/>
      <w:numFmt w:val="decimal"/>
      <w:start w:val="1"/>
    </w:lvl>
    <w:lvl w:ilvl="1">
      <w:lvlJc w:val="left"/>
      <w:lvlText w:val="(%2)"/>
      <w:numFmt w:val="lowerLetter"/>
      <w:start w:val="1"/>
    </w:lvl>
  </w:abstractNum>
  <w:abstractNum w:abstractNumId="164">
    <w:nsid w:val="6835B2AE"/>
    <w:multiLevelType w:val="hybridMultilevel"/>
    <w:lvl w:ilvl="0">
      <w:lvlJc w:val="left"/>
      <w:lvlText w:val="%1."/>
      <w:numFmt w:val="decimal"/>
      <w:start w:val="6"/>
    </w:lvl>
    <w:lvl w:ilvl="1">
      <w:lvlJc w:val="left"/>
      <w:lvlText w:val="%2"/>
      <w:numFmt w:val="lowerLetter"/>
      <w:start w:val="1"/>
    </w:lvl>
  </w:abstractNum>
  <w:abstractNum w:abstractNumId="165">
    <w:nsid w:val="4C187C90"/>
    <w:multiLevelType w:val="hybridMultilevel"/>
    <w:lvl w:ilvl="0">
      <w:lvlJc w:val="left"/>
      <w:lvlText w:val="%1"/>
      <w:numFmt w:val="lowerRoman"/>
      <w:start w:val="1"/>
    </w:lvl>
    <w:lvl w:ilvl="1">
      <w:lvlJc w:val="left"/>
      <w:lvlText w:val="(%2)"/>
      <w:numFmt w:val="lowerRoman"/>
      <w:start w:val="1"/>
    </w:lvl>
  </w:abstractNum>
  <w:abstractNum w:abstractNumId="166">
    <w:nsid w:val="541F28CD"/>
    <w:multiLevelType w:val="hybridMultilevel"/>
    <w:lvl w:ilvl="0">
      <w:lvlJc w:val="left"/>
      <w:lvlText w:val="(%1)"/>
      <w:numFmt w:val="lowerRoman"/>
      <w:start w:val="1"/>
    </w:lvl>
    <w:lvl w:ilvl="1">
      <w:lvlJc w:val="left"/>
      <w:lvlText w:val="%2"/>
      <w:numFmt w:val="lowerRoman"/>
      <w:start w:val="1"/>
    </w:lvl>
  </w:abstractNum>
  <w:abstractNum w:abstractNumId="167">
    <w:nsid w:val="7F65FD16"/>
    <w:multiLevelType w:val="hybridMultilevel"/>
    <w:lvl w:ilvl="0">
      <w:lvlJc w:val="left"/>
      <w:lvlText w:val="(%1)"/>
      <w:numFmt w:val="lowerRoman"/>
      <w:start w:val="2"/>
    </w:lvl>
  </w:abstractNum>
  <w:abstractNum w:abstractNumId="168">
    <w:nsid w:val="77C9FD68"/>
    <w:multiLevelType w:val="hybridMultilevel"/>
    <w:lvl w:ilvl="0">
      <w:lvlJc w:val="left"/>
      <w:lvlText w:val="(%1)"/>
      <w:numFmt w:val="lowerRoman"/>
      <w:start w:val="1"/>
    </w:lvl>
  </w:abstractNum>
  <w:abstractNum w:abstractNumId="169">
    <w:nsid w:val="298A92BA"/>
    <w:multiLevelType w:val="hybridMultilevel"/>
    <w:lvl w:ilvl="0">
      <w:lvlJc w:val="left"/>
      <w:lvlText w:val="(%1)"/>
      <w:numFmt w:val="lowerLetter"/>
      <w:start w:val="1"/>
    </w:lvl>
  </w:abstractNum>
  <w:abstractNum w:abstractNumId="170">
    <w:nsid w:val="6FE95EAC"/>
    <w:multiLevelType w:val="hybridMultilevel"/>
    <w:lvl w:ilvl="0">
      <w:lvlJc w:val="left"/>
      <w:lvlText w:val="(%1)"/>
      <w:numFmt w:val="lowerLetter"/>
      <w:start w:val="3"/>
    </w:lvl>
  </w:abstractNum>
  <w:abstractNum w:abstractNumId="171">
    <w:nsid w:val="4B697C7A"/>
    <w:multiLevelType w:val="hybridMultilevel"/>
    <w:lvl w:ilvl="0">
      <w:lvlJc w:val="left"/>
      <w:lvlText w:val="(%1)"/>
      <w:numFmt w:val="lowerLetter"/>
      <w:start w:val="9"/>
    </w:lvl>
  </w:abstractNum>
  <w:abstractNum w:abstractNumId="172">
    <w:nsid w:val="51A27AA6"/>
    <w:multiLevelType w:val="hybridMultilevel"/>
    <w:lvl w:ilvl="0">
      <w:lvlJc w:val="left"/>
      <w:lvlText w:val="(%1)"/>
      <w:numFmt w:val="lowerRoman"/>
      <w:start w:val="1"/>
    </w:lvl>
  </w:abstractNum>
  <w:abstractNum w:abstractNumId="173">
    <w:nsid w:val="613183F2"/>
    <w:multiLevelType w:val="hybridMultilevel"/>
    <w:lvl w:ilvl="0">
      <w:lvlJc w:val="left"/>
      <w:lvlText w:val="(%1)"/>
      <w:numFmt w:val="lowerRoman"/>
      <w:start w:val="2"/>
    </w:lvl>
  </w:abstractNum>
  <w:abstractNum w:abstractNumId="174">
    <w:nsid w:val="634102B4"/>
    <w:multiLevelType w:val="hybridMultilevel"/>
    <w:lvl w:ilvl="0">
      <w:lvlJc w:val="left"/>
      <w:lvlText w:val="(%1)"/>
      <w:numFmt w:val="lowerLetter"/>
      <w:start w:val="13"/>
    </w:lvl>
  </w:abstractNum>
  <w:abstractNum w:abstractNumId="175">
    <w:nsid w:val="65BF9DA8"/>
    <w:multiLevelType w:val="hybridMultilevel"/>
    <w:lvl w:ilvl="0">
      <w:lvlJc w:val="left"/>
      <w:lvlText w:val="%1."/>
      <w:numFmt w:val="decimal"/>
      <w:start w:val="7"/>
    </w:lvl>
  </w:abstractNum>
  <w:abstractNum w:abstractNumId="176">
    <w:nsid w:val="21A2ECCA"/>
    <w:multiLevelType w:val="hybridMultilevel"/>
    <w:lvl w:ilvl="0">
      <w:lvlJc w:val="left"/>
      <w:lvlText w:val="(%1)"/>
      <w:numFmt w:val="lowerRoman"/>
      <w:start w:val="1"/>
    </w:lvl>
  </w:abstractNum>
  <w:abstractNum w:abstractNumId="177">
    <w:nsid w:val="4D5C4899"/>
    <w:multiLevelType w:val="hybridMultilevel"/>
    <w:lvl w:ilvl="0">
      <w:lvlJc w:val="left"/>
      <w:lvlText w:val="%1."/>
      <w:numFmt w:val="decimal"/>
      <w:start w:val="8"/>
    </w:lvl>
  </w:abstractNum>
  <w:abstractNum w:abstractNumId="178">
    <w:nsid w:val="3C3B72B2"/>
    <w:multiLevelType w:val="hybridMultilevel"/>
    <w:lvl w:ilvl="0">
      <w:lvlJc w:val="left"/>
      <w:lvlText w:val="(%1)"/>
      <w:numFmt w:val="lowerRoman"/>
      <w:start w:val="1"/>
    </w:lvl>
  </w:abstractNum>
  <w:abstractNum w:abstractNumId="179">
    <w:nsid w:val="155EC4C2"/>
    <w:multiLevelType w:val="hybridMultilevel"/>
    <w:lvl w:ilvl="0">
      <w:lvlJc w:val="left"/>
      <w:lvlText w:val="%1."/>
      <w:numFmt w:val="decimal"/>
      <w:start w:val="9"/>
    </w:lvl>
  </w:abstractNum>
  <w:abstractNum w:abstractNumId="180">
    <w:nsid w:val="65D2A137"/>
    <w:multiLevelType w:val="hybridMultilevel"/>
    <w:lvl w:ilvl="0">
      <w:lvlJc w:val="left"/>
      <w:lvlText w:val="%1."/>
      <w:numFmt w:val="decimal"/>
      <w:start w:val="10"/>
    </w:lvl>
  </w:abstractNum>
  <w:abstractNum w:abstractNumId="181">
    <w:nsid w:val="6EBB1F2A"/>
    <w:multiLevelType w:val="hybridMultilevel"/>
    <w:lvl w:ilvl="0">
      <w:lvlJc w:val="left"/>
      <w:lvlText w:val="%1."/>
      <w:numFmt w:val="decimal"/>
      <w:start w:val="11"/>
    </w:lvl>
  </w:abstractNum>
  <w:abstractNum w:abstractNumId="182">
    <w:nsid w:val="6FBF29CB"/>
    <w:multiLevelType w:val="hybridMultilevel"/>
    <w:lvl w:ilvl="0">
      <w:lvlJc w:val="left"/>
      <w:lvlText w:val="%1."/>
      <w:numFmt w:val="decimal"/>
      <w:start w:val="13"/>
    </w:lvl>
    <w:lvl w:ilvl="1">
      <w:lvlJc w:val="left"/>
      <w:lvlText w:val="(%2)"/>
      <w:numFmt w:val="lowerLetter"/>
      <w:start w:val="1"/>
    </w:lvl>
  </w:abstractNum>
  <w:abstractNum w:abstractNumId="183">
    <w:nsid w:val="550B8808"/>
    <w:multiLevelType w:val="hybridMultilevel"/>
    <w:lvl w:ilvl="0">
      <w:lvlJc w:val="left"/>
      <w:lvlText w:val="(%1)"/>
      <w:numFmt w:val="lowerLetter"/>
      <w:start w:val="3"/>
    </w:lvl>
  </w:abstractNum>
  <w:abstractNum w:abstractNumId="184">
    <w:nsid w:val="34CC3ACF"/>
    <w:multiLevelType w:val="hybridMultilevel"/>
    <w:lvl w:ilvl="0">
      <w:lvlJc w:val="left"/>
      <w:lvlText w:val="%1"/>
      <w:numFmt w:val="decimal"/>
      <w:start w:val="1"/>
    </w:lvl>
    <w:lvl w:ilvl="1">
      <w:lvlJc w:val="left"/>
      <w:lvlText w:val="(%2)"/>
      <w:numFmt w:val="lowerLetter"/>
      <w:start w:val="21"/>
    </w:lvl>
  </w:abstractNum>
  <w:abstractNum w:abstractNumId="185">
    <w:nsid w:val="4E556261"/>
    <w:multiLevelType w:val="hybridMultilevel"/>
    <w:lvl w:ilvl="0">
      <w:lvlJc w:val="left"/>
      <w:lvlText w:val="%1."/>
      <w:numFmt w:val="decimal"/>
      <w:start w:val="16"/>
    </w:lvl>
    <w:lvl w:ilvl="1">
      <w:lvlJc w:val="left"/>
      <w:lvlText w:val="%2"/>
      <w:numFmt w:val="lowerLetter"/>
      <w:start w:val="1"/>
    </w:lvl>
  </w:abstractNum>
  <w:abstractNum w:abstractNumId="186">
    <w:nsid w:val="4C672FC9"/>
    <w:multiLevelType w:val="hybridMultilevel"/>
    <w:lvl w:ilvl="0">
      <w:lvlJc w:val="left"/>
      <w:lvlText w:val="%1"/>
      <w:numFmt w:val="lowerRoman"/>
      <w:start w:val="1"/>
    </w:lvl>
    <w:lvl w:ilvl="1">
      <w:lvlJc w:val="left"/>
      <w:lvlText w:val="(%2)"/>
      <w:numFmt w:val="lowerLetter"/>
      <w:start w:val="1"/>
    </w:lvl>
  </w:abstractNum>
  <w:abstractNum w:abstractNumId="187">
    <w:nsid w:val="52A311C3"/>
    <w:multiLevelType w:val="hybridMultilevel"/>
    <w:lvl w:ilvl="0">
      <w:lvlJc w:val="left"/>
      <w:lvlText w:val="(%1)"/>
      <w:numFmt w:val="lowerRoman"/>
      <w:start w:val="1"/>
    </w:lvl>
    <w:lvl w:ilvl="1">
      <w:lvlJc w:val="left"/>
      <w:lvlText w:val="%2"/>
      <w:numFmt w:val="lowerLetter"/>
      <w:start w:val="1"/>
    </w:lvl>
  </w:abstractNum>
  <w:abstractNum w:abstractNumId="188">
    <w:nsid w:val="44EF6B80"/>
    <w:multiLevelType w:val="hybridMultilevel"/>
    <w:lvl w:ilvl="0">
      <w:lvlJc w:val="left"/>
      <w:lvlText w:val="1"/>
      <w:numFmt w:val="bullet"/>
      <w:start w:val="1"/>
    </w:lvl>
  </w:abstractNum>
  <w:abstractNum w:abstractNumId="189">
    <w:nsid w:val="12FCDE5E"/>
    <w:multiLevelType w:val="hybridMultilevel"/>
    <w:lvl w:ilvl="0">
      <w:lvlJc w:val="left"/>
      <w:lvlText w:val="(%1)"/>
      <w:numFmt w:val="lowerLetter"/>
      <w:start w:val="3"/>
    </w:lvl>
    <w:lvl w:ilvl="1">
      <w:lvlJc w:val="left"/>
      <w:lvlText w:val="(%2)"/>
      <w:numFmt w:val="lowerRoman"/>
      <w:start w:val="1"/>
    </w:lvl>
  </w:abstractNum>
  <w:abstractNum w:abstractNumId="190">
    <w:nsid w:val="4A1D606E"/>
    <w:multiLevelType w:val="hybridMultilevel"/>
    <w:lvl w:ilvl="0">
      <w:lvlJc w:val="left"/>
      <w:lvlText w:val="%1"/>
      <w:numFmt w:val="upperLetter"/>
      <w:start w:val="1"/>
    </w:lvl>
    <w:lvl w:ilvl="1">
      <w:lvlJc w:val="left"/>
      <w:lvlText w:val="(%2)"/>
      <w:numFmt w:val="lowerRoman"/>
      <w:start w:val="4"/>
    </w:lvl>
  </w:abstractNum>
  <w:abstractNum w:abstractNumId="191">
    <w:nsid w:val="4382503"/>
    <w:multiLevelType w:val="hybridMultilevel"/>
    <w:lvl w:ilvl="0">
      <w:lvlJc w:val="left"/>
      <w:lvlText w:val="(%1)"/>
      <w:numFmt w:val="upperLetter"/>
      <w:start w:val="2"/>
    </w:lvl>
    <w:lvl w:ilvl="1">
      <w:lvlJc w:val="left"/>
      <w:lvlText w:val="(%2)"/>
      <w:numFmt w:val="lowerRoman"/>
      <w:start w:val="9"/>
    </w:lvl>
  </w:abstractNum>
  <w:abstractNum w:abstractNumId="192">
    <w:nsid w:val="59B76E28"/>
    <w:multiLevelType w:val="hybridMultilevel"/>
    <w:lvl w:ilvl="0">
      <w:lvlJc w:val="left"/>
      <w:lvlText w:val="(%1)"/>
      <w:numFmt w:val="lowerLetter"/>
      <w:start w:val="6"/>
    </w:lvl>
  </w:abstractNum>
  <w:abstractNum w:abstractNumId="193">
    <w:nsid w:val="4252C2DA"/>
    <w:multiLevelType w:val="hybridMultilevel"/>
    <w:lvl w:ilvl="0">
      <w:lvlJc w:val="left"/>
      <w:lvlText w:val="(%1)"/>
      <w:numFmt w:val="lowerLetter"/>
      <w:start w:val="1"/>
    </w:lvl>
    <w:lvl w:ilvl="1">
      <w:lvlJc w:val="left"/>
      <w:lvlText w:val="(%2)"/>
      <w:numFmt w:val="lowerRoman"/>
      <w:start w:val="1"/>
    </w:lvl>
  </w:abstractNum>
  <w:abstractNum w:abstractNumId="194">
    <w:nsid w:val="6A92EF4C"/>
    <w:multiLevelType w:val="hybridMultilevel"/>
    <w:lvl w:ilvl="0">
      <w:lvlJc w:val="left"/>
      <w:lvlText w:val="%1"/>
      <w:numFmt w:val="lowerLetter"/>
      <w:start w:val="1"/>
    </w:lvl>
    <w:lvl w:ilvl="1">
      <w:lvlJc w:val="left"/>
      <w:lvlText w:val="(%2)"/>
      <w:numFmt w:val="lowerLetter"/>
      <w:start w:val="61"/>
    </w:lvl>
  </w:abstractNum>
  <w:abstractNum w:abstractNumId="195">
    <w:nsid w:val="41ED20D7"/>
    <w:multiLevelType w:val="hybridMultilevel"/>
    <w:lvl w:ilvl="0">
      <w:lvlJc w:val="left"/>
      <w:lvlText w:val="(%1)"/>
      <w:numFmt w:val="lowerLetter"/>
      <w:start w:val="3"/>
    </w:lvl>
    <w:lvl w:ilvl="1">
      <w:lvlJc w:val="left"/>
      <w:lvlText w:val="%2"/>
      <w:numFmt w:val="lowerLetter"/>
      <w:start w:val="1"/>
    </w:lvl>
  </w:abstractNum>
  <w:abstractNum w:abstractNumId="196">
    <w:nsid w:val="E6B3F6A"/>
    <w:multiLevelType w:val="hybridMultilevel"/>
    <w:lvl w:ilvl="0">
      <w:lvlJc w:val="left"/>
      <w:lvlText w:val="(%1)"/>
      <w:numFmt w:val="lowerLetter"/>
      <w:start w:val="1"/>
    </w:lvl>
  </w:abstractNum>
  <w:abstractNum w:abstractNumId="197">
    <w:nsid w:val="3EB21819"/>
    <w:multiLevelType w:val="hybridMultilevel"/>
    <w:lvl w:ilvl="0">
      <w:lvlJc w:val="left"/>
      <w:lvlText w:val="(%1)"/>
      <w:numFmt w:val="lowerLetter"/>
      <w:start w:val="1"/>
    </w:lvl>
  </w:abstractNum>
  <w:abstractNum w:abstractNumId="198">
    <w:nsid w:val="41531DED"/>
    <w:multiLevelType w:val="hybridMultilevel"/>
    <w:lvl w:ilvl="0">
      <w:lvlJc w:val="left"/>
      <w:lvlText w:val="(%1)"/>
      <w:numFmt w:val="lowerLetter"/>
      <w:start w:val="4"/>
    </w:lvl>
    <w:lvl w:ilvl="1">
      <w:lvlJc w:val="left"/>
      <w:lvlText w:val="(%2)"/>
      <w:numFmt w:val="lowerRoman"/>
      <w:start w:val="1"/>
    </w:lvl>
  </w:abstractNum>
  <w:abstractNum w:abstractNumId="199">
    <w:nsid w:val="6353CD2"/>
    <w:multiLevelType w:val="hybridMultilevel"/>
    <w:lvl w:ilvl="0">
      <w:lvlJc w:val="left"/>
      <w:lvlText w:val="%1"/>
      <w:numFmt w:val="lowerLetter"/>
      <w:start w:val="1"/>
    </w:lvl>
    <w:lvl w:ilvl="1">
      <w:lvlJc w:val="left"/>
      <w:lvlText w:val="(%2)"/>
      <w:numFmt w:val="lowerRoman"/>
      <w:start w:val="3"/>
    </w:lvl>
  </w:abstractNum>
  <w:abstractNum w:abstractNumId="200">
    <w:nsid w:val="683CAAD3"/>
    <w:multiLevelType w:val="hybridMultilevel"/>
    <w:lvl w:ilvl="0">
      <w:lvlJc w:val="left"/>
      <w:lvlText w:val="(%1)"/>
      <w:numFmt w:val="lowerLetter"/>
      <w:start w:val="8"/>
    </w:lvl>
    <w:lvl w:ilvl="1">
      <w:lvlJc w:val="left"/>
      <w:lvlText w:val="%2"/>
      <w:numFmt w:val="lowerRoman"/>
      <w:start w:val="1"/>
    </w:lvl>
  </w:abstractNum>
  <w:abstractNum w:abstractNumId="201">
    <w:nsid w:val="313C7C99"/>
    <w:multiLevelType w:val="hybridMultilevel"/>
    <w:lvl w:ilvl="0">
      <w:lvlJc w:val="left"/>
      <w:lvlText w:val="(%1)"/>
      <w:numFmt w:val="lowerLetter"/>
      <w:start w:val="10"/>
    </w:lvl>
  </w:abstractNum>
  <w:abstractNum w:abstractNumId="202">
    <w:nsid w:val="519EB94C"/>
    <w:multiLevelType w:val="hybridMultilevel"/>
    <w:lvl w:ilvl="0">
      <w:lvlJc w:val="left"/>
      <w:lvlText w:val="(%1)"/>
      <w:numFmt w:val="lowerLetter"/>
      <w:start w:val="1"/>
    </w:lvl>
  </w:abstractNum>
  <w:abstractNum w:abstractNumId="203">
    <w:nsid w:val="39DF2579"/>
    <w:multiLevelType w:val="hybridMultilevel"/>
    <w:lvl w:ilvl="0">
      <w:lvlJc w:val="left"/>
      <w:lvlText w:val="(%1)"/>
      <w:numFmt w:val="lowerLetter"/>
      <w:start w:val="3"/>
    </w:lvl>
  </w:abstractNum>
  <w:abstractNum w:abstractNumId="204">
    <w:nsid w:val="126E008B"/>
    <w:multiLevelType w:val="hybridMultilevel"/>
    <w:lvl w:ilvl="0">
      <w:lvlJc w:val="left"/>
      <w:lvlText w:val="1"/>
      <w:numFmt w:val="bullet"/>
      <w:start w:val="1"/>
    </w:lvl>
  </w:abstractNum>
  <w:abstractNum w:abstractNumId="205">
    <w:nsid w:val="34DFBC00"/>
    <w:multiLevelType w:val="hybridMultilevel"/>
    <w:lvl w:ilvl="0">
      <w:lvlJc w:val="left"/>
      <w:lvlText w:val="(%1)"/>
      <w:numFmt w:val="lowerLetter"/>
      <w:start w:val="3"/>
    </w:lvl>
  </w:abstractNum>
  <w:abstractNum w:abstractNumId="206">
    <w:nsid w:val="1F9EC322"/>
    <w:multiLevelType w:val="hybridMultilevel"/>
    <w:lvl w:ilvl="0">
      <w:lvlJc w:val="left"/>
      <w:lvlText w:val="(%1)"/>
      <w:numFmt w:val="lowerLetter"/>
      <w:start w:val="1"/>
    </w:lvl>
  </w:abstractNum>
  <w:abstractNum w:abstractNumId="207">
    <w:nsid w:val="3410ED56"/>
    <w:multiLevelType w:val="hybridMultilevel"/>
    <w:lvl w:ilvl="0">
      <w:lvlJc w:val="left"/>
      <w:lvlText w:val="%1"/>
      <w:numFmt w:val="decimal"/>
      <w:start w:val="1"/>
    </w:lvl>
    <w:lvl w:ilvl="1">
      <w:lvlJc w:val="left"/>
      <w:lvlText w:val="(%2)"/>
      <w:numFmt w:val="lowerLetter"/>
      <w:start w:val="1"/>
    </w:lvl>
  </w:abstractNum>
  <w:abstractNum w:abstractNumId="208">
    <w:nsid w:val="23C049A"/>
    <w:multiLevelType w:val="hybridMultilevel"/>
    <w:lvl w:ilvl="0">
      <w:lvlJc w:val="left"/>
      <w:lvlText w:val="(%1)"/>
      <w:numFmt w:val="decimal"/>
      <w:start w:val="1"/>
    </w:lvl>
    <w:lvl w:ilvl="1">
      <w:lvlJc w:val="left"/>
      <w:lvlText w:val="(%2)"/>
      <w:numFmt w:val="lowerLetter"/>
      <w:start w:val="2"/>
    </w:lvl>
  </w:abstractNum>
  <w:abstractNum w:abstractNumId="209">
    <w:nsid w:val="5BDA35D4"/>
    <w:multiLevelType w:val="hybridMultilevel"/>
    <w:lvl w:ilvl="0">
      <w:lvlJc w:val="left"/>
      <w:lvlText w:val="(%1)"/>
      <w:numFmt w:val="lowerLetter"/>
      <w:start w:val="3"/>
    </w:lvl>
  </w:abstractNum>
  <w:abstractNum w:abstractNumId="210">
    <w:nsid w:val="496FB218"/>
    <w:multiLevelType w:val="hybridMultilevel"/>
    <w:lvl w:ilvl="0">
      <w:lvlJc w:val="left"/>
      <w:lvlText w:val="(%1)"/>
      <w:numFmt w:val="lowerLetter"/>
      <w:start w:val="1"/>
    </w:lvl>
  </w:abstractNum>
  <w:abstractNum w:abstractNumId="211">
    <w:nsid w:val="680EA5D1"/>
    <w:multiLevelType w:val="hybridMultilevel"/>
    <w:lvl w:ilvl="0">
      <w:lvlJc w:val="left"/>
      <w:lvlText w:val="(%1)"/>
      <w:numFmt w:val="lowerLetter"/>
      <w:start w:val="1"/>
    </w:lvl>
    <w:lvl w:ilvl="1">
      <w:lvlJc w:val="left"/>
      <w:lvlText w:val="(%2)"/>
      <w:numFmt w:val="lowerRoman"/>
      <w:start w:val="1"/>
    </w:lvl>
  </w:abstractNum>
  <w:abstractNum w:abstractNumId="212">
    <w:nsid w:val="4A9554FE"/>
    <w:multiLevelType w:val="hybridMultilevel"/>
    <w:lvl w:ilvl="0">
      <w:lvlJc w:val="left"/>
      <w:lvlText w:val="(%1)"/>
      <w:numFmt w:val="lowerLetter"/>
      <w:start w:val="3"/>
    </w:lvl>
  </w:abstractNum>
  <w:abstractNum w:abstractNumId="213">
    <w:nsid w:val="392EDBE4"/>
    <w:multiLevelType w:val="hybridMultilevel"/>
    <w:lvl w:ilvl="0">
      <w:lvlJc w:val="left"/>
      <w:lvlText w:val="(%1)"/>
      <w:numFmt w:val="lowerLetter"/>
      <w:start w:val="1"/>
    </w:lvl>
    <w:lvl w:ilvl="1">
      <w:lvlJc w:val="left"/>
      <w:lvlText w:val="(%2)"/>
      <w:numFmt w:val="lowerRoman"/>
      <w:start w:val="1"/>
    </w:lvl>
  </w:abstractNum>
  <w:abstractNum w:abstractNumId="214">
    <w:nsid w:val="3D1A2DD9"/>
    <w:multiLevelType w:val="hybridMultilevel"/>
    <w:lvl w:ilvl="0">
      <w:lvlJc w:val="left"/>
      <w:lvlText w:val="(%1)"/>
      <w:numFmt w:val="lowerLetter"/>
      <w:start w:val="1"/>
    </w:lvl>
  </w:abstractNum>
  <w:abstractNum w:abstractNumId="215">
    <w:nsid w:val="7F618FCD"/>
    <w:multiLevelType w:val="hybridMultilevel"/>
    <w:lvl w:ilvl="0">
      <w:lvlJc w:val="left"/>
      <w:lvlText w:val="%1"/>
      <w:numFmt w:val="lowerLetter"/>
      <w:start w:val="1"/>
    </w:lvl>
    <w:lvl w:ilvl="1">
      <w:lvlJc w:val="left"/>
      <w:lvlText w:val="(%2)"/>
      <w:numFmt w:val="lowerLetter"/>
      <w:start w:val="2"/>
    </w:lvl>
  </w:abstractNum>
  <w:abstractNum w:abstractNumId="216">
    <w:nsid w:val="7843E45"/>
    <w:multiLevelType w:val="hybridMultilevel"/>
    <w:lvl w:ilvl="0">
      <w:lvlJc w:val="left"/>
      <w:lvlText w:val="(%1)"/>
      <w:numFmt w:val="lowerLetter"/>
      <w:start w:val="25"/>
    </w:lvl>
    <w:lvl w:ilvl="1">
      <w:lvlJc w:val="left"/>
      <w:lvlText w:val="(%2)"/>
      <w:numFmt w:val="lowerLetter"/>
      <w:start w:val="3"/>
    </w:lvl>
  </w:abstractNum>
  <w:abstractNum w:abstractNumId="217">
    <w:nsid w:val="9815D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8">
    <w:nsid w:val="5204A19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219">
    <w:nsid w:val="4C73A9C6"/>
    <w:multiLevelType w:val="hybridMultilevel"/>
    <w:lvl w:ilvl="0">
      <w:lvlJc w:val="left"/>
      <w:lvlText w:val="%1"/>
      <w:numFmt w:val="lowerLetter"/>
      <w:start w:val="1"/>
    </w:lvl>
    <w:lvl w:ilvl="1">
      <w:lvlJc w:val="left"/>
      <w:lvlText w:val="(%2)"/>
      <w:numFmt w:val="lowerLetter"/>
      <w:start w:val="35"/>
    </w:lvl>
  </w:abstractNum>
  <w:abstractNum w:abstractNumId="220">
    <w:nsid w:val="1C7E3C01"/>
    <w:multiLevelType w:val="hybridMultilevel"/>
    <w:lvl w:ilvl="0">
      <w:lvlJc w:val="left"/>
      <w:lvlText w:val="(%1)"/>
      <w:numFmt w:val="lowerLetter"/>
      <w:start w:val="3"/>
    </w:lvl>
    <w:lvl w:ilvl="1">
      <w:lvlJc w:val="left"/>
      <w:lvlText w:val="%2"/>
      <w:numFmt w:val="lowerLetter"/>
      <w:start w:val="1"/>
    </w:lvl>
  </w:abstractNum>
  <w:abstractNum w:abstractNumId="221">
    <w:nsid w:val="1C2201FF"/>
    <w:multiLevelType w:val="hybridMultilevel"/>
    <w:lvl w:ilvl="0">
      <w:lvlJc w:val="left"/>
      <w:lvlText w:val="%1"/>
      <w:numFmt w:val="lowerLetter"/>
      <w:start w:val="1"/>
    </w:lvl>
    <w:lvl w:ilvl="1">
      <w:lvlJc w:val="left"/>
      <w:lvlText w:val="(%2)"/>
      <w:numFmt w:val="lowerLetter"/>
      <w:start w:val="1"/>
    </w:lvl>
  </w:abstractNum>
  <w:abstractNum w:abstractNumId="222">
    <w:nsid w:val="50ABCEC9"/>
    <w:multiLevelType w:val="hybridMultilevel"/>
    <w:lvl w:ilvl="0">
      <w:lvlJc w:val="left"/>
      <w:lvlText w:val="(%1)"/>
      <w:numFmt w:val="lowerLetter"/>
      <w:start w:val="9"/>
    </w:lvl>
    <w:lvl w:ilvl="1">
      <w:lvlJc w:val="left"/>
      <w:lvlText w:val="(%2)"/>
      <w:numFmt w:val="lowerLetter"/>
      <w:start w:val="4"/>
    </w:lvl>
  </w:abstractNum>
  <w:abstractNum w:abstractNumId="223">
    <w:nsid w:val="7635AA2A"/>
    <w:multiLevelType w:val="hybridMultilevel"/>
    <w:lvl w:ilvl="0">
      <w:lvlJc w:val="left"/>
      <w:lvlText w:val="(%1)"/>
      <w:numFmt w:val="lowerLetter"/>
      <w:start w:val="5"/>
    </w:lvl>
  </w:abstractNum>
  <w:abstractNum w:abstractNumId="224">
    <w:nsid w:val="5E74C4D9"/>
    <w:multiLevelType w:val="hybridMultilevel"/>
    <w:lvl w:ilvl="0">
      <w:lvlJc w:val="left"/>
      <w:lvlText w:val="(%1)"/>
      <w:numFmt w:val="lowerLetter"/>
      <w:start w:val="3"/>
    </w:lvl>
  </w:abstractNum>
  <w:abstractNum w:abstractNumId="225">
    <w:nsid w:val="3B3EBE15"/>
    <w:multiLevelType w:val="hybridMultilevel"/>
    <w:lvl w:ilvl="0">
      <w:lvlJc w:val="left"/>
      <w:lvlText w:val="(%1)"/>
      <w:numFmt w:val="lowerLetter"/>
      <w:start w:val="1"/>
    </w:lvl>
  </w:abstractNum>
  <w:abstractNum w:abstractNumId="226">
    <w:nsid w:val="3822CB01"/>
    <w:multiLevelType w:val="hybridMultilevel"/>
    <w:lvl w:ilvl="0">
      <w:lvlJc w:val="left"/>
      <w:lvlText w:val="%1"/>
      <w:numFmt w:val="lowerLetter"/>
      <w:start w:val="1"/>
    </w:lvl>
    <w:lvl w:ilvl="1">
      <w:lvlJc w:val="left"/>
      <w:lvlText w:val="(%2)"/>
      <w:numFmt w:val="lowerLetter"/>
      <w:start w:val="3"/>
    </w:lvl>
  </w:abstractNum>
  <w:abstractNum w:abstractNumId="227">
    <w:nsid w:val="6CE00443"/>
    <w:multiLevelType w:val="hybridMultilevel"/>
    <w:lvl w:ilvl="0">
      <w:lvlJc w:val="left"/>
      <w:lvlText w:val="(%1)"/>
      <w:numFmt w:val="lowerLetter"/>
      <w:start w:val="9"/>
    </w:lvl>
    <w:lvl w:ilvl="1">
      <w:lvlJc w:val="left"/>
      <w:lvlText w:val="%2"/>
      <w:numFmt w:val="lowerLetter"/>
      <w:start w:val="1"/>
    </w:lvl>
  </w:abstractNum>
  <w:abstractNum w:abstractNumId="228">
    <w:nsid w:val="79F0D62F"/>
    <w:multiLevelType w:val="hybridMultilevel"/>
    <w:lvl w:ilvl="0">
      <w:lvlJc w:val="left"/>
      <w:lvlText w:val="(%1)"/>
      <w:numFmt w:val="lowerLetter"/>
      <w:start w:val="4"/>
    </w:lvl>
  </w:abstractNum>
  <w:abstractNum w:abstractNumId="229">
    <w:nsid w:val="7975E8EE"/>
    <w:multiLevelType w:val="hybridMultilevel"/>
    <w:lvl w:ilvl="0">
      <w:lvlJc w:val="left"/>
      <w:lvlText w:val="(%1)"/>
      <w:numFmt w:val="lowerLetter"/>
      <w:start w:val="1"/>
    </w:lvl>
    <w:lvl w:ilvl="1">
      <w:lvlJc w:val="left"/>
      <w:lvlText w:val="(%2)"/>
      <w:numFmt w:val="lowerLetter"/>
      <w:start w:val="9"/>
    </w:lvl>
  </w:abstractNum>
  <w:abstractNum w:abstractNumId="230">
    <w:nsid w:val="731541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31">
    <w:nsid w:val="622D810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2">
    <w:nsid w:val="2AB2658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233">
    <w:nsid w:val="44B3FA61"/>
    <w:multiLevelType w:val="hybridMultilevel"/>
    <w:lvl w:ilvl="0">
      <w:lvlJc w:val="left"/>
      <w:lvlText w:val="(%1)"/>
      <w:numFmt w:val="lowerRoman"/>
      <w:start w:val="2"/>
    </w:lvl>
  </w:abstractNum>
  <w:abstractNum w:abstractNumId="234">
    <w:nsid w:val="1C0CA67C"/>
    <w:multiLevelType w:val="hybridMultilevel"/>
    <w:lvl w:ilvl="0">
      <w:lvlJc w:val="left"/>
      <w:lvlText w:val="(%1)"/>
      <w:numFmt w:val="lowerRoman"/>
      <w:start w:val="3"/>
    </w:lvl>
  </w:abstractNum>
  <w:abstractNum w:abstractNumId="235">
    <w:nsid w:val="3D206613"/>
    <w:multiLevelType w:val="hybridMultilevel"/>
    <w:lvl w:ilvl="0">
      <w:lvlJc w:val="left"/>
      <w:lvlText w:val="(%1)"/>
      <w:numFmt w:val="lowerLetter"/>
      <w:start w:val="1"/>
    </w:lvl>
    <w:lvl w:ilvl="1">
      <w:lvlJc w:val="left"/>
      <w:lvlText w:val="(%2)"/>
      <w:numFmt w:val="lowerRoman"/>
      <w:start w:val="1"/>
    </w:lvl>
  </w:abstractNum>
  <w:abstractNum w:abstractNumId="236">
    <w:nsid w:val="7993B662"/>
    <w:multiLevelType w:val="hybridMultilevel"/>
    <w:lvl w:ilvl="0">
      <w:lvlJc w:val="left"/>
      <w:lvlText w:val="%1"/>
      <w:numFmt w:val="lowerLetter"/>
      <w:start w:val="1"/>
    </w:lvl>
    <w:lvl w:ilvl="1">
      <w:lvlJc w:val="left"/>
      <w:lvlText w:val="(%2)"/>
      <w:numFmt w:val="lowerRoman"/>
      <w:start w:val="3"/>
    </w:lvl>
  </w:abstractNum>
  <w:abstractNum w:abstractNumId="237">
    <w:nsid w:val="3BAB699E"/>
    <w:multiLevelType w:val="hybridMultilevel"/>
    <w:lvl w:ilvl="0">
      <w:lvlJc w:val="left"/>
      <w:lvlText w:val="(%1)"/>
      <w:numFmt w:val="lowerLetter"/>
      <w:start w:val="2"/>
    </w:lvl>
    <w:lvl w:ilvl="1">
      <w:lvlJc w:val="left"/>
      <w:lvlText w:val="%2"/>
      <w:numFmt w:val="lowerRoman"/>
      <w:start w:val="1"/>
    </w:lvl>
  </w:abstractNum>
  <w:abstractNum w:abstractNumId="238">
    <w:nsid w:val="71315369"/>
    <w:multiLevelType w:val="hybridMultilevel"/>
    <w:lvl w:ilvl="0">
      <w:lvlJc w:val="left"/>
      <w:lvlText w:val="(%1)"/>
      <w:numFmt w:val="lowerLetter"/>
      <w:start w:val="22"/>
    </w:lvl>
    <w:lvl w:ilvl="1">
      <w:lvlJc w:val="left"/>
      <w:lvlText w:val="%2"/>
      <w:numFmt w:val="lowerRoman"/>
      <w:start w:val="1"/>
    </w:lvl>
  </w:abstractNum>
  <w:abstractNum w:abstractNumId="239">
    <w:nsid w:val="7BCFBAFC"/>
    <w:multiLevelType w:val="hybridMultilevel"/>
    <w:lvl w:ilvl="0">
      <w:lvlJc w:val="left"/>
      <w:lvlText w:val="(%1)"/>
      <w:numFmt w:val="lowerLetter"/>
      <w:start w:val="1"/>
    </w:lvl>
    <w:lvl w:ilvl="1">
      <w:lvlJc w:val="left"/>
      <w:lvlText w:val="(%2)"/>
      <w:numFmt w:val="lowerLetter"/>
      <w:start w:val="9"/>
    </w:lvl>
  </w:abstractNum>
  <w:abstractNum w:abstractNumId="240">
    <w:nsid w:val="17859F7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41">
    <w:nsid w:val="3AA1058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abstractNum>
  <w:abstractNum w:abstractNumId="242">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43">
    <w:nsid w:val="621AF471"/>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9"/>
    </w:lvl>
  </w:abstractNum>
  <w:abstractNum w:abstractNumId="244">
    <w:nsid w:val="73CFE16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45">
    <w:nsid w:val="20F88EA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246">
    <w:nsid w:val="617C843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47">
    <w:nsid w:val="7B541FAB"/>
    <w:multiLevelType w:val="hybridMultilevel"/>
    <w:lvl w:ilvl="0">
      <w:lvlJc w:val="left"/>
      <w:lvlText w:val="(%1)"/>
      <w:numFmt w:val="lowerLetter"/>
      <w:start w:val="7"/>
    </w:lvl>
  </w:abstractNum>
  <w:abstractNum w:abstractNumId="248">
    <w:nsid w:val="2A79EC49"/>
    <w:multiLevelType w:val="hybridMultilevel"/>
    <w:lvl w:ilvl="0">
      <w:lvlJc w:val="left"/>
      <w:lvlText w:val="(%1)"/>
      <w:numFmt w:val="lowerLetter"/>
      <w:start w:val="1"/>
    </w:lvl>
  </w:abstractNum>
  <w:abstractNum w:abstractNumId="249">
    <w:nsid w:val="338125CF"/>
    <w:multiLevelType w:val="hybridMultilevel"/>
    <w:lvl w:ilvl="0">
      <w:lvlJc w:val="left"/>
      <w:lvlText w:val="(%1)"/>
      <w:numFmt w:val="lowerLetter"/>
      <w:start w:val="2"/>
    </w:lvl>
  </w:abstractNum>
  <w:abstractNum w:abstractNumId="250">
    <w:nsid w:val="47C7C971"/>
    <w:multiLevelType w:val="hybridMultilevel"/>
    <w:lvl w:ilvl="0">
      <w:lvlJc w:val="left"/>
      <w:lvlText w:val="(%1)"/>
      <w:numFmt w:val="lowerLetter"/>
      <w:start w:val="1"/>
    </w:lvl>
    <w:lvl w:ilvl="1">
      <w:lvlJc w:val="left"/>
      <w:lvlText w:val="(%2)"/>
      <w:numFmt w:val="lowerRoman"/>
      <w:start w:val="1"/>
    </w:lvl>
  </w:abstractNum>
  <w:abstractNum w:abstractNumId="251">
    <w:nsid w:val="46F8284B"/>
    <w:multiLevelType w:val="hybridMultilevel"/>
    <w:lvl w:ilvl="0">
      <w:lvlJc w:val="left"/>
      <w:lvlText w:val="(%1)"/>
      <w:numFmt w:val="lowerLetter"/>
      <w:start w:val="3"/>
    </w:lvl>
  </w:abstractNum>
  <w:abstractNum w:abstractNumId="252">
    <w:nsid w:val="4FA327CE"/>
    <w:multiLevelType w:val="hybridMultilevel"/>
    <w:lvl w:ilvl="0">
      <w:lvlJc w:val="left"/>
      <w:lvlText w:val="(%1)"/>
      <w:numFmt w:val="lowerLetter"/>
      <w:start w:val="1"/>
    </w:lvl>
  </w:abstractNum>
  <w:abstractNum w:abstractNumId="253">
    <w:nsid w:val="1873983A"/>
    <w:multiLevelType w:val="hybridMultilevel"/>
    <w:lvl w:ilvl="0">
      <w:lvlJc w:val="left"/>
      <w:lvlText w:val="(%1)"/>
      <w:numFmt w:val="lowerLetter"/>
      <w:start w:val="2"/>
    </w:lvl>
  </w:abstractNum>
  <w:abstractNum w:abstractNumId="254">
    <w:nsid w:val="3D2DD275"/>
    <w:multiLevelType w:val="hybridMultilevel"/>
    <w:lvl w:ilvl="0">
      <w:lvlJc w:val="left"/>
      <w:lvlText w:val="(%1)"/>
      <w:numFmt w:val="lowerLetter"/>
      <w:start w:val="1"/>
    </w:lvl>
  </w:abstractNum>
  <w:abstractNum w:abstractNumId="255">
    <w:nsid w:val="2E17ECA7"/>
    <w:multiLevelType w:val="hybridMultilevel"/>
    <w:lvl w:ilvl="0">
      <w:lvlJc w:val="left"/>
      <w:lvlText w:val="(%1)"/>
      <w:numFmt w:val="lowerLetter"/>
      <w:start w:val="1"/>
    </w:lvl>
  </w:abstractNum>
  <w:abstractNum w:abstractNumId="256">
    <w:nsid w:val="53B2564F"/>
    <w:multiLevelType w:val="hybridMultilevel"/>
    <w:lvl w:ilvl="0">
      <w:lvlJc w:val="left"/>
      <w:lvlText w:val="(%1)"/>
      <w:numFmt w:val="lowerLetter"/>
      <w:start w:val="5"/>
    </w:lvl>
  </w:abstractNum>
  <w:abstractNum w:abstractNumId="257">
    <w:nsid w:val="75509D76"/>
    <w:multiLevelType w:val="hybridMultilevel"/>
    <w:lvl w:ilvl="0">
      <w:lvlJc w:val="left"/>
      <w:lvlText w:val="(%1)"/>
      <w:numFmt w:val="lowerLetter"/>
      <w:start w:val="1"/>
    </w:lvl>
  </w:abstractNum>
  <w:abstractNum w:abstractNumId="258">
    <w:nsid w:val="1AF7F0EA"/>
    <w:multiLevelType w:val="hybridMultilevel"/>
    <w:lvl w:ilvl="0">
      <w:lvlJc w:val="left"/>
      <w:lvlText w:val="(%1)"/>
      <w:numFmt w:val="lowerLetter"/>
      <w:start w:val="1"/>
    </w:lvl>
  </w:abstractNum>
  <w:abstractNum w:abstractNumId="259">
    <w:nsid w:val="4DA32C7E"/>
    <w:multiLevelType w:val="hybridMultilevel"/>
    <w:lvl w:ilvl="0">
      <w:lvlJc w:val="left"/>
      <w:lvlText w:val="(%1)"/>
      <w:numFmt w:val="lowerLetter"/>
      <w:start w:val="5"/>
    </w:lvl>
  </w:abstractNum>
  <w:abstractNum w:abstractNumId="260">
    <w:nsid w:val="6EC68664"/>
    <w:multiLevelType w:val="hybridMultilevel"/>
    <w:lvl w:ilvl="0">
      <w:lvlJc w:val="left"/>
      <w:lvlText w:val="(%1)"/>
      <w:numFmt w:val="lowerLetter"/>
      <w:start w:val="1"/>
    </w:lvl>
  </w:abstractNum>
  <w:abstractNum w:abstractNumId="261">
    <w:nsid w:val="E0D31FF"/>
    <w:multiLevelType w:val="hybridMultilevel"/>
    <w:lvl w:ilvl="0">
      <w:lvlJc w:val="left"/>
      <w:lvlText w:val="(%1)"/>
      <w:numFmt w:val="lowerLetter"/>
      <w:start w:val="2"/>
    </w:lvl>
    <w:lvl w:ilvl="1">
      <w:lvlJc w:val="left"/>
      <w:lvlText w:val="(%2)"/>
      <w:numFmt w:val="lowerRoman"/>
      <w:start w:val="1"/>
    </w:lvl>
  </w:abstractNum>
  <w:abstractNum w:abstractNumId="262">
    <w:nsid w:val="2FD0AD81"/>
    <w:multiLevelType w:val="hybridMultilevel"/>
    <w:lvl w:ilvl="0">
      <w:lvlJc w:val="left"/>
      <w:lvlText w:val="(%1)"/>
      <w:numFmt w:val="lowerLetter"/>
      <w:start w:val="5"/>
    </w:lvl>
  </w:abstractNum>
  <w:abstractNum w:abstractNumId="263">
    <w:nsid w:val="1978EBEB"/>
    <w:multiLevelType w:val="hybridMultilevel"/>
    <w:lvl w:ilvl="0">
      <w:lvlJc w:val="left"/>
      <w:lvlText w:val="%1"/>
      <w:numFmt w:val="lowerLetter"/>
      <w:start w:val="1"/>
    </w:lvl>
    <w:lvl w:ilvl="1">
      <w:lvlJc w:val="left"/>
      <w:lvlText w:val="(%2)"/>
      <w:numFmt w:val="lowerLetter"/>
      <w:start w:val="1"/>
    </w:lvl>
  </w:abstractNum>
  <w:abstractNum w:abstractNumId="264">
    <w:nsid w:val="52C12C61"/>
    <w:multiLevelType w:val="hybridMultilevel"/>
    <w:lvl w:ilvl="0">
      <w:lvlJc w:val="left"/>
      <w:lvlText w:val="(%1)"/>
      <w:numFmt w:val="lowerLetter"/>
      <w:start w:val="35"/>
    </w:lvl>
    <w:lvl w:ilvl="1">
      <w:lvlJc w:val="left"/>
      <w:lvlText w:val="%2"/>
      <w:numFmt w:val="lowerLetter"/>
      <w:start w:val="1"/>
    </w:lvl>
  </w:abstractNum>
  <w:abstractNum w:abstractNumId="265">
    <w:nsid w:val="4BDD53FD"/>
    <w:multiLevelType w:val="hybridMultilevel"/>
    <w:lvl w:ilvl="0">
      <w:lvlJc w:val="left"/>
      <w:lvlText w:val="(%1)"/>
      <w:numFmt w:val="lowerLetter"/>
      <w:start w:val="2"/>
    </w:lvl>
  </w:abstractNum>
  <w:abstractNum w:abstractNumId="266">
    <w:nsid w:val="569951FE"/>
    <w:multiLevelType w:val="hybridMultilevel"/>
    <w:lvl w:ilvl="0">
      <w:lvlJc w:val="left"/>
      <w:lvlText w:val="(%1)"/>
      <w:numFmt w:val="lowerLetter"/>
      <w:start w:val="5"/>
    </w:lvl>
  </w:abstractNum>
  <w:abstractNum w:abstractNumId="267">
    <w:nsid w:val="4C54E2C3"/>
    <w:multiLevelType w:val="hybridMultilevel"/>
    <w:lvl w:ilvl="0">
      <w:lvlJc w:val="left"/>
      <w:lvlText w:val="%1"/>
      <w:numFmt w:val="lowerLetter"/>
      <w:start w:val="1"/>
    </w:lvl>
    <w:lvl w:ilvl="1">
      <w:lvlJc w:val="left"/>
      <w:lvlText w:val="(%2)"/>
      <w:numFmt w:val="lowerLetter"/>
      <w:start w:val="1"/>
    </w:lvl>
  </w:abstractNum>
  <w:abstractNum w:abstractNumId="268">
    <w:nsid w:val="788BD9B"/>
    <w:multiLevelType w:val="hybridMultilevel"/>
    <w:lvl w:ilvl="0">
      <w:lvlJc w:val="left"/>
      <w:lvlText w:val="(%1)"/>
      <w:numFmt w:val="lowerLetter"/>
      <w:start w:val="9"/>
    </w:lvl>
    <w:lvl w:ilvl="1">
      <w:lvlJc w:val="left"/>
      <w:lvlText w:val="%2"/>
      <w:numFmt w:val="lowerLetter"/>
      <w:start w:val="1"/>
    </w:lvl>
  </w:abstractNum>
  <w:abstractNum w:abstractNumId="269">
    <w:nsid w:val="47CAA567"/>
    <w:multiLevelType w:val="hybridMultilevel"/>
    <w:lvl w:ilvl="0">
      <w:lvlJc w:val="left"/>
      <w:lvlText w:val="(%1)"/>
      <w:numFmt w:val="lowerLetter"/>
      <w:start w:val="22"/>
    </w:lvl>
    <w:lvl w:ilvl="1">
      <w:lvlJc w:val="left"/>
      <w:lvlText w:val="(%2)"/>
      <w:numFmt w:val="lowerLetter"/>
      <w:start w:val="3"/>
    </w:lvl>
  </w:abstractNum>
  <w:abstractNum w:abstractNumId="270">
    <w:nsid w:val="48249DBF"/>
    <w:multiLevelType w:val="hybridMultilevel"/>
    <w:lvl w:ilvl="0">
      <w:lvlJc w:val="left"/>
      <w:lvlText w:val="(%1)"/>
      <w:numFmt w:val="lowerLetter"/>
      <w:start w:val="1"/>
    </w:lvl>
  </w:abstractNum>
  <w:abstractNum w:abstractNumId="271">
    <w:nsid w:val="1F0E5D0D"/>
    <w:multiLevelType w:val="hybridMultilevel"/>
    <w:lvl w:ilvl="0">
      <w:lvlJc w:val="left"/>
      <w:lvlText w:val="%1"/>
      <w:numFmt w:val="lowerLetter"/>
      <w:start w:val="1"/>
    </w:lvl>
    <w:lvl w:ilvl="1">
      <w:lvlJc w:val="left"/>
      <w:lvlText w:val="(%2)"/>
      <w:numFmt w:val="lowerLetter"/>
      <w:start w:val="3"/>
    </w:lvl>
  </w:abstractNum>
  <w:abstractNum w:abstractNumId="272">
    <w:nsid w:val="26BAAE9"/>
    <w:multiLevelType w:val="hybridMultilevel"/>
    <w:lvl w:ilvl="0">
      <w:lvlJc w:val="left"/>
      <w:lvlText w:val="(%1)"/>
      <w:numFmt w:val="lowerLetter"/>
      <w:start w:val="35"/>
    </w:lvl>
    <w:lvl w:ilvl="1">
      <w:lvlJc w:val="left"/>
      <w:lvlText w:val="(%2)"/>
      <w:numFmt w:val="lowerLetter"/>
      <w:start w:val="4"/>
    </w:lvl>
  </w:abstractNum>
  <w:abstractNum w:abstractNumId="273">
    <w:nsid w:val="2C02FE8C"/>
    <w:multiLevelType w:val="hybridMultilevel"/>
    <w:lvl w:ilvl="0">
      <w:lvlJc w:val="left"/>
      <w:lvlText w:val="(%1)"/>
      <w:numFmt w:val="lowerLetter"/>
      <w:start w:val="1"/>
    </w:lvl>
  </w:abstractNum>
  <w:abstractNum w:abstractNumId="274">
    <w:nsid w:val="129517E"/>
    <w:multiLevelType w:val="hybridMultilevel"/>
    <w:lvl w:ilvl="0">
      <w:lvlJc w:val="left"/>
      <w:lvlText w:val="(%1)"/>
      <w:numFmt w:val="lowerLetter"/>
      <w:start w:val="1"/>
    </w:lvl>
  </w:abstractNum>
  <w:abstractNum w:abstractNumId="275">
    <w:nsid w:val="763B8C4E"/>
    <w:multiLevelType w:val="hybridMultilevel"/>
    <w:lvl w:ilvl="0">
      <w:lvlJc w:val="left"/>
      <w:lvlText w:val="(%1)"/>
      <w:numFmt w:val="lowerLetter"/>
      <w:start w:val="1"/>
    </w:lvl>
  </w:abstractNum>
  <w:abstractNum w:abstractNumId="276">
    <w:nsid w:val="4CFB8D32"/>
    <w:multiLevelType w:val="hybridMultilevel"/>
    <w:lvl w:ilvl="0">
      <w:lvlJc w:val="left"/>
      <w:lvlText w:val="(%1)"/>
      <w:numFmt w:val="lowerLetter"/>
      <w:start w:val="2"/>
    </w:lvl>
  </w:abstractNum>
  <w:abstractNum w:abstractNumId="277">
    <w:nsid w:val="62A5D5BD"/>
    <w:multiLevelType w:val="hybridMultilevel"/>
    <w:lvl w:ilvl="0">
      <w:lvlJc w:val="left"/>
      <w:lvlText w:val="%1"/>
      <w:numFmt w:val="upperLetter"/>
      <w:start w:val="1"/>
    </w:lvl>
    <w:lvl w:ilvl="1">
      <w:lvlJc w:val="left"/>
      <w:lvlText w:val="(%2)"/>
      <w:numFmt w:val="lowerLetter"/>
      <w:start w:val="1"/>
    </w:lvl>
  </w:abstractNum>
  <w:abstractNum w:abstractNumId="278">
    <w:nsid w:val="718FABF9"/>
    <w:multiLevelType w:val="hybridMultilevel"/>
    <w:lvl w:ilvl="0">
      <w:lvlJc w:val="left"/>
      <w:lvlText w:val="(%1)"/>
      <w:numFmt w:val="upperLetter"/>
      <w:start w:val="1"/>
    </w:lvl>
    <w:lvl w:ilvl="1">
      <w:lvlJc w:val="left"/>
      <w:lvlText w:val="%2"/>
      <w:numFmt w:val="lowerLetter"/>
      <w:start w:val="1"/>
    </w:lvl>
  </w:abstractNum>
  <w:abstractNum w:abstractNumId="279">
    <w:nsid w:val="7775797C"/>
    <w:multiLevelType w:val="hybridMultilevel"/>
    <w:lvl w:ilvl="0">
      <w:lvlJc w:val="left"/>
      <w:lvlText w:val="(%1)"/>
      <w:numFmt w:val="lowerLetter"/>
      <w:start w:val="2"/>
    </w:lvl>
  </w:abstractNum>
  <w:abstractNum w:abstractNumId="280">
    <w:nsid w:val="1626FB8C"/>
    <w:multiLevelType w:val="hybridMultilevel"/>
    <w:lvl w:ilvl="0">
      <w:lvlJc w:val="left"/>
      <w:lvlText w:val="(%1)"/>
      <w:numFmt w:val="lowerLetter"/>
      <w:start w:val="1"/>
    </w:lvl>
  </w:abstractNum>
  <w:abstractNum w:abstractNumId="281">
    <w:nsid w:val="3957756A"/>
    <w:multiLevelType w:val="hybridMultilevel"/>
    <w:lvl w:ilvl="0">
      <w:lvlJc w:val="left"/>
      <w:lvlText w:val="(%1)"/>
      <w:numFmt w:val="lowerLetter"/>
      <w:start w:val="2"/>
    </w:lvl>
  </w:abstractNum>
  <w:abstractNum w:abstractNumId="282">
    <w:nsid w:val="3E6DA1C7"/>
    <w:multiLevelType w:val="hybridMultilevel"/>
    <w:lvl w:ilvl="0">
      <w:lvlJc w:val="left"/>
      <w:lvlText w:val="(%1)"/>
      <w:numFmt w:val="lowerLetter"/>
      <w:start w:val="4"/>
    </w:lvl>
  </w:abstractNum>
  <w:abstractNum w:abstractNumId="283">
    <w:nsid w:val="65CA235B"/>
    <w:multiLevelType w:val="hybridMultilevel"/>
    <w:lvl w:ilvl="0">
      <w:lvlJc w:val="left"/>
      <w:lvlText w:val="(%1)"/>
      <w:numFmt w:val="lowerLetter"/>
      <w:start w:val="6"/>
    </w:lvl>
  </w:abstractNum>
  <w:abstractNum w:abstractNumId="284">
    <w:nsid w:val="51CB0DA4"/>
    <w:multiLevelType w:val="hybridMultilevel"/>
    <w:lvl w:ilvl="0">
      <w:lvlJc w:val="left"/>
      <w:lvlText w:val="%1."/>
      <w:numFmt w:val="decimal"/>
      <w:start w:val="1"/>
    </w:lvl>
  </w:abstractNum>
  <w:abstractNum w:abstractNumId="285">
    <w:nsid w:val="7B9B74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6">
    <w:nsid w:val="13E210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7">
    <w:nsid w:val="257D63F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8">
    <w:nsid w:val="70EC11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9">
    <w:nsid w:val="2EDA00ED"/>
    <w:multiLevelType w:val="hybridMultilevel"/>
    <w:lvl w:ilvl="0">
      <w:lvlJc w:val="left"/>
      <w:lvlText w:val="(%1)"/>
      <w:numFmt w:val="lowerRoman"/>
      <w:start w:val="1"/>
    </w:lvl>
    <w:lvl w:ilvl="1">
      <w:lvlJc w:val="left"/>
      <w:lvlText w:val="%2."/>
      <w:numFmt w:val="lowerLetter"/>
      <w:start w:val="9"/>
    </w:lvl>
  </w:abstractNum>
  <w:abstractNum w:abstractNumId="290">
    <w:nsid w:val="73209072"/>
    <w:multiLevelType w:val="hybridMultilevel"/>
    <w:lvl w:ilvl="0">
      <w:lvlJc w:val="left"/>
      <w:lvlText w:val="%1."/>
      <w:numFmt w:val="decimal"/>
      <w:start w:val="6"/>
    </w:lvl>
    <w:lvl w:ilvl="1">
      <w:lvlJc w:val="left"/>
      <w:lvlText w:val="%2."/>
      <w:numFmt w:val="lowerLetter"/>
      <w:start w:val="1"/>
    </w:lvl>
  </w:abstractNum>
  <w:abstractNum w:abstractNumId="291">
    <w:nsid w:val="5FB29816"/>
    <w:multiLevelType w:val="hybridMultilevel"/>
    <w:lvl w:ilvl="0">
      <w:lvlJc w:val="left"/>
      <w:lvlText w:val="%1."/>
      <w:numFmt w:val="decimal"/>
      <w:start w:val="7"/>
    </w:lvl>
    <w:lvl w:ilvl="1">
      <w:lvlJc w:val="left"/>
      <w:lvlText w:val="%2"/>
      <w:numFmt w:val="lowerLetter"/>
      <w:start w:val="1"/>
    </w:lvl>
  </w:abstractNum>
  <w:abstractNum w:abstractNumId="292">
    <w:nsid w:val="3CE732EC"/>
    <w:multiLevelType w:val="hybridMultilevel"/>
    <w:lvl w:ilvl="0">
      <w:lvlJc w:val="left"/>
      <w:lvlText w:val="%1."/>
      <w:numFmt w:val="lowerLetter"/>
      <w:start w:val="4"/>
    </w:lvl>
    <w:lvl w:ilvl="1">
      <w:lvlJc w:val="left"/>
      <w:lvlText w:val="(%2)"/>
      <w:numFmt w:val="lowerRoman"/>
      <w:start w:val="1"/>
    </w:lvl>
  </w:abstractNum>
  <w:abstractNum w:abstractNumId="293">
    <w:nsid w:val="22F13DF3"/>
    <w:multiLevelType w:val="hybridMultilevel"/>
    <w:lvl w:ilvl="0">
      <w:lvlJc w:val="left"/>
      <w:lvlText w:val="(%1)"/>
      <w:numFmt w:val="lowerRoman"/>
      <w:start w:val="3"/>
    </w:lvl>
  </w:abstractNum>
  <w:abstractNum w:abstractNumId="294">
    <w:nsid w:val="792B8401"/>
    <w:multiLevelType w:val="hybridMultilevel"/>
    <w:lvl w:ilvl="0">
      <w:lvlJc w:val="left"/>
      <w:lvlText w:val="%1."/>
      <w:numFmt w:val="decimal"/>
      <w:start w:val="8"/>
    </w:lvl>
    <w:lvl w:ilvl="1">
      <w:lvlJc w:val="left"/>
      <w:lvlText w:val="%2"/>
      <w:numFmt w:val="lowerLetter"/>
      <w:start w:val="1"/>
    </w:lvl>
  </w:abstractNum>
  <w:abstractNum w:abstractNumId="295">
    <w:nsid w:val="FA85F4D"/>
    <w:multiLevelType w:val="hybridMultilevel"/>
    <w:lvl w:ilvl="0">
      <w:lvlJc w:val="left"/>
      <w:lvlText w:val="%1."/>
      <w:numFmt w:val="decimal"/>
      <w:start w:val="12"/>
    </w:lvl>
  </w:abstractNum>
  <w:abstractNum w:abstractNumId="296">
    <w:nsid w:val="6ECE91F0"/>
    <w:multiLevelType w:val="hybridMultilevel"/>
    <w:lvl w:ilvl="0">
      <w:lvlJc w:val="left"/>
      <w:lvlText w:val="%1."/>
      <w:numFmt w:val="decimal"/>
      <w:start w:val="13"/>
    </w:lvl>
  </w:abstractNum>
  <w:abstractNum w:abstractNumId="297">
    <w:nsid w:val="4FC4D600"/>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98">
    <w:nsid w:val="5BFD4210"/>
    <w:multiLevelType w:val="hybridMultilevel"/>
    <w:lvl w:ilvl="0">
      <w:lvlJc w:val="left"/>
      <w:lvlText w:val="☐"/>
      <w:numFmt w:val="bullet"/>
      <w:start w:val="1"/>
    </w:lvl>
  </w:abstractNum>
  <w:abstractNum w:abstractNumId="299">
    <w:nsid w:val="76574F8B"/>
    <w:multiLevelType w:val="hybridMultilevel"/>
    <w:lvl w:ilvl="0">
      <w:lvlJc w:val="left"/>
      <w:lvlText w:val="(%1)"/>
      <w:numFmt w:val="upperLetter"/>
      <w:start w:val="1"/>
    </w:lvl>
  </w:abstractNum>
  <w:abstractNum w:abstractNumId="300">
    <w:nsid w:val="178F7B67"/>
    <w:multiLevelType w:val="hybridMultilevel"/>
    <w:lvl w:ilvl="0">
      <w:lvlJc w:val="left"/>
      <w:lvlText w:val="%1."/>
      <w:numFmt w:val="decimal"/>
      <w:start w:val="1"/>
    </w:lvl>
    <w:lvl w:ilvl="1">
      <w:lvlJc w:val="left"/>
      <w:lvlText w:val="(%2)"/>
      <w:numFmt w:val="lowerLetter"/>
      <w:start w:val="1"/>
    </w:lvl>
  </w:abstractNum>
  <w:abstractNum w:abstractNumId="301">
    <w:nsid w:val="2421DF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2">
    <w:nsid w:val="1565A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3">
    <w:nsid w:val="19FB26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4">
    <w:nsid w:val="5024DE5B"/>
    <w:multiLevelType w:val="hybridMultilevel"/>
    <w:lvl w:ilvl="0">
      <w:lvlJc w:val="left"/>
      <w:lvlText w:val="(%1)"/>
      <w:numFmt w:val="lowerLetter"/>
      <w:start w:val="2"/>
    </w:lvl>
    <w:lvl w:ilvl="1">
      <w:lvlJc w:val="left"/>
      <w:lvlText w:val="%2."/>
      <w:numFmt w:val="lowerRoman"/>
      <w:start w:val="1"/>
    </w:lvl>
  </w:abstractNum>
  <w:abstractNum w:abstractNumId="305">
    <w:nsid w:val="168EFE17"/>
    <w:multiLevelType w:val="hybridMultilevel"/>
    <w:lvl w:ilvl="0">
      <w:lvlJc w:val="left"/>
      <w:lvlText w:val="%1"/>
      <w:numFmt w:val="lowerLetter"/>
      <w:start w:val="1"/>
    </w:lvl>
    <w:lvl w:ilvl="1">
      <w:lvlJc w:val="left"/>
      <w:lvlText w:val="(%2)"/>
      <w:numFmt w:val="lowerLetter"/>
      <w:start w:val="3"/>
    </w:lvl>
  </w:abstractNum>
  <w:abstractNum w:abstractNumId="306">
    <w:nsid w:val="1036B29F"/>
    <w:multiLevelType w:val="hybridMultilevel"/>
    <w:lvl w:ilvl="0">
      <w:lvlJc w:val="left"/>
      <w:lvlText w:val="(%1)"/>
      <w:numFmt w:val="lowerLetter"/>
      <w:start w:val="35"/>
    </w:lvl>
    <w:lvl w:ilvl="1">
      <w:lvlJc w:val="left"/>
      <w:lvlText w:val="%2"/>
      <w:numFmt w:val="lowerLetter"/>
      <w:start w:val="1"/>
    </w:lvl>
  </w:abstractNum>
  <w:abstractNum w:abstractNumId="307">
    <w:nsid w:val="1D206B8E"/>
    <w:multiLevelType w:val="hybridMultilevel"/>
    <w:lvl w:ilvl="0">
      <w:lvlJc w:val="left"/>
      <w:lvlText w:val="(%1)"/>
      <w:numFmt w:val="lowerLetter"/>
      <w:start w:val="9"/>
    </w:lvl>
    <w:lvl w:ilvl="1">
      <w:lvlJc w:val="left"/>
      <w:lvlText w:val="(%2)"/>
      <w:numFmt w:val="lowerLetter"/>
      <w:start w:val="4"/>
    </w:lvl>
  </w:abstractNum>
  <w:abstractNum w:abstractNumId="308">
    <w:nsid w:val="7934D3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09">
    <w:nsid w:val="1C65E9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10">
    <w:nsid w:val="1495E50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11">
    <w:nsid w:val="F5BCF61"/>
    <w:multiLevelType w:val="hybridMultilevel"/>
    <w:lvl w:ilvl="0">
      <w:lvlJc w:val="left"/>
      <w:lvlText w:val="%1"/>
      <w:numFmt w:val="decimal"/>
      <w:start w:val="1"/>
    </w:lvl>
    <w:lvl w:ilvl="1">
      <w:lvlJc w:val="left"/>
      <w:lvlText w:val="(%2)"/>
      <w:numFmt w:val="lowerLetter"/>
      <w:start w:val="2"/>
    </w:lvl>
  </w:abstractNum>
  <w:abstractNum w:abstractNumId="312">
    <w:nsid w:val="3B1DD403"/>
    <w:multiLevelType w:val="hybridMultilevel"/>
    <w:lvl w:ilvl="0">
      <w:lvlJc w:val="left"/>
      <w:lvlText w:val="%1."/>
      <w:numFmt w:val="decimal"/>
      <w:start w:val="6"/>
    </w:lvl>
    <w:lvl w:ilvl="1">
      <w:lvlJc w:val="left"/>
      <w:lvlText w:val="(%2)"/>
      <w:numFmt w:val="lowerLetter"/>
      <w:start w:val="1"/>
    </w:lvl>
  </w:abstractNum>
  <w:abstractNum w:abstractNumId="313">
    <w:nsid w:val="530386D1"/>
    <w:multiLevelType w:val="hybridMultilevel"/>
    <w:lvl w:ilvl="0">
      <w:lvlJc w:val="left"/>
      <w:lvlText w:val="(%1)"/>
      <w:numFmt w:val="lowerLetter"/>
      <w:start w:val="3"/>
    </w:lvl>
  </w:abstractNum>
  <w:abstractNum w:abstractNumId="314">
    <w:nsid w:val="7525F2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315">
    <w:nsid w:val="CE8E1A7"/>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316">
    <w:nsid w:val="4E9EFB0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17">
    <w:nsid w:val="90802BE"/>
    <w:multiLevelType w:val="hybridMultilevel"/>
    <w:lvl w:ilvl="0">
      <w:lvlJc w:val="left"/>
      <w:lvlText w:val="%1"/>
      <w:numFmt w:val="lowerRoman"/>
      <w:start w:val="1"/>
    </w:lvl>
    <w:lvl w:ilvl="1">
      <w:lvlJc w:val="left"/>
      <w:lvlText w:val="%2."/>
      <w:numFmt w:val="decimal"/>
      <w:start w:val="9"/>
    </w:lvl>
  </w:abstractNum>
  <w:abstractNum w:abstractNumId="318">
    <w:nsid w:val="3266459B"/>
    <w:multiLevelType w:val="hybridMultilevel"/>
    <w:lvl w:ilvl="0">
      <w:lvlJc w:val="left"/>
      <w:lvlText w:val="(%1)"/>
      <w:numFmt w:val="lowerRoman"/>
      <w:start w:val="2"/>
    </w:lvl>
    <w:lvl w:ilvl="1">
      <w:lvlJc w:val="left"/>
      <w:lvlText w:val="%2."/>
      <w:numFmt w:val="decimal"/>
      <w:start w:val="10"/>
    </w:lvl>
  </w:abstractNum>
  <w:abstractNum w:abstractNumId="319">
    <w:nsid w:val="3F8B0CBF"/>
    <w:multiLevelType w:val="hybridMultilevel"/>
    <w:lvl w:ilvl="0">
      <w:lvlJc w:val="left"/>
      <w:lvlText w:val="%1."/>
      <w:numFmt w:val="decimal"/>
      <w:start w:val="1"/>
    </w:lvl>
  </w:abstractNum>
  <w:abstractNum w:abstractNumId="320">
    <w:nsid w:val="37E203AB"/>
    <w:multiLevelType w:val="hybridMultilevel"/>
    <w:lvl w:ilvl="0">
      <w:lvlJc w:val="left"/>
      <w:lvlText w:val="%1."/>
      <w:numFmt w:val="decimal"/>
      <w:start w:val="7"/>
    </w:lvl>
  </w:abstractNum>
  <w:abstractNum w:abstractNumId="321">
    <w:nsid w:val="2586D60E"/>
    <w:multiLevelType w:val="hybridMultilevel"/>
    <w:lvl w:ilvl="0">
      <w:lvlJc w:val="left"/>
      <w:lvlText w:val="(%1)"/>
      <w:numFmt w:val="lowerRoman"/>
      <w:start w:val="1"/>
    </w:lvl>
  </w:abstractNum>
  <w:abstractNum w:abstractNumId="322">
    <w:nsid w:val="1F3DA4D5"/>
    <w:multiLevelType w:val="hybridMultilevel"/>
    <w:lvl w:ilvl="0">
      <w:lvlJc w:val="left"/>
      <w:lvlText w:val="(%1)"/>
      <w:numFmt w:val="lowerLetter"/>
      <w:start w:val="1"/>
    </w:lvl>
  </w:abstractNum>
  <w:abstractNum w:abstractNumId="323">
    <w:nsid w:val="74C93698"/>
    <w:multiLevelType w:val="hybridMultilevel"/>
    <w:lvl w:ilvl="0">
      <w:lvlJc w:val="left"/>
      <w:lvlText w:val="(%1)"/>
      <w:numFmt w:val="lowerLetter"/>
      <w:start w:val="1"/>
    </w:lvl>
  </w:abstractNum>
  <w:abstractNum w:abstractNumId="324">
    <w:nsid w:val="48781401"/>
    <w:multiLevelType w:val="hybridMultilevel"/>
    <w:lvl w:ilvl="0">
      <w:lvlJc w:val="left"/>
      <w:lvlText w:val="(%1)"/>
      <w:numFmt w:val="lowerLetter"/>
      <w:start w:val="1"/>
    </w:lvl>
  </w:abstractNum>
  <w:abstractNum w:abstractNumId="325">
    <w:nsid w:val="186928D6"/>
    <w:multiLevelType w:val="hybridMultilevel"/>
    <w:lvl w:ilvl="0">
      <w:lvlJc w:val="left"/>
      <w:lvlText w:val="%1"/>
      <w:numFmt w:val="lowerLetter"/>
      <w:start w:val="1"/>
    </w:lvl>
    <w:lvl w:ilvl="1">
      <w:lvlJc w:val="left"/>
      <w:lvlText w:val="(%2)"/>
      <w:numFmt w:val="lowerLetter"/>
      <w:start w:val="3"/>
    </w:lvl>
  </w:abstractNum>
  <w:abstractNum w:abstractNumId="326">
    <w:nsid w:val="47195E5"/>
    <w:multiLevelType w:val="hybridMultilevel"/>
    <w:lvl w:ilvl="0">
      <w:lvlJc w:val="left"/>
      <w:lvlText w:val="(%1)"/>
      <w:numFmt w:val="lowerLetter"/>
      <w:start w:val="9"/>
    </w:lvl>
    <w:lvl w:ilvl="1">
      <w:lvlJc w:val="left"/>
      <w:lvlText w:val="(%2)"/>
      <w:numFmt w:val="lowerLetter"/>
      <w:start w:val="4"/>
    </w:lvl>
  </w:abstractNum>
  <w:abstractNum w:abstractNumId="327">
    <w:nsid w:val="3746A5F2"/>
    <w:multiLevelType w:val="hybridMultilevel"/>
    <w:lvl w:ilvl="0">
      <w:lvlJc w:val="left"/>
      <w:lvlText w:val="(%1)"/>
      <w:numFmt w:val="lowerLetter"/>
      <w:start w:val="61"/>
    </w:lvl>
    <w:lvl w:ilvl="1">
      <w:lvlJc w:val="left"/>
      <w:lvlText w:val="(%2)"/>
      <w:numFmt w:val="lowerLetter"/>
      <w:start w:val="5"/>
    </w:lvl>
  </w:abstractNum>
  <w:abstractNum w:abstractNumId="328">
    <w:nsid w:val="682DFED6"/>
    <w:multiLevelType w:val="hybridMultilevel"/>
    <w:lvl w:ilvl="0">
      <w:lvlJc w:val="left"/>
      <w:lvlText w:val="(%1)"/>
      <w:numFmt w:val="lowerLetter"/>
      <w:start w:val="1"/>
    </w:lvl>
  </w:abstractNum>
  <w:abstractNum w:abstractNumId="329">
    <w:nsid w:val="606ED7F6"/>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9"/>
    </w:lvl>
  </w:abstractNum>
  <w:abstractNum w:abstractNumId="330">
    <w:nsid w:val="2D9DF57D"/>
    <w:multiLevelType w:val="hybridMultilevel"/>
    <w:lvl w:ilvl="0">
      <w:lvlJc w:val="left"/>
      <w:lvlText w:val="%1"/>
      <w:numFmt w:val="upperLetter"/>
      <w:start w:val="1"/>
    </w:lvl>
    <w:lvl w:ilvl="1">
      <w:lvlJc w:val="left"/>
      <w:lvlText w:val="(%2)"/>
      <w:numFmt w:val="lowerRoman"/>
      <w:start w:val="2"/>
    </w:lvl>
  </w:abstractNum>
  <w:abstractNum w:abstractNumId="331">
    <w:nsid w:val="7FBD7A3E"/>
    <w:multiLevelType w:val="hybridMultilevel"/>
    <w:lvl w:ilvl="0">
      <w:lvlJc w:val="left"/>
      <w:lvlText w:val="(%1)"/>
      <w:numFmt w:val="upperLetter"/>
      <w:start w:val="1"/>
    </w:lvl>
    <w:lvl w:ilvl="1">
      <w:lvlJc w:val="left"/>
      <w:lvlText w:val="%2"/>
      <w:numFmt w:val="lowerRoman"/>
      <w:start w:val="1"/>
    </w:lvl>
  </w:abstractNum>
  <w:abstractNum w:abstractNumId="332">
    <w:nsid w:val="490B7C5"/>
    <w:multiLevelType w:val="hybridMultilevel"/>
    <w:lvl w:ilvl="0">
      <w:lvlJc w:val="left"/>
      <w:lvlText w:val="(%1)"/>
      <w:numFmt w:val="lowerLetter"/>
      <w:start w:val="3"/>
    </w:lvl>
  </w:abstractNum>
  <w:abstractNum w:abstractNumId="333">
    <w:nsid w:val="4303A216"/>
    <w:multiLevelType w:val="hybridMultilevel"/>
    <w:lvl w:ilvl="0">
      <w:lvlJc w:val="left"/>
      <w:lvlText w:val="(%1)"/>
      <w:numFmt w:val="lowerLetter"/>
      <w:start w:val="1"/>
    </w:lvl>
  </w:abstractNum>
  <w:abstractNum w:abstractNumId="334">
    <w:nsid w:val="19B8A08E"/>
    <w:multiLevelType w:val="hybridMultilevel"/>
    <w:lvl w:ilvl="0">
      <w:lvlJc w:val="left"/>
      <w:lvlText w:val="(%1)"/>
      <w:numFmt w:val="lowerLetter"/>
      <w:start w:val="4"/>
    </w:lvl>
  </w:abstractNum>
  <w:abstractNum w:abstractNumId="335">
    <w:nsid w:val="54B59621"/>
    <w:multiLevelType w:val="hybridMultilevel"/>
    <w:lvl w:ilvl="0">
      <w:lvlJc w:val="left"/>
      <w:lvlText w:val="(%1)"/>
      <w:numFmt w:val="lowerLetter"/>
      <w:start w:val="10"/>
    </w:lvl>
  </w:abstractNum>
  <w:abstractNum w:abstractNumId="336">
    <w:nsid w:val="5992A02E"/>
    <w:multiLevelType w:val="hybridMultilevel"/>
    <w:lvl w:ilvl="0">
      <w:lvlJc w:val="left"/>
      <w:lvlText w:val="(%1)"/>
      <w:numFmt w:val="lowerLetter"/>
      <w:start w:val="1"/>
    </w:lvl>
  </w:abstractNum>
  <w:abstractNum w:abstractNumId="337">
    <w:nsid w:val="29EF532D"/>
    <w:multiLevelType w:val="hybridMultilevel"/>
    <w:lvl w:ilvl="0">
      <w:lvlJc w:val="left"/>
      <w:lvlText w:val="(%1)"/>
      <w:numFmt w:val="lowerLetter"/>
      <w:start w:val="2"/>
    </w:lvl>
  </w:abstractNum>
  <w:abstractNum w:abstractNumId="338">
    <w:nsid w:val="71D601AF"/>
    <w:multiLevelType w:val="hybridMultilevel"/>
    <w:lvl w:ilvl="0">
      <w:lvlJc w:val="left"/>
      <w:lvlText w:val="(%1)"/>
      <w:numFmt w:val="lowerLetter"/>
      <w:start w:val="1"/>
    </w:lvl>
  </w:abstractNum>
  <w:abstractNum w:abstractNumId="339">
    <w:nsid w:val="52C77402"/>
    <w:multiLevelType w:val="hybridMultilevel"/>
    <w:lvl w:ilvl="0">
      <w:lvlJc w:val="left"/>
      <w:lvlText w:val="(%1)"/>
      <w:numFmt w:val="lowerLetter"/>
      <w:start w:val="1"/>
    </w:lvl>
  </w:abstractNum>
  <w:abstractNum w:abstractNumId="340">
    <w:nsid w:val="2BB5B1C6"/>
    <w:multiLevelType w:val="hybridMultilevel"/>
    <w:lvl w:ilvl="0">
      <w:lvlJc w:val="left"/>
      <w:lvlText w:val="(%1)"/>
      <w:numFmt w:val="lowerLetter"/>
      <w:start w:val="2"/>
    </w:lvl>
  </w:abstractNum>
  <w:abstractNum w:abstractNumId="341">
    <w:nsid w:val="66BE6B9"/>
    <w:multiLevelType w:val="hybridMultilevel"/>
    <w:lvl w:ilvl="0">
      <w:lvlJc w:val="left"/>
      <w:lvlText w:val="%1"/>
      <w:numFmt w:val="upperLetter"/>
      <w:start w:val="61"/>
    </w:lvl>
  </w:abstractNum>
  <w:abstractNum w:abstractNumId="342">
    <w:nsid w:val="62234363"/>
    <w:multiLevelType w:val="hybridMultilevel"/>
    <w:lvl w:ilvl="0">
      <w:lvlJc w:val="left"/>
      <w:lvlText w:val="(%1)"/>
      <w:numFmt w:val="lowerLetter"/>
      <w:start w:val="1"/>
    </w:lvl>
  </w:abstractNum>
  <w:abstractNum w:abstractNumId="343">
    <w:nsid w:val="66D385C9"/>
    <w:multiLevelType w:val="hybridMultilevel"/>
    <w:lvl w:ilvl="0">
      <w:lvlJc w:val="left"/>
      <w:lvlText w:val="(%1)"/>
      <w:numFmt w:val="lowerLetter"/>
      <w:start w:val="1"/>
    </w:lvl>
  </w:abstractNum>
  <w:abstractNum w:abstractNumId="344">
    <w:nsid w:val="596F6D8A"/>
    <w:multiLevelType w:val="hybridMultilevel"/>
    <w:lvl w:ilvl="0">
      <w:lvlJc w:val="left"/>
      <w:lvlText w:val="(%1)"/>
      <w:numFmt w:val="lowerLetter"/>
      <w:start w:val="4"/>
    </w:lvl>
  </w:abstractNum>
  <w:abstractNum w:abstractNumId="345">
    <w:nsid w:val="5749361F"/>
    <w:multiLevelType w:val="hybridMultilevel"/>
    <w:lvl w:ilvl="0">
      <w:lvlJc w:val="left"/>
      <w:lvlText w:val="(%1)"/>
      <w:numFmt w:val="lowerLetter"/>
      <w:start w:val="1"/>
    </w:lvl>
  </w:abstractNum>
  <w:abstractNum w:abstractNumId="346">
    <w:nsid w:val="73BC6770"/>
    <w:multiLevelType w:val="hybridMultilevel"/>
    <w:lvl w:ilvl="0">
      <w:lvlJc w:val="left"/>
      <w:lvlText w:val="(%1)"/>
      <w:numFmt w:val="lowerLetter"/>
      <w:start w:val="2"/>
    </w:lvl>
  </w:abstractNum>
  <w:abstractNum w:abstractNumId="347">
    <w:nsid w:val="280E6897"/>
    <w:multiLevelType w:val="hybridMultilevel"/>
    <w:lvl w:ilvl="0">
      <w:lvlJc w:val="left"/>
      <w:lvlText w:val="(%1)"/>
      <w:numFmt w:val="lowerLetter"/>
      <w:start w:val="3"/>
    </w:lvl>
  </w:abstractNum>
  <w:abstractNum w:abstractNumId="348">
    <w:nsid w:val="605138DE"/>
    <w:multiLevelType w:val="hybridMultilevel"/>
    <w:lvl w:ilvl="0">
      <w:lvlJc w:val="left"/>
      <w:lvlText w:val="(%1)"/>
      <w:numFmt w:val="upperLetter"/>
      <w:start w:val="2"/>
    </w:lvl>
  </w:abstractNum>
  <w:abstractNum w:abstractNumId="349">
    <w:nsid w:val="2622AD0C"/>
    <w:multiLevelType w:val="hybridMultilevel"/>
    <w:lvl w:ilvl="0">
      <w:lvlJc w:val="left"/>
      <w:lvlText w:val="(%1)"/>
      <w:numFmt w:val="lowerRoman"/>
      <w:start w:val="2"/>
    </w:lvl>
  </w:abstractNum>
  <w:abstractNum w:abstractNumId="350">
    <w:nsid w:val="67997556"/>
    <w:multiLevelType w:val="hybridMultilevel"/>
    <w:lvl w:ilvl="0">
      <w:lvlJc w:val="left"/>
      <w:lvlText w:val="(%1)"/>
      <w:numFmt w:val="lowerLetter"/>
      <w:start w:val="2"/>
    </w:lvl>
  </w:abstractNum>
  <w:abstractNum w:abstractNumId="351">
    <w:nsid w:val="18333C89"/>
    <w:multiLevelType w:val="hybridMultilevel"/>
    <w:lvl w:ilvl="0">
      <w:lvlJc w:val="left"/>
      <w:lvlText w:val="(%1)"/>
      <w:numFmt w:val="lowerLetter"/>
      <w:start w:val="1"/>
    </w:lvl>
  </w:abstractNum>
  <w:abstractNum w:abstractNumId="352">
    <w:nsid w:val="4BA9831A"/>
    <w:multiLevelType w:val="hybridMultilevel"/>
    <w:lvl w:ilvl="0">
      <w:lvlJc w:val="left"/>
      <w:lvlText w:val="(%1)"/>
      <w:numFmt w:val="lowerLetter"/>
      <w:start w:val="4"/>
    </w:lvl>
  </w:abstractNum>
  <w:abstractNum w:abstractNumId="353">
    <w:nsid w:val="6D71A2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2021-12-03T05:16:26Z</dcterms:created>
  <dcterms:modified xsi:type="dcterms:W3CDTF">2021-12-03T05:16:26Z</dcterms:modified>
</cp:coreProperties>
</file>