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182665-s3_opalfuels.htm"/>
      <w:bookmarkStart w:id="1" w:name="ksea182665s3_opalfuels"/>
      <w:bookmarkEnd w:id="0"/>
      <w:bookmarkEnd w:id="1"/>
      <w:r>
        <w:rPr>
          <w:rFonts w:ascii="Times New Roman;Times;Serif" w:hAnsi="Times New Roman;Times;Serif"/>
          <w:b/>
          <w:i w:val="false"/>
          <w:caps w:val="false"/>
          <w:smallCaps w:val="false"/>
          <w:sz w:val="20"/>
        </w:rPr>
        <w:t>As filed with the Securities and Exchange Commission on August 1, 2023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OPAL FUELS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sz w:val="20"/>
              </w:rPr>
            </w:pPr>
            <w:r>
              <w:rPr>
                <w:b/>
                <w:sz w:val="20"/>
              </w:rPr>
              <w:t>98-1578357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North Lexington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Plains, New York 10601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(914) 705-4000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 Anthony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OPAL Fuels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North Lexington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Plains, New York 10601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(914) 705-4000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communications, including communications sent to agent for service, should be sent to:</w:t>
      </w:r>
    </w:p>
    <w:p>
      <w:pPr>
        <w:pStyle w:val="TextBody"/>
        <w:bidi w:val="0"/>
        <w:spacing w:before="0" w:after="0"/>
        <w:ind w:left="0" w:right="0" w:hanging="0"/>
        <w:jc w:val="center"/>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3725"/>
      </w:tblGrid>
      <w:tr>
        <w:trPr/>
        <w:tc>
          <w:tcPr>
            <w:tcW w:w="372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Edward M. Welch, Esq.</w:t>
              <w:br/>
              <w:t>Sheppard, Mullin, Richter &amp; Hampton LLP</w:t>
              <w:br/>
              <w:t>30 Rockefeller Plaza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10112</w:t>
              <w:br/>
              <w:t>Tel: (212) 653-8700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this Registration Statement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COMPLETION, DATED AUGUST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5146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4600"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OPAL FUELS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in one or more offerings, any combination of Class A common stock, preferred stock, debt securities, warrants to purchase Class A common stock, preferred stock or debt securities, or any combination of the foregoing, either individually or as units comprised of one or more of the other securities, having aggregate offering proceeds not exceeding $100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Each time we sell a particular class or series of securities, we will provide specific terms of the securities offered in a supplement to this prospectus. The prospectus supplement and any related free writing prospectus may also add, update or change information contained in this prospectus. We may also authorize one or more free writing prospectuses to be provided to you in connection with these offerings. You should read carefully this prospectus, the applicable prospectus supplement and any related free writing prospectus, as well as any documents incorporated by reference herein or therein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securities to be offered, and the specific manner in which they may be offered, will be described in one or more supplements to this prospectus. This prospectus may not be used to consummate sales of any of these securities unless it is accompanied by a prospectus supplement. Before investing, you should carefully read this prospectus and any related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presently listed on The Nasdaq Capital Market under the symbol “OPAL.” On July 31, 2023, the last reported sale price of our Class A common stock was $7.79 per share. The applicable prospectus supplement will contain information, where applicable, as to any other listing on The Nasdaq Capital Market or any securities market or other exchange of the securities, if any, covered by the prospectus supplement. Prospective purchasers of our securities are urged to obtain current information as to the market prices of our securities, where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sold directly by us, through dealers or agents designated from time to time, to or through underwriters, dealers, or through a combination of these methods on a continuous or delayed basis. See “Plan of Distribution” in this prospectus. We may also describe the plan of distribution for any particular offering of our securities in a prospectus supplement. If any agents, underwriters or dealers are involved in the sale of any securities in respect of which this prospectus is being delivered, we will disclose their names and the nature of our arrangements with them in a prospectus supplement. The price to the public of such securities and the net proceeds we expect to receive from any such sale will also be included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defined under the federal securities laws and, as such, are subject to certain reduced public company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4 of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890"/>
        <w:gridCol w:w="275"/>
      </w:tblGrid>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TRADEMARKS</w:t>
              </w:r>
            </w:hyperlink>
          </w:p>
        </w:tc>
        <w:tc>
          <w:tcPr>
            <w:tcW w:w="275" w:type="dxa"/>
            <w:tcBorders/>
            <w:shd w:fill="CCEEFF" w:val="clear"/>
            <w:vAlign w:val="center"/>
          </w:tcPr>
          <w:p>
            <w:pPr>
              <w:pStyle w:val="TableContents"/>
              <w:bidi w:val="0"/>
              <w:spacing w:before="0" w:after="283"/>
              <w:jc w:val="center"/>
              <w:rPr/>
            </w:pPr>
            <w:r>
              <w:rPr/>
              <w:t>ii</w:t>
            </w:r>
          </w:p>
        </w:tc>
      </w:tr>
      <w:tr>
        <w:trPr/>
        <w:tc>
          <w:tcPr>
            <w:tcW w:w="6890"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SELECTED DEFINITIONS</w:t>
              </w:r>
            </w:hyperlink>
          </w:p>
        </w:tc>
        <w:tc>
          <w:tcPr>
            <w:tcW w:w="275" w:type="dxa"/>
            <w:tcBorders/>
            <w:vAlign w:val="center"/>
          </w:tcPr>
          <w:p>
            <w:pPr>
              <w:pStyle w:val="TableContents"/>
              <w:bidi w:val="0"/>
              <w:spacing w:before="0" w:after="283"/>
              <w:jc w:val="center"/>
              <w:rPr/>
            </w:pPr>
            <w:r>
              <w:rPr/>
              <w:t>ii</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ABOUT THIS PROSPECTUS</w:t>
              </w:r>
            </w:hyperlink>
          </w:p>
        </w:tc>
        <w:tc>
          <w:tcPr>
            <w:tcW w:w="275" w:type="dxa"/>
            <w:tcBorders/>
            <w:shd w:fill="CCEEFF" w:val="clear"/>
            <w:vAlign w:val="center"/>
          </w:tcPr>
          <w:p>
            <w:pPr>
              <w:pStyle w:val="TableContents"/>
              <w:bidi w:val="0"/>
              <w:spacing w:before="0" w:after="283"/>
              <w:jc w:val="center"/>
              <w:rPr/>
            </w:pPr>
            <w:r>
              <w:rPr/>
              <w:t>v</w:t>
            </w:r>
          </w:p>
        </w:tc>
      </w:tr>
      <w:tr>
        <w:trPr/>
        <w:tc>
          <w:tcPr>
            <w:tcW w:w="6890"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CAUTIONARY STATEMENT REGARDING FORWARD-LOOKING STATEMENTS</w:t>
              </w:r>
            </w:hyperlink>
          </w:p>
        </w:tc>
        <w:tc>
          <w:tcPr>
            <w:tcW w:w="275" w:type="dxa"/>
            <w:tcBorders/>
            <w:vAlign w:val="center"/>
          </w:tcPr>
          <w:p>
            <w:pPr>
              <w:pStyle w:val="TableContents"/>
              <w:bidi w:val="0"/>
              <w:spacing w:before="0" w:after="283"/>
              <w:jc w:val="center"/>
              <w:rPr/>
            </w:pPr>
            <w:r>
              <w:rPr/>
              <w:t>vi</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SUMMARY</w:t>
              </w:r>
            </w:hyperlink>
          </w:p>
        </w:tc>
        <w:tc>
          <w:tcPr>
            <w:tcW w:w="275" w:type="dxa"/>
            <w:tcBorders/>
            <w:shd w:fill="CCEEFF" w:val="clear"/>
            <w:vAlign w:val="center"/>
          </w:tcPr>
          <w:p>
            <w:pPr>
              <w:pStyle w:val="TableContents"/>
              <w:bidi w:val="0"/>
              <w:spacing w:before="0" w:after="283"/>
              <w:jc w:val="center"/>
              <w:rPr/>
            </w:pPr>
            <w:r>
              <w:rPr/>
              <w:t>1</w:t>
            </w:r>
          </w:p>
        </w:tc>
      </w:tr>
      <w:tr>
        <w:trPr/>
        <w:tc>
          <w:tcPr>
            <w:tcW w:w="6890"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275" w:type="dxa"/>
            <w:tcBorders/>
            <w:vAlign w:val="center"/>
          </w:tcPr>
          <w:p>
            <w:pPr>
              <w:pStyle w:val="TableContents"/>
              <w:bidi w:val="0"/>
              <w:spacing w:before="0" w:after="283"/>
              <w:jc w:val="center"/>
              <w:rPr/>
            </w:pPr>
            <w:r>
              <w:rPr/>
              <w:t>4</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USE OF PROCEEDS</w:t>
              </w:r>
            </w:hyperlink>
          </w:p>
        </w:tc>
        <w:tc>
          <w:tcPr>
            <w:tcW w:w="275" w:type="dxa"/>
            <w:tcBorders/>
            <w:shd w:fill="CCEEFF" w:val="clear"/>
            <w:vAlign w:val="center"/>
          </w:tcPr>
          <w:p>
            <w:pPr>
              <w:pStyle w:val="TableContents"/>
              <w:bidi w:val="0"/>
              <w:spacing w:before="0" w:after="283"/>
              <w:jc w:val="center"/>
              <w:rPr/>
            </w:pPr>
            <w:r>
              <w:rPr/>
              <w:t>4</w:t>
            </w:r>
          </w:p>
        </w:tc>
      </w:tr>
      <w:tr>
        <w:trPr/>
        <w:tc>
          <w:tcPr>
            <w:tcW w:w="6890"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SECURITIES</w:t>
              </w:r>
            </w:hyperlink>
          </w:p>
        </w:tc>
        <w:tc>
          <w:tcPr>
            <w:tcW w:w="275" w:type="dxa"/>
            <w:tcBorders/>
            <w:vAlign w:val="center"/>
          </w:tcPr>
          <w:p>
            <w:pPr>
              <w:pStyle w:val="TableContents"/>
              <w:bidi w:val="0"/>
              <w:spacing w:before="0" w:after="283"/>
              <w:jc w:val="center"/>
              <w:rPr/>
            </w:pPr>
            <w:r>
              <w:rPr/>
              <w:t>4</w:t>
            </w:r>
          </w:p>
        </w:tc>
      </w:tr>
      <w:tr>
        <w:trPr/>
        <w:tc>
          <w:tcPr>
            <w:tcW w:w="6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DEBT SECURITIES</w:t>
              </w:r>
            </w:hyperlink>
          </w:p>
        </w:tc>
        <w:tc>
          <w:tcPr>
            <w:tcW w:w="275" w:type="dxa"/>
            <w:tcBorders/>
            <w:shd w:fill="CCEEFF" w:val="clear"/>
            <w:vAlign w:val="center"/>
          </w:tcPr>
          <w:p>
            <w:pPr>
              <w:pStyle w:val="TableContents"/>
              <w:bidi w:val="0"/>
              <w:spacing w:before="0" w:after="283"/>
              <w:jc w:val="center"/>
              <w:rPr/>
            </w:pPr>
            <w:r>
              <w:rPr/>
              <w:t>12</w:t>
            </w:r>
          </w:p>
        </w:tc>
      </w:tr>
      <w:tr>
        <w:trPr/>
        <w:tc>
          <w:tcPr>
            <w:tcW w:w="6890"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WARRANTS</w:t>
              </w:r>
            </w:hyperlink>
          </w:p>
        </w:tc>
        <w:tc>
          <w:tcPr>
            <w:tcW w:w="275" w:type="dxa"/>
            <w:tcBorders/>
            <w:vAlign w:val="center"/>
          </w:tcPr>
          <w:p>
            <w:pPr>
              <w:pStyle w:val="TableContents"/>
              <w:bidi w:val="0"/>
              <w:spacing w:before="0" w:after="283"/>
              <w:jc w:val="center"/>
              <w:rPr/>
            </w:pPr>
            <w:r>
              <w:rPr/>
              <w:t>19</w:t>
            </w:r>
          </w:p>
        </w:tc>
      </w:tr>
      <w:tr>
        <w:trPr/>
        <w:tc>
          <w:tcPr>
            <w:tcW w:w="6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275" w:type="dxa"/>
            <w:tcBorders/>
            <w:shd w:fill="CCEEFF" w:val="clear"/>
            <w:vAlign w:val="center"/>
          </w:tcPr>
          <w:p>
            <w:pPr>
              <w:pStyle w:val="TableContents"/>
              <w:bidi w:val="0"/>
              <w:spacing w:before="0" w:after="283"/>
              <w:jc w:val="center"/>
              <w:rPr/>
            </w:pPr>
            <w:r>
              <w:rPr/>
              <w:t>21</w:t>
            </w:r>
          </w:p>
        </w:tc>
      </w:tr>
      <w:tr>
        <w:trPr/>
        <w:tc>
          <w:tcPr>
            <w:tcW w:w="6890"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LEGAL OWNERSHIP OF SECURITIES</w:t>
              </w:r>
            </w:hyperlink>
          </w:p>
        </w:tc>
        <w:tc>
          <w:tcPr>
            <w:tcW w:w="275" w:type="dxa"/>
            <w:tcBorders/>
            <w:vAlign w:val="center"/>
          </w:tcPr>
          <w:p>
            <w:pPr>
              <w:pStyle w:val="TableContents"/>
              <w:bidi w:val="0"/>
              <w:spacing w:before="0" w:after="283"/>
              <w:jc w:val="center"/>
              <w:rPr/>
            </w:pPr>
            <w:r>
              <w:rPr/>
              <w:t>22</w:t>
            </w:r>
          </w:p>
        </w:tc>
      </w:tr>
      <w:tr>
        <w:trPr/>
        <w:tc>
          <w:tcPr>
            <w:tcW w:w="68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PLAN OF DISTRIBUTION</w:t>
              </w:r>
            </w:hyperlink>
          </w:p>
        </w:tc>
        <w:tc>
          <w:tcPr>
            <w:tcW w:w="275" w:type="dxa"/>
            <w:tcBorders/>
            <w:shd w:fill="CCEEFF" w:val="clear"/>
            <w:vAlign w:val="center"/>
          </w:tcPr>
          <w:p>
            <w:pPr>
              <w:pStyle w:val="TableContents"/>
              <w:bidi w:val="0"/>
              <w:spacing w:before="0" w:after="283"/>
              <w:jc w:val="center"/>
              <w:rPr/>
            </w:pPr>
            <w:r>
              <w:rPr/>
              <w:t>25</w:t>
            </w:r>
          </w:p>
        </w:tc>
      </w:tr>
      <w:tr>
        <w:trPr/>
        <w:tc>
          <w:tcPr>
            <w:tcW w:w="6890"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LEGAL MATTERS</w:t>
              </w:r>
            </w:hyperlink>
          </w:p>
        </w:tc>
        <w:tc>
          <w:tcPr>
            <w:tcW w:w="275" w:type="dxa"/>
            <w:tcBorders/>
            <w:vAlign w:val="center"/>
          </w:tcPr>
          <w:p>
            <w:pPr>
              <w:pStyle w:val="TableContents"/>
              <w:bidi w:val="0"/>
              <w:spacing w:before="0" w:after="283"/>
              <w:jc w:val="center"/>
              <w:rPr/>
            </w:pPr>
            <w:r>
              <w:rPr/>
              <w:t>27</w:t>
            </w:r>
          </w:p>
        </w:tc>
      </w:tr>
      <w:tr>
        <w:trPr/>
        <w:tc>
          <w:tcPr>
            <w:tcW w:w="689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EXPERTS</w:t>
              </w:r>
            </w:hyperlink>
          </w:p>
        </w:tc>
        <w:tc>
          <w:tcPr>
            <w:tcW w:w="275" w:type="dxa"/>
            <w:tcBorders/>
            <w:shd w:fill="CCEEFF" w:val="clear"/>
            <w:vAlign w:val="center"/>
          </w:tcPr>
          <w:p>
            <w:pPr>
              <w:pStyle w:val="TableContents"/>
              <w:bidi w:val="0"/>
              <w:spacing w:before="0" w:after="283"/>
              <w:jc w:val="center"/>
              <w:rPr/>
            </w:pPr>
            <w:r>
              <w:rPr/>
              <w:t>27</w:t>
            </w:r>
          </w:p>
        </w:tc>
      </w:tr>
      <w:tr>
        <w:trPr/>
        <w:tc>
          <w:tcPr>
            <w:tcW w:w="6890"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WHERE YOU CAN FIND MORE INFORMATION</w:t>
              </w:r>
            </w:hyperlink>
          </w:p>
        </w:tc>
        <w:tc>
          <w:tcPr>
            <w:tcW w:w="275" w:type="dxa"/>
            <w:tcBorders/>
            <w:vAlign w:val="center"/>
          </w:tcPr>
          <w:p>
            <w:pPr>
              <w:pStyle w:val="TableContents"/>
              <w:bidi w:val="0"/>
              <w:spacing w:before="0" w:after="283"/>
              <w:jc w:val="center"/>
              <w:rPr/>
            </w:pPr>
            <w:r>
              <w:rPr/>
              <w:t>27</w:t>
            </w:r>
          </w:p>
        </w:tc>
      </w:tr>
      <w:tr>
        <w:trPr/>
        <w:tc>
          <w:tcPr>
            <w:tcW w:w="689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INCORPORATION OF CERTAIN INFORMATION BY REFERENCE</w:t>
              </w:r>
            </w:hyperlink>
          </w:p>
        </w:tc>
        <w:tc>
          <w:tcPr>
            <w:tcW w:w="275" w:type="dxa"/>
            <w:tcBorders/>
            <w:shd w:fill="CCEEFF" w:val="clear"/>
            <w:vAlign w:val="center"/>
          </w:tcPr>
          <w:p>
            <w:pPr>
              <w:pStyle w:val="TableContents"/>
              <w:bidi w:val="0"/>
              <w:spacing w:before="0" w:after="283"/>
              <w:jc w:val="center"/>
              <w:rPr/>
            </w:pPr>
            <w:r>
              <w:rPr/>
              <w:t>28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references to trademarks and service marks belonging to other entities. Solely for convenience, trademarks and trade names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SELECTED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prospectus, unless the context otherwise requires: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BCA” or “Business Combination Agreement” refers to the Business Combination Agreement dated as of December 2, 2021 (as the same has been or may be amended, modified, supplemented or waived from time to time), by and among ArcLight, Opco and OPAL Holdco.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Combination” refers to the transaction contemplated by the BCA.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Bylaws” refers to the bylaws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Charter” refers to certificate of incorporation of OPAL.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common stock” refers to the shares of Class A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Units” refers to the Class A Units as defined in the Second A&amp;R LLC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common stock” refers to the shares of Class B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Units” refers to the Class B Units as defined in the Second A&amp;R LLC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C common stock” refers to the shares of Class C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Class D common stock” refers to the shares of Class D common stock, par value $0.0001 per share, of OPAL.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r>
        <w:rPr>
          <w:rFonts w:ascii="Times New Roman;Times;Serif" w:hAnsi="Times New Roman;Times;Serif"/>
          <w:b w:val="false"/>
          <w:i/>
          <w:caps w:val="false"/>
          <w:smallCaps w:val="false"/>
          <w:sz w:val="20"/>
        </w:rPr>
        <w:t>Closing” refers to the closing of the Business Combination.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Common Stock” refers to the collective shares of Class A common stock, Class B common stock, Class C common stock and Class D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“we”, “our”, “us” or similar terms refers to OPAL Fuels Inc. individually or on a consolidated basis, as the context may require.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 refers to the Securities Exchange Act of 1934,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Fortistar” refers to Fortistar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w:t>
      </w:r>
      <w:r>
        <w:rPr>
          <w:rFonts w:ascii="Times New Roman;Times;Serif" w:hAnsi="Times New Roman;Times;Serif"/>
          <w:b w:val="false"/>
          <w:i w:val="false"/>
          <w:caps w:val="false"/>
          <w:smallCaps w:val="false"/>
          <w:sz w:val="20"/>
        </w:rPr>
        <w:t xml:space="preserve">CNG. </w:t>
      </w:r>
      <w:r>
        <w:rPr>
          <w:rFonts w:ascii="Times New Roman;Times;Serif" w:hAnsi="Times New Roman;Times;Serif"/>
          <w:b w:val="false"/>
          <w:i/>
          <w:caps w:val="false"/>
          <w:smallCaps w:val="false"/>
          <w:sz w:val="20"/>
        </w:rPr>
        <w:t>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Hillman” refers to Hillman RNG Investments,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IPO” refers to ArcLight’s initial public offering of its Class A ordinary shares and ArcLight Public Warrants pursuant to the IPO Registration Statement and completed on March 25,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IPO Registration Statement” refers to ArcLight’s Registration Statement on Form S-1, filed with the SEC (File No. 333-252730), on March 22,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NextEra” refers to Mendocino Capital,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OPAL” and “OPAL Fuels” refers to OPAL Fuels Inc., a Delaware corporation.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OPAL Preferred Stock” refers to our shares of preferred stock, par value $0.0001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Opco Common Units” refers to the Class B Units resulting from the re-classification of the collective Opco common units existing immediately prior to the Closing.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refers to the Charter and the Bylaws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 means an individual, partnership, corporation, limited liability company, joint stock company, unincorporated organization or association, trust, joint venture or other similar entity, whether or not a legal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PIPE Investors” refers, collectively, to the institutional and accredited investors that entered into Subscription Agreements with ArcLight.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Private Placement Warrants” refers to the 9,223,261 redeemable warrants that were exchanged for the ArcLight Private Placement Warrants in connection with the Closing, and which were subsequently exchanged for Class A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Public Warrants” refers to the 6,223,233 redeemable warrants exchanged for the ArcLight Public Warrants in connection with the Closing, and which were subsequently exchanged for Class A common stock</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Sarbanes-Oxley Act” refers to the Sarbanes-Oxley Act of 2002.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A&amp;R LLC Agreement” refers to the Second Amended and Restated Limited Liability Company Agreement of Opco.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 Act” refers to the Securities Act of 1933,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Subscription Agreements” refer to the subscription agreements (as amended from time to time) that ArcLight entered into in connection with the Business Combination Agreement, each dated as of December 2,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Warrants” refers collectively to the Private Placement Warrants together with the Public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is a glossary of key industry terms used herein: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Biogas Conversion Projects” refers to projects derived from the recovery and processing of biogas from landfills and other non-fossil fuel sources, such as livestock and dairy farms, for beneficial use as a replacement to fossil fuels.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Btu” refers to British thermal units.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CNG” refers to compressed natural gas.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EPA” refers to the U.S. Environmental Protection Agency.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LCFS” refers to Low Carbon Fuel Standard or similar types of federal and state programs.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RECs” refers to renewable energy credits.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Renewable Power” refers to electricity generated from renewable sources.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RFS” refers to the EPA’s Renewable Fuel Standard.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RINs” refers to Renewable Identification Numbers.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RNG” refers to renewable natural gas.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(“SEC”) using a “shelf” registration process. Under this shelf registration statement, we may sell from time to time in one or more offerings of Class A common stock and preferred stock, various series of debt securities and/or warrants to purchase any of such securities, either individually or as units comprised of a combination of one or more of the other securities in one or more offerings up to a total dollar amount of $100 million. This prospectus provides you with a general description of the securities we may offer. Each time we sell any type or series of securities under this prospectus, we will provide a prospectus supplement that will contain more specific information about the terms of that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We may add, update or change, in a prospectus supplement or free writing prospectus, any of the information contained in this prospectus or in the documents we have incorporated by reference into this prospectus. We may also authorize one or more free writing prospectuses to be provided to you that may contain material information relating to these offerings.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You should carefully read both this prospectus and the applicable prospectus supplement and any related free writing prospectus, together with the additional information described under “Where You Can Find More Information,” before buying any of the securities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 dealer, agent or other person to give any information or to make any representation other than those contained or incorporated by reference in this prospectus,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the accompanying prospectus supplement and any related free writing prospectus, if any, do not constitute an offer to sell or the solicitation of an offer to buy any securities other than the registered securities to which they relate, nor do this prospectus, the accompanying prospectus supplement or any related free writing prospectus, if any,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rules and regulations of the SEC, the registration statement, of which this prospectus forms a part, includes additional information not contained in this prospectus. You may read the registration statement and the other reports we file with the SEC at the SEC’s web site or at the SEC’s offices described below under the heading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Company,” “we,” “us,” and “our” refer to OPAL Fuels Inc., a Delaware corporation, and its subsidiaries,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prospectus are “forward-looking statements.” Words such as “estimates,” “projected,” “expects,”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failure to realize the benefits of the Business Combination, which may be affected by, among other things, competition, our ability to grow and manage growth profitably, maintain relationships with customers and suppliers and retain key employees;</w:t>
            </w:r>
          </w:p>
        </w:tc>
      </w:tr>
    </w:tbl>
    <w:p>
      <w:pPr>
        <w:pStyle w:val="TextBody"/>
        <w:bidi w:val="0"/>
        <w:spacing w:before="0" w:after="0"/>
        <w:ind w:left="960" w:right="0" w:hanging="48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sz w:val="20"/>
              </w:rPr>
            </w:pPr>
            <w:r>
              <w:rPr>
                <w:sz w:val="20"/>
              </w:rPr>
              <w:t>our success in retaining or recruiting, our principal officers, key employees or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170"/>
        <w:gridCol w:w="8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sz w:val="20"/>
              </w:rPr>
            </w:pPr>
            <w:r>
              <w:rPr>
                <w:sz w:val="20"/>
              </w:rPr>
              <w:t>intense competition and competitive pressures from other companies in the industry in which we operate;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increased costs of, or delays in obtaining, key components or labor for the construction and completion of landfill gas and livestock waste projects that generate electricity, and RNG, CNG and hydrogen dispensing stations;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factors relating to our business, operations and financial performance, including market conditions and global and economic factors beyond our control;</w:t>
            </w:r>
          </w:p>
        </w:tc>
      </w:tr>
    </w:tbl>
    <w:p>
      <w:pPr>
        <w:pStyle w:val="TextBody"/>
        <w:bidi w:val="0"/>
        <w:spacing w:before="0" w:after="0"/>
        <w:ind w:left="960" w:right="0" w:hanging="48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sz w:val="20"/>
              </w:rPr>
            </w:pPr>
            <w:r>
              <w:rPr>
                <w:sz w:val="20"/>
              </w:rPr>
              <w:t>macroeconomic conditions related to the global COVID-19 pandemic;</w:t>
            </w:r>
          </w:p>
        </w:tc>
      </w:tr>
    </w:tbl>
    <w:p>
      <w:pPr>
        <w:pStyle w:val="TextBody"/>
        <w:bidi w:val="0"/>
        <w:spacing w:before="0" w:after="0"/>
        <w:ind w:left="960" w:right="0" w:hanging="48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sz w:val="20"/>
              </w:rPr>
            </w:pPr>
            <w:r>
              <w:rPr>
                <w:sz w:val="20"/>
              </w:rPr>
              <w:t>the reduction or elimination of government economic incentives to the renewable energy market;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owners and operators of landfill and livestock Biogas Conversion Project sites on which we operate our landfill gas and livestock waste projects that generate electricity and (iii) RNG prices for Environmental Attributes, low carbon fuel standard credits and other incentives;</w:t>
            </w:r>
          </w:p>
        </w:tc>
      </w:tr>
    </w:tbl>
    <w:p>
      <w:pPr>
        <w:pStyle w:val="TextBody"/>
        <w:bidi w:val="0"/>
        <w:spacing w:before="0" w:after="0"/>
        <w:ind w:left="960" w:right="0" w:hanging="480"/>
        <w:jc w:val="both"/>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sz w:val="20"/>
              </w:rPr>
            </w:pPr>
            <w:r>
              <w:rPr>
                <w:sz w:val="20"/>
              </w:rPr>
              <w:t>the ability to identify, acquire, develop and operate renewable projects and Fueling Stations;</w:t>
            </w:r>
          </w:p>
        </w:tc>
      </w:tr>
    </w:tbl>
    <w:p>
      <w:pPr>
        <w:pStyle w:val="TextBody"/>
        <w:bidi w:val="0"/>
        <w:spacing w:before="0" w:after="0"/>
        <w:ind w:left="960" w:right="0" w:hanging="48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sz w:val="20"/>
              </w:rPr>
            </w:pPr>
            <w:r>
              <w:rPr>
                <w:sz w:val="20"/>
              </w:rPr>
              <w:t>our ability to issue equity or equity-linked securities or obtain debt financing;</w:t>
            </w:r>
          </w:p>
        </w:tc>
      </w:tr>
    </w:tbl>
    <w:p>
      <w:pPr>
        <w:pStyle w:val="TextBody"/>
        <w:bidi w:val="0"/>
        <w:spacing w:before="0" w:after="0"/>
        <w:ind w:left="960" w:right="0" w:hanging="48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sz w:val="20"/>
              </w:rPr>
            </w:pPr>
            <w:r>
              <w:rPr>
                <w:sz w:val="20"/>
              </w:rPr>
              <w:t>the demand for renewable energy not being sustained;</w:t>
            </w:r>
          </w:p>
        </w:tc>
      </w:tr>
    </w:tbl>
    <w:p>
      <w:pPr>
        <w:pStyle w:val="TextBody"/>
        <w:bidi w:val="0"/>
        <w:spacing w:before="0" w:after="0"/>
        <w:ind w:left="960" w:right="0" w:hanging="48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sz w:val="20"/>
              </w:rPr>
            </w:pPr>
            <w:r>
              <w:rPr>
                <w:sz w:val="20"/>
              </w:rPr>
              <w:t>impacts of climate change, changing weather patterns and conditions and natural disasters;</w:t>
            </w:r>
          </w:p>
        </w:tc>
      </w:tr>
    </w:tbl>
    <w:p>
      <w:pPr>
        <w:pStyle w:val="TextBody"/>
        <w:bidi w:val="0"/>
        <w:spacing w:before="0" w:after="0"/>
        <w:ind w:left="960" w:right="0" w:hanging="48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sz w:val="20"/>
              </w:rPr>
            </w:pPr>
            <w:r>
              <w:rPr>
                <w:sz w:val="20"/>
              </w:rPr>
              <w:t>the effect of legal, tax and regulatory changes; and</w:t>
            </w:r>
          </w:p>
        </w:tc>
      </w:tr>
    </w:tbl>
    <w:p>
      <w:pPr>
        <w:pStyle w:val="TextBody"/>
        <w:bidi w:val="0"/>
        <w:spacing w:before="0" w:after="0"/>
        <w:ind w:left="960" w:right="0" w:hanging="48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other factors detailed under the section entitled “</w:t>
            </w:r>
            <w:r>
              <w:rPr>
                <w:i/>
                <w:sz w:val="20"/>
              </w:rPr>
              <w:t>Risk Factors.</w:t>
            </w:r>
            <w:r>
              <w:rPr>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3" w:color="000000"/>
        </w:rPr>
      </w:pPr>
      <w:bookmarkStart w:id="6" w:name="a_005"/>
      <w:bookmarkEnd w:id="6"/>
      <w:r>
        <w:rPr>
          <w:rFonts w:ascii="Times New Roman;Times;Serif" w:hAnsi="Times New Roman;Times;Serif"/>
          <w:b/>
          <w:i w:val="false"/>
          <w:caps w:val="false"/>
          <w:smallCaps w:val="false"/>
          <w:sz w:val="20"/>
          <w:bdr w:val="single" w:sz="12" w:space="3" w:color="000000"/>
        </w:rPr>
        <w:t>SUMMARY</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This summary highlights selected information contained elsewhere in this prospectus and does not contain all of the information you should consider when making your investment decision. Before investing in our securities, you should carefully read this entire prospectus. See also the section entitled “Where You Can Find More Information.” The definition of some of the terms used in this prospectus are set forth under the section “Selected Definitions.”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Business Overview</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Additional information about us can be found in our most recent annual report on Form 10-K incorporated by reference herein together with any material changes thereto contained in subsequently filed quarterly reports on Form 10-Q.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Corporation Information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are a Delaware corporation. Our principal executive offices are located at One North Lexington Avenue, Suite 1450, White Plains, New York 10601 and our telephone number is (914) 705-4000. Our website is </w:t>
      </w:r>
      <w:r>
        <w:rPr>
          <w:rFonts w:ascii="Times New Roman;Times;Serif" w:hAnsi="Times New Roman;Times;Serif"/>
          <w:b w:val="false"/>
          <w:i/>
          <w:caps w:val="false"/>
          <w:smallCaps w:val="false"/>
          <w:sz w:val="20"/>
          <w:bdr w:val="single" w:sz="12" w:space="3" w:color="000000"/>
        </w:rPr>
        <w:t>www.opalfuels.com</w:t>
      </w:r>
      <w:r>
        <w:rPr>
          <w:rFonts w:ascii="Times New Roman;Times;Serif" w:hAnsi="Times New Roman;Times;Serif"/>
          <w:b w:val="false"/>
          <w:i w:val="false"/>
          <w:caps w:val="false"/>
          <w:smallCaps w:val="false"/>
          <w:sz w:val="20"/>
          <w:bdr w:val="single" w:sz="12" w:space="3" w:color="000000"/>
        </w:rPr>
        <w:t>. Our website and the information contained on, or accessed through, its website are not part of this prospectus, and you should rely only on the information contained in this prospectus when making a decision as to whether to invest in our securities.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The Securities We May Offer</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may offer shares of our Class A common stock and preferred stock, various series of debt securities and warrants to purchase any of such securities, either individually or in units, from time to time under this prospectus, together with any applicable prospectus supplement and related free writing prospectus, at prices and on terms to be determined by market conditions at the time of offering. If we issue any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 Each time we offer securities under this prospectus, we will provide offerees with a prospectus supplement that will describe the specific amounts, prices and other important terms of the securities being offered, including, to the extent applicable: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designation or classification;</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aggregate principal amount or aggregate offering price;</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2358" w:type="dxa"/>
        <w:jc w:val="left"/>
        <w:tblInd w:w="0" w:type="dxa"/>
        <w:tblLayout w:type="fixed"/>
        <w:tblCellMar>
          <w:top w:w="0" w:type="dxa"/>
          <w:left w:w="0" w:type="dxa"/>
          <w:bottom w:w="0" w:type="dxa"/>
          <w:right w:w="0" w:type="dxa"/>
        </w:tblCellMar>
      </w:tblPr>
      <w:tblGrid>
        <w:gridCol w:w="38"/>
        <w:gridCol w:w="17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both"/>
              <w:rPr/>
            </w:pPr>
            <w:r>
              <w:rPr/>
              <w:t>maturity, if applicable;</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3063" w:type="dxa"/>
        <w:jc w:val="left"/>
        <w:tblInd w:w="0" w:type="dxa"/>
        <w:tblLayout w:type="fixed"/>
        <w:tblCellMar>
          <w:top w:w="0" w:type="dxa"/>
          <w:left w:w="0" w:type="dxa"/>
          <w:bottom w:w="0" w:type="dxa"/>
          <w:right w:w="0" w:type="dxa"/>
        </w:tblCellMar>
      </w:tblPr>
      <w:tblGrid>
        <w:gridCol w:w="38"/>
        <w:gridCol w:w="17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55" w:type="dxa"/>
            <w:tcBorders/>
            <w:vAlign w:val="center"/>
          </w:tcPr>
          <w:p>
            <w:pPr>
              <w:pStyle w:val="TableContents"/>
              <w:bidi w:val="0"/>
              <w:spacing w:before="0" w:after="283"/>
              <w:jc w:val="both"/>
              <w:rPr/>
            </w:pPr>
            <w:r>
              <w:rPr/>
              <w:t>original issue discount,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pPr>
            <w:r>
              <w:rPr/>
              <w:t>rates and times of payment of interest or dividends,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pPr>
            <w:r>
              <w:rPr/>
              <w:t>redemption, conversion, exchange or sinking fund terms,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conversion or exchange prices or rates, if any, and, if applicable, any provisions for changes to or adjustments in the conversion or exchange prices or rates and in the securities or other property receivable upon conversion or exchange;</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1023" w:type="dxa"/>
        <w:jc w:val="left"/>
        <w:tblInd w:w="0" w:type="dxa"/>
        <w:tblLayout w:type="fixed"/>
        <w:tblCellMar>
          <w:top w:w="0" w:type="dxa"/>
          <w:left w:w="0" w:type="dxa"/>
          <w:bottom w:w="0" w:type="dxa"/>
          <w:right w:w="0" w:type="dxa"/>
        </w:tblCellMar>
      </w:tblPr>
      <w:tblGrid>
        <w:gridCol w:w="38"/>
        <w:gridCol w:w="17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both"/>
              <w:rPr/>
            </w:pPr>
            <w:r>
              <w:rPr/>
              <w:t>ranking;</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pPr>
            <w:r>
              <w:rPr/>
              <w:t>restrictive covenants,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pPr>
            <w:r>
              <w:rPr/>
              <w:t>voting or other rights, if any; and</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pPr>
            <w:r>
              <w:rPr/>
              <w:t>important United States federal income tax considerations.</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may sell the securities to or through underwriters, dealers or agents or directly to purchasers. We, as well as any agents acting on our behalf, reserve the sole right to accept and to reject in whole or in part any proposed purchase of securities. Each prospectus supplement will set forth the names of any underwriters, dealers or agents involved in the sale of securities described in that prospectus supplement and any applicable fee, commission or discount arrangements with them, details regarding any over-allotment option granted to them, and net proceeds to us. The following is a summary of the securities we may offer with this prospectus.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Class A Common Stock </w:t>
      </w:r>
    </w:p>
    <w:p>
      <w:pPr>
        <w:pStyle w:val="TextBody"/>
        <w:bidi w:val="0"/>
        <w:spacing w:before="0" w:after="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currently have authorized 1,120,000,000 shares, consisting of 820,000,000 shares of common Stock, par value $0.0001 per share, divided into: 340,000,000 shares of Class A common stock, 160,000,000 shares of Class B common stock, 160,000,000 shares of Class C common stock, and 160,000,000 shares of Class D common stock. As of July 31, 2023, there were 27,694,332 shares of Class A common stock issued and outstanding, no shares of Class B common stock issued and outstanding, no shares of Class C common stock issued and outstanding, and 144,399,037 shares of Class D common stock issued and outstanding. We may offer shares of our Class A common stock either alone or underlying other registered securities convertible into or exercisable for our Class A common stock. Holders of our Class A common stock are entitled to such dividends as our board of directors (the “Board of Directors” or “Board”) may declare from time to time out of legally available funds, subject to the preferential rights of the holders of any shares of our preferred stock that are outstanding or that we may issue in the future. Currently, we do not pay any dividends on our Class A common stock. Each holder of our Class A common stock is entitled to one vote per share held on all matters submitted to a vote of our stockholders. In this prospectus, we provide a general description of, among other things, the rights and restrictions that apply to holders of our Class A common stock.</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Preferred Stock</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currently have authorized 300,000,000 shares of preferred stock, par value $0.0001, none of which are issued and outstanding. </w:t>
      </w:r>
    </w:p>
    <w:p>
      <w:pPr>
        <w:pStyle w:val="TextBody"/>
        <w:bidi w:val="0"/>
        <w:spacing w:before="0" w:after="0"/>
        <w:ind w:left="0" w:right="0" w:firstLine="72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Any authorized and undesignated shares of preferred stock may be issued from time to time in one or more series pursuant to a resolution or resolutions providing for such issue duly adopted by our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rights, preferences, privileges, and restrictions granted to or imposed upon any series of preferred stock that we offer and sell under this prospectus and applicable prospectus supplements will be set forth in a certificate of designation relating to the series. We will incorporate by reference into the registration statement of which this prospectus is a part the form of any certificate of designation that describes the terms of the series of preferred stock we are offering before the issuance of shares of that series of preferred stock. You should read any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Debt Securities</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may offer general debt obligations, which may be secured or unsecured, senior or subordinated, and convertible into shares of our common stock or preferred stock. In this prospectus, we refer to the senior debt securities and the subordinated debt securities together as the “debt securities.” We may issue debt securities under a note purchase agreement or under an indenture to be entered between us and a trustee. The indentures do not limit the amount of securities that may be issued under them and provide that debt securities may be issued in one or more series. The senior debt securities will have the same rank as all of our other indebtedness that is not subordinated. The subordinated debt securities will be subordinated to our senior debt on terms set forth in the applicable prospectus supplement. In addition, the subordinated debt securities will be effectively subordinated to creditors and preferred stockholders of our subsidiaries. Our Board of Directors will determine the terms of each series of debt securities being offered. This prospectus contains only general terms and provisions of the debt securities. The applicable prospectus supplement will describe the particular terms of the debt securities offered thereby. You should read any prospectus supplement and any free writing prospectus that we may authorize to be provided to you related to the series of debt securities being offered, as well as the complete note agreements and/or indentures that contain the terms of the debt securities. The forms of senior and subordinated indentures have been filed as exhibits to the registration statement of which this prospectus is a part, and supplemental indentures and forms of debt securities containing the terms of debt securities being offered will be incorporated by reference into the registration statement of which this prospectus is a part from reports we file with the SEC.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Warrants</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may offer warrants for the purchase of shares of our Class A common stock or preferred stock or of debt securities. We may issue the warrants by themselves or together with Class A common stock, preferred stock or debt securities, and the warrants may be attached to or separate from any offered securities. Any warrants issued under this prospectus may be evidenced by warrant certificates. Warrants may be issued under a separate warrant agreement to be entered into between us and the investors or a warrant agent. Our Board of Directors will determine the terms of the warrants. This prospectus contains only general terms and provisions of the warrants. The applicable prospectus supplement will describe the particular terms of the warrants being offered thereby. You should read any prospectus supplement and any free writing prospectus that we may authorize to be provided to you related to the series of warrants being offered, as well as the complete warrant agreements that contain the terms of the warrants. Specific warrant agreements will contain additional important terms and provisions and will be incorporated by reference into the registration statement of which this prospectus is a part from reports we file with the SEC.</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Units</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may offer units consisting of our Class A common stock or preferred stock, debt securities and/or warrants to purchase any of these securities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This prospectus contains only a summary of certain general features of the units. The applicable prospectus supplement will describe the particular features of the units being offered thereby.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will be incorporated by reference into the registration statement of which this prospectus is a part from reports we file with the SEC.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This prospectus contains, and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this prospectus and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2022, filed with the SEC on March 29, 2023, and incorporated herein by reference, as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any prospectus supplement and any free writing prospectus in connection with a specific offering, we currently intend to use the net proceeds from the sale of the securities offered under this prospectus for general corporate purposes, including (i) sales and marketing, (ii) operational costs, (iii) design, development, construction, operation and maintenance of renewable energy and Fueling Stations, (iv) strategic transactions and (v) working capital and other general corporate purposes. We may also use the net proceeds to repay any debts and/or invest in or acquire complementary businesses, products, or technologies, although we have no current commitments or agreements with respect to any such investments or acquisitions as of the date of this prospectus. We have not determined the amount of net proceeds to be used specifically for the foregoing purposes. As a result, our management will have broad discretion in the allocation of the net proceeds and investors will be relying on the judgment of our management regarding the application of the proceeds of any sale of the securities. Pending use of the net proceeds, we intend to invest the proceeds in short-term, investment-grade, interest-bearing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offer securities under this prospectus, we will describe the intended use of the net proceeds from that offering in the applicable prospectus supplement. The actual amount of net proceeds we spend on a particular use will depend on many factors, including, our future capital expenditures, the amount of cash required by our operations, and our future revenue growth, if any. Therefore, we will retain broad discretion in the use of the net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OPAL’s capital stock is only a summary, and it does not contain all the information that may be important to you. For a complete description of the matters set forth in this section, you should refer to the Charter, the Bylaws, the Second A&amp;R LLC Agreement, the Investor Rights Agreement, and to the applicable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all classes of stock that OPAL has the authority to issue is 1,120,000,000 shares, consisting of:</w:t>
      </w:r>
    </w:p>
    <w:p>
      <w:pPr>
        <w:pStyle w:val="TextBody"/>
        <w:bidi w:val="0"/>
        <w:spacing w:before="0" w:after="0"/>
        <w:ind w:left="960" w:right="0" w:hanging="360"/>
        <w:jc w:val="both"/>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sz w:val="20"/>
              </w:rPr>
            </w:pPr>
            <w:r>
              <w:rPr>
                <w:sz w:val="20"/>
              </w:rPr>
              <w:t>820,000,000 shares of Common Stock, par value of $0.0001 per share, divided into:</w:t>
            </w:r>
          </w:p>
        </w:tc>
      </w:tr>
    </w:tbl>
    <w:p>
      <w:pPr>
        <w:pStyle w:val="TextBody"/>
        <w:bidi w:val="0"/>
        <w:spacing w:before="0" w:after="0"/>
        <w:ind w:left="1440" w:right="0" w:hanging="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sz w:val="20"/>
              </w:rPr>
            </w:pPr>
            <w:r>
              <w:rPr>
                <w:sz w:val="20"/>
              </w:rPr>
              <w:t>340,000,000 shares of Class A common stock;</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sz w:val="20"/>
              </w:rPr>
            </w:pPr>
            <w:r>
              <w:rPr>
                <w:sz w:val="20"/>
              </w:rPr>
              <w:t>160,000,000 shares of Class B common stock;</w:t>
            </w:r>
          </w:p>
        </w:tc>
      </w:tr>
    </w:tbl>
    <w:p>
      <w:pPr>
        <w:pStyle w:val="TextBody"/>
        <w:bidi w:val="0"/>
        <w:spacing w:before="0" w:after="0"/>
        <w:ind w:left="1440" w:right="0" w:hanging="36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160,000,000 shares of Class C common stock; and</w:t>
            </w:r>
          </w:p>
        </w:tc>
      </w:tr>
    </w:tbl>
    <w:p>
      <w:pPr>
        <w:pStyle w:val="TextBody"/>
        <w:bidi w:val="0"/>
        <w:spacing w:before="0" w:after="0"/>
        <w:ind w:left="1440" w:right="0" w:hanging="36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160,000,000 shares of Class D common stock; and</w:t>
            </w:r>
          </w:p>
        </w:tc>
      </w:tr>
    </w:tbl>
    <w:p>
      <w:pPr>
        <w:pStyle w:val="TextBody"/>
        <w:bidi w:val="0"/>
        <w:spacing w:before="0" w:after="0"/>
        <w:ind w:left="960"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sz w:val="20"/>
              </w:rPr>
            </w:pPr>
            <w:r>
              <w:rPr>
                <w:sz w:val="20"/>
              </w:rPr>
              <w:t>300,000,000 shares of OPAL Preferred Stock, par value $0.0001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had 27,694,332 shares of Class A common stock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Voting Rights. </w:t>
      </w:r>
      <w:r>
        <w:rPr>
          <w:rFonts w:ascii="Times New Roman;Times;Serif" w:hAnsi="Times New Roman;Times;Serif"/>
          <w:b w:val="false"/>
          <w:i w:val="false"/>
          <w:caps w:val="false"/>
          <w:smallCaps w:val="false"/>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holders of shares of each class of the Common Stock, as such, have no voting power with respect to, and are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Stock Splits or Combinations.</w:t>
      </w:r>
      <w:r>
        <w:rPr>
          <w:rFonts w:ascii="Times New Roman;Times;Serif" w:hAnsi="Times New Roman;Times;Serif"/>
          <w:b w:val="false"/>
          <w:i w:val="false"/>
          <w:caps w:val="false"/>
          <w:smallCaps w:val="false"/>
          <w:sz w:val="20"/>
        </w:rPr>
        <w:t> Subject to applicable law and the rights, if any, of the holders of any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of directors in its discretion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any stock dividend, stock split, reverse stock split, combination of stock, reclassification or recapitalization be declared or made on any series of Common Stock (each, a “Stock Adjustment”) unless:</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20"/>
              </w:rPr>
            </w:pPr>
            <w:r>
              <w:rPr>
                <w:sz w:val="20"/>
              </w:rPr>
              <w:t>(a)</w:t>
            </w:r>
          </w:p>
        </w:tc>
        <w:tc>
          <w:tcPr>
            <w:tcW w:w="9956" w:type="dxa"/>
            <w:tcBorders/>
            <w:vAlign w:val="center"/>
          </w:tcPr>
          <w:p>
            <w:pPr>
              <w:pStyle w:val="TableContents"/>
              <w:bidi w:val="0"/>
              <w:spacing w:before="0" w:after="283"/>
              <w:jc w:val="both"/>
              <w:rPr>
                <w:sz w:val="20"/>
              </w:rPr>
            </w:pPr>
            <w:r>
              <w:rPr>
                <w:sz w:val="20"/>
              </w:rPr>
              <w:t>a corresponding Stock Adjustment for all other series of Common Stock not so adjusted at the time outstanding is made in the same proportion and the same manner;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(b)</w:t>
            </w:r>
          </w:p>
        </w:tc>
        <w:tc>
          <w:tcPr>
            <w:tcW w:w="9937" w:type="dxa"/>
            <w:tcBorders/>
            <w:vAlign w:val="center"/>
          </w:tcPr>
          <w:p>
            <w:pPr>
              <w:pStyle w:val="TableContents"/>
              <w:bidi w:val="0"/>
              <w:spacing w:before="0" w:after="283"/>
              <w:jc w:val="both"/>
              <w:rPr>
                <w:sz w:val="20"/>
              </w:rPr>
            </w:pPr>
            <w:r>
              <w:rPr>
                <w:sz w:val="20"/>
              </w:rPr>
              <w:t>the Stock Adjustment has been reflected in the same economically equivalent manner on all Class A Units (as defined in the Second A&amp;R LLC Agreement).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dividends with respect to each class of Common Stock may only be paid with shares of stock of the same series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Stock Splits or Combinations.</w:t>
      </w:r>
      <w:r>
        <w:rPr>
          <w:rFonts w:ascii="Times New Roman;Times;Serif" w:hAnsi="Times New Roman;Times;Serif"/>
          <w:b w:val="false"/>
          <w:i w:val="false"/>
          <w:caps w:val="false"/>
          <w:smallCaps w:val="false"/>
          <w:sz w:val="20"/>
        </w:rPr>
        <w:t xml:space="preserve"> Dividends of cash or property may not be declared or paid on shares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Subscription Rights. </w:t>
      </w:r>
      <w:r>
        <w:rPr>
          <w:rFonts w:ascii="Times New Roman;Times;Serif" w:hAnsi="Times New Roman;Times;Serif"/>
          <w:b w:val="false"/>
          <w:i w:val="false"/>
          <w:caps w:val="false"/>
          <w:smallCaps w:val="false"/>
          <w:sz w:val="20"/>
        </w:rPr>
        <w:t>To the extent Class B Units are issued pursuant to the Second A&amp;R LLC Agreement to any stockholder of OPAL other than a 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C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did not have any shares of Class C common stock issued and outstanding. Shares of Class C common stock may be converted to shares of Class A common stock, as discussed further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i/>
                <w:sz w:val="20"/>
              </w:rPr>
              <w:t>Voluntary Conversion</w:t>
            </w:r>
            <w:r>
              <w:rPr>
                <w:sz w:val="20"/>
              </w:rPr>
              <w:t>. 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i/>
                <w:sz w:val="20"/>
              </w:rPr>
              <w:t>Automatic Conversion</w:t>
            </w:r>
            <w:r>
              <w:rPr>
                <w:sz w:val="20"/>
              </w:rPr>
              <w:t>. Each share of Class C common stock shall automatically, without any further action, convert into one share of Class A common stock upon a Transfer (as defined in the Charter), other than a Transfer to a Qualified Stockholder (as defined in the Charter).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had 144,399,037 shares of Class D common stock issued and outstanding.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Stock Splits and Combinations.</w:t>
      </w:r>
      <w:r>
        <w:rPr>
          <w:rFonts w:ascii="Times New Roman;Times;Serif" w:hAnsi="Times New Roman;Times;Serif"/>
          <w:b w:val="false"/>
          <w:i w:val="false"/>
          <w:caps w:val="false"/>
          <w:smallCaps w:val="false"/>
          <w:sz w:val="20"/>
        </w:rPr>
        <w:t> Dividends of cash or property may not be declared or paid on shares of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Subscription Rights.</w:t>
      </w:r>
      <w:r>
        <w:rPr>
          <w:rFonts w:ascii="Times New Roman;Times;Serif" w:hAnsi="Times New Roman;Times;Serif"/>
          <w:b w:val="false"/>
          <w:i w:val="false"/>
          <w:caps w:val="false"/>
          <w:smallCaps w:val="false"/>
          <w:sz w:val="20"/>
        </w:rPr>
        <w:t> To the extent that Class B Units are issued pursuant to the Second A&amp;R LLC Agreement to any Qualified Stockholder, such 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i/>
                <w:sz w:val="20"/>
              </w:rPr>
              <w:t>Voluntary Conversion</w:t>
            </w:r>
            <w:r>
              <w:rPr>
                <w:sz w:val="20"/>
              </w:rPr>
              <w:t>. Each share of Class D common stock shall be convertible into one share of Class B common stock at the option of the 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 Further, shares of Class D common stock, together with the corresponding Class B Units may be exchanged for shares of Class C common stock pursuant to the Second A&amp;R LLC Agreement.</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i/>
                <w:sz w:val="20"/>
              </w:rPr>
              <w:t>Automatic Conversion</w:t>
            </w:r>
            <w:r>
              <w:rPr>
                <w:sz w:val="20"/>
              </w:rPr>
              <w:t>. Each share of Class D common stock shall automatically, without any further action, convert into one share of Class B common stock upon a Transfer, other than a Transfer to a Qualified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Cancellation of Class B common stock and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OPAL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expressly provided in any certificate of designation designating any series of OPAL Preferred Stock, (i) any new series of OPAL Preferred Stock may be designated, fixed and determined as provided by the Charter by our board of directors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rights of the Common Stock, the OPAL Preferred Stock or any future class or series of OPAL Preferred Stock or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OPAL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A common stock, we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B common stock, we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C common stock, we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Delaware Law and the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Organizational Documents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Action by Written Consent; Special Meeting of Stockholder.</w:t>
      </w:r>
      <w:r>
        <w:rPr>
          <w:rFonts w:ascii="Times New Roman;Times;Serif" w:hAnsi="Times New Roman;Times;Serif"/>
          <w:b w:val="false"/>
          <w:i w:val="false"/>
          <w:caps w:val="false"/>
          <w:smallCaps w:val="false"/>
          <w:sz w:val="20"/>
        </w:rPr>
        <w:t> Subject to, with respect to the OPAL Preferred Stock, the terms of any series of OPAL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we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and may not be effected by any consent in lieu of a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special rights of the holders of any series of OPAL Preferred Stock and the requirements of applicable law, a special meetings of stockholders may be called only by the chairperson of our board of directors, the vice chairperson of our board of directors, the chief executive officer or at the direction of our board of directors pursuant to a written resolution adopted by a majority of the total number of directors that we would have if there were no vacancies, and the ability of the stockholders or any other Persons to call a special meeting of the stockholders is specifically denied.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Election and Removal of Directors.</w:t>
      </w:r>
      <w:r>
        <w:rPr>
          <w:rFonts w:ascii="Times New Roman;Times;Serif" w:hAnsi="Times New Roman;Times;Serif"/>
          <w:b w:val="false"/>
          <w:i w:val="false"/>
          <w:caps w:val="false"/>
          <w:smallCaps w:val="false"/>
          <w:sz w:val="20"/>
        </w:rPr>
        <w:t> Subject to any limitations imposed by applicable law and except for additional directors of OPAL elected by the holders of any series of OPAL Preferred Stock as provided for or fixed pursuant to the Charter, any director of OPAL or the entire board of directors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of directors or any one or more directors of OPAL should be so removed, any new directors of OPAL shall, unless our board of directors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of directors, and not by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Limitations on Stockholder Actions</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Our Bylaws also impose some procedural requirements on stockholders who wish to:</w:t>
      </w:r>
    </w:p>
    <w:p>
      <w:pPr>
        <w:pStyle w:val="TextBody"/>
        <w:bidi w:val="0"/>
        <w:spacing w:before="0" w:after="0"/>
        <w:ind w:left="960" w:right="0" w:hanging="36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sz w:val="20"/>
              </w:rPr>
            </w:pPr>
            <w:r>
              <w:rPr>
                <w:sz w:val="20"/>
              </w:rPr>
              <w:t>make nominations in the election of directors; or</w:t>
            </w:r>
          </w:p>
        </w:tc>
      </w:tr>
    </w:tbl>
    <w:p>
      <w:pPr>
        <w:pStyle w:val="TextBody"/>
        <w:bidi w:val="0"/>
        <w:spacing w:before="0" w:after="0"/>
        <w:ind w:left="960" w:right="0" w:hanging="36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sz w:val="20"/>
              </w:rPr>
            </w:pPr>
            <w:r>
              <w:rPr>
                <w:sz w:val="20"/>
              </w:rPr>
              <w:t>propose any other business to be brought before an annual meeting of stockholders.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pStyle w:val="TextBody"/>
        <w:bidi w:val="0"/>
        <w:spacing w:before="0" w:after="0"/>
        <w:ind w:left="960" w:right="0" w:hanging="36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sz w:val="20"/>
              </w:rPr>
            </w:pPr>
            <w:r>
              <w:rPr>
                <w:sz w:val="20"/>
              </w:rPr>
              <w:t>the name and record address of each stockholder proposing business, as they appear in OPAL’s books;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class or series and number of shares of stock of OPAL, directly or indirectly, held of record and beneficially by the Proponent or Stockholder Associated Person, as such terms are defined in the Bylaws;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9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names of all persons with whom the stockholder is acting in concert and a description of all arrangements and understandings with those persons;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description of the business or nomination to be brought before the meeting, the text of the proposal and the reasons for conducting such business at the meeting; and</w:t>
            </w:r>
          </w:p>
        </w:tc>
      </w:tr>
    </w:tbl>
    <w:p>
      <w:pPr>
        <w:pStyle w:val="TextBody"/>
        <w:bidi w:val="0"/>
        <w:spacing w:before="0" w:after="0"/>
        <w:ind w:left="960" w:right="0" w:hanging="36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any material interest of the Proponent or Stockholder Associated Person in such business.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set out the timeliness requirements for delivery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Organizational Documents provide indemnification for OPAL’s directors and officers to the fullest extent permitted by the DGCL.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2022, we entered into certain Indemnification Agreements (“Indemnification Agreements”) with each of our directors and executive officers pursuant to which, subject to certain exceptions, we shall indemnify our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“Expenses”). Pursuant to the Indemnification Agreements, in the event an officer or director who was or is a party to or witness in or is threatened to be made a party to or witness in any Proceeding with respect such officer’s or director’s service for us or a subsidiary or affiliate as an Indemnifiable Person (as defined in the Indemnification Agreements), or by reason of anything done or not done, or any act or omission, by such officer or director in any such capacity, we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our Bylaws and the DGCL. Furthermore, pursuant to the Indemnification Agreements, we shall, subject to certain exception, at the request of an officer or director, advance all Expenses incurred by such officer or director prior to the final disposition of a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our behalf of;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our Charter or Bylaws (including any right, obligation or remedy thereunder); (v) any action, suit or proceeding as to which the DGCL confers jurisdiction to the Court of Chancery of the State of Delaware; or (vi) any action asserting a claim against us or any director, officer or other employee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action, the subject matter of which is within the scope of the exclusive forum provisions of the Charter,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exclusive forum provisions of the Charter (an “Enforcement Action”) and (ii) having service of process made upon such stockholder in any such Enforcement Action by service upon such stockholder’s counsel in the Foreign Action as agent for such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holding, owning or otherwise acquiring any interest in any of our securities shall be deemed to have notice of and to have consented to the exclusive forum provisions of the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OPAL’s Common Stock is Continental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are listed on Nasdaq under the symbol “OPAL”.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However, no prospectus supplement shall fundamentally change the terms that are set forth in this prospectus or offer a security that is not registered and described in this prospectus at the time of its effectiveness. As of the date of this prospectus, we have no outstanding registered debt securities. Unless the context requires otherwise, whenever we refer to the “indentures,” we also are referring to any supplemental indentures that specify the terms of a particular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will be qualified under the Trust Indenture Act of 1939, as amended (the “Trust Indenture Act”). We use the term “trustee” to refer to either the trustee under the senior indenture or the trustee under the subordinated indenture,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indentures that contain the terms of the debt securities. Except as we may otherwise indicate, the terms of the senior indenture and the subordinated indenture are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pStyle w:val="TextBody"/>
        <w:bidi w:val="0"/>
        <w:spacing w:before="0" w:after="0"/>
        <w:ind w:left="0" w:right="0" w:hanging="0"/>
        <w:jc w:val="both"/>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170"/>
        <w:gridCol w:w="9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sz w:val="20"/>
              </w:rPr>
            </w:pPr>
            <w:r>
              <w:rPr>
                <w:sz w:val="20"/>
              </w:rPr>
              <w:t>the title;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sz w:val="20"/>
              </w:rPr>
            </w:pPr>
            <w:r>
              <w:rPr>
                <w:sz w:val="20"/>
              </w:rPr>
              <w:t>the principal amount being offered, and if a series, the total amount authorized and the total amount outstanding;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sz w:val="20"/>
              </w:rPr>
            </w:pPr>
            <w:r>
              <w:rPr>
                <w:sz w:val="20"/>
              </w:rPr>
              <w:t>any limit on the amount that may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sz w:val="20"/>
              </w:rPr>
            </w:pPr>
            <w:r>
              <w:rPr>
                <w:sz w:val="20"/>
              </w:rPr>
              <w:t>whether or not we will issue the series of debt securities in global form, and, if so, the terms and who the depositary will be;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sz w:val="20"/>
              </w:rPr>
            </w:pPr>
            <w:r>
              <w:rPr>
                <w:sz w:val="20"/>
              </w:rPr>
              <w:t>the maturity date;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and under what circumstances, if any, we will pay additional amounts on any debt securities held by a person who is not a United States person for tax purposes, and whether we can redeem the debt securities if we have to pay such additional amounts;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or not the debt securities will be secured or unsecured, and the terms of any secured debt;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terms of the subordination of any series of subordinated debt;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place where payments will be made;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restrictions on transfer, sale or other assignment,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right, if any, to defer payment of interest and the maximum length of any such deferral period;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 if any, after which, and the price at which, we may, at our option, redeem the series of debt securities pursuant to any optional or provisional redemption provisions and the terms of those redemption provisions;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tc>
      </w:tr>
    </w:tbl>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sz w:val="20"/>
              </w:rPr>
            </w:pPr>
            <w:r>
              <w:rPr>
                <w:sz w:val="20"/>
              </w:rPr>
              <w:t>whether the indenture will restrict our ability or the ability of our subsidiaries, if any, to:</w:t>
            </w:r>
          </w:p>
        </w:tc>
      </w:tr>
    </w:tbl>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incur additional indebtedness;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issue additional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create liens;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pay dividends or make distributions in respect of our capital stock or the capital stock of our subsidiaries;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redeem capital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place restrictions on our subsidiaries’ ability to pay dividends, make distributions or transfer assets;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make investments or other restricted payments;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sell or otherwise dispose of assets;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enter into sale-leaseback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engage in transactions with stockholders or affiliates;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issue or sell stock of our subsidiaries;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effect a consolidation or merger;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the indenture will require us to maintain any interest coverage, fixed charge, cash flow-based, asset-based or other financial ratios;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discussion of certain material or special United States federal income tax considerations applicable to the debt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information describing any book-entry features;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applicability of the provisions in the indenture on discharge;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the debt securities are to be offered at a price such that they will be deemed to be offered at an “original issue discount” as defined in paragraph (a) of Section 1273 of the Internal Revenue Code of 1986, as amended;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denominations in which we will issue the series of debt securities, if other than denominations of $1,000 and any integral multiple thereof;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currency of payment of debt securities if other than U.S. dollars and the manner of determining the equivalent amount in U.S. dollars;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following are events of default under the indentures with respect to any series of debt securities that we may issue: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we fail to pay interest when due and payable and our failure continues for 90 days and the time for payment has not been extended;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we fail to pay the principal, premium or sinking fund payment, if any, when due and payable at maturity, upon redemption or repurchase or otherwise, and the time for payment has not been extended;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sz w:val="20"/>
              </w:rPr>
            </w:pPr>
            <w:r>
              <w:rPr>
                <w:sz w:val="20"/>
              </w:rPr>
              <w:t>if specified events of bankruptcy, insolvency or reorganization occur.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each applicable prospectus supplement any additional events of default relating to the relevant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direction so given by the holder is not in conflict with any law or the applicable indenture;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subject to its duties under the Trust Indenture Act, the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will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have the right to institute a proceeding under the indentures or to appoint a receiver or trustee, or to seek other remedies only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holder has given written notice to the trustee of a continuing event of default with respect to that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holders of at least 25% in aggregate principal amount of the outstanding debt securities of that series have made a written request and such holders have offered reasonable indemnity to the trustee or security satisfactory to it against any loss, liability or expense or to be incurred in compliance with instituting the proceeding as trustee;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 or other defaults that may be specified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trustee regarding our compliance with specified covenants in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will provide that if a default occurs and is continuing and is actually known to a responsible officer of the trustee, the trustee must mail to each holder notice of the default within the earlier of 90 days after it occurs and 30 days after it is known by a responsible officer of the trustee or written notice of it is received by the trustee, unless such default has been cured or waived.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Indenture;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for any series of debt securities that we may issue, we and the trustee may change an indenture without the consent of any holders with respect to the following specific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fix any ambiguity, defect or inconsistency in the indenture;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comply with the provisions described above under “Description of Debt Securities — Consolidation, Merger or Sale;”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comply with any requirements of the SEC in connection with the qualification of any indenture under the Trust Indenture 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add to, delete from or revise the conditions, limitations and restrictions on the authorized amount, terms or purposes of issue, authentication and delivery of debt securities, as set forth in the indenture;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provide for the issuance of, and establish the form and terms and conditions of, the debt securities of any series as provided under “Description of Debt Securities — General,” to establish the form of any certifications required to be furnished pursuant to the terms of the indenture or any series of debt securities, or to add to the rights of the holders of any series of debt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evidence and provide for the acceptance of appointment hereunder by a successor trustee;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provide for uncertificated debt securities and to make all appropriate changes for such purpose;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add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change anything that does not adversely affect the interests of any holder of debt securities of any series in any material respect.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otherwise provided in the prospectus supplement applicable to a particular series of debt securities, we and the trustee may only make the following changes with the consent of each holder of any outstanding debt securities affected:</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left"/>
              <w:rPr>
                <w:sz w:val="20"/>
              </w:rPr>
            </w:pPr>
            <w:r>
              <w:rPr>
                <w:sz w:val="20"/>
              </w:rPr>
              <w:t>extending the stated maturity of the series of debt securities;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reducing the principal amount, reducing the rate of or extending the time of payment of interest, or reducing any premium payable upon the redemption or repurchase of any debt securities;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reducing the percentage of debt securities, the holders of which are required to consent to any amendment, supplement, modification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pStyle w:val="TextBody"/>
        <w:bidi w:val="0"/>
        <w:spacing w:before="0" w:after="0"/>
        <w:ind w:left="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sz w:val="20"/>
              </w:rPr>
            </w:pPr>
            <w:r>
              <w:rPr>
                <w:sz w:val="20"/>
              </w:rPr>
              <w:t>register the transfer or exchange of debt securities of the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sz w:val="20"/>
              </w:rPr>
            </w:pPr>
            <w:r>
              <w:rPr>
                <w:sz w:val="20"/>
              </w:rPr>
              <w:t>replace stolen, lost or mutilated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70"/>
        <w:gridCol w:w="3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sz w:val="20"/>
              </w:rPr>
            </w:pPr>
            <w:r>
              <w:rPr>
                <w:sz w:val="20"/>
              </w:rPr>
              <w:t>maintain paying agencies;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sz w:val="20"/>
              </w:rPr>
            </w:pPr>
            <w:r>
              <w:rPr>
                <w:sz w:val="20"/>
              </w:rPr>
              <w:t>hold monies for payment in trust;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sz w:val="20"/>
              </w:rPr>
            </w:pPr>
            <w:r>
              <w:rPr>
                <w:sz w:val="20"/>
              </w:rPr>
              <w:t>recover excess money held by the trustee;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sz w:val="20"/>
              </w:rPr>
            </w:pPr>
            <w:r>
              <w:rPr>
                <w:sz w:val="20"/>
              </w:rPr>
              <w:t>compensate and indemnify the trustee;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sz w:val="20"/>
              </w:rPr>
            </w:pPr>
            <w:r>
              <w:rPr>
                <w:sz w:val="20"/>
              </w:rPr>
              <w:t>appoint any successor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we will deposit with the trustee money or government obligations sufficient to pay all the principal of, and any premium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will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 See “Legal Ownership of Securities” below for a further description of the terms relating to any book-entry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unsecured and will be subordinate and junior in priority of payment to certain other indebtedness to the extent described in a prospectus supplement. The subordinated indenture does not limit the amount of subordinated debt securities that we may issue. It also does not limit us from issuing any other secured or unsecured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together with Class A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under a warrant agreement that we will enter into with a warrant agent to be selected by us. If selected, the warrant agent will act solely as an agent of ours in connection with the warrants and will not act as an agent for the holders or beneficial owners of the warrants. If applicable, we will file as exhibits to the registration statement of which this prospectus is a part, or will incorporate by reference from a Current Report on Form 8-K that we file with the SEC, the form of warrant agreement, including a form of warrant certificate,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a particular series of warrants. We urge you to read the applicable prospectus supplement and any applicable free writing prospectus related to the particular series of warrants that we sell under this prospectus, as well as the complete warrant agreements and warrant certificates that contain the terms of the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relating to a series of warrants,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offering price and aggregate number of warrants offered;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currency for which the warrants may be purchased;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applicable, the designation and terms of the securities with which the warrants are issued and the number of warrants issued with each such security or each principal amount of such security;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applicable, the date on and after which the warrants and the related securities will be separately transferable;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the case of warrants to purchase debt securities, the principal amount of debt securities purchasable upon exercise of one warrant and the price at, and currency in which, this principal amount of debt securities may be purchased upon such exercise;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the case of warrants to purchase Class A common stock or preferred stock, the number of shares of Class A common stock or preferred stock, as the case may be, purchasable upon the exercise of one warrant and the price at which these shares may be purchased upon such exercise;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effect of any merger, consolidation, sale or other disposition of our business on the warrant agreements and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terms of any rights to redeem or call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for changes to or adjustments in the exercise price or number of securities issuable upon exercise of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dates on which the right to exercise the warrants will commence and expire;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the manner in which the warrant agreements and warrants may be modified;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United States federal income tax consequences of holding or exercising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the terms of the securities issuable upon exercise of the warrants;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any other specific terms, preferences, rights or limitations of or restrictions on the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the case of warrants to purchase debt securities, the right to receive payments of principal of, or premium, if any, or interest on, the debt securities purchasable upon exercise or to enforce covenants in the applicable indenture;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the case of warrants to purchase common stock or preferred stock, the right to receive dividends, if any, or, payments upon our liquidation, dissolution or winding up or to exercise voting rights,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selected, 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and free writing prospectuses, summarizes the material terms and provisions of the units that we may offer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debt securities, shares of Class A common stock, shares of preferred stock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of the governing unit agreement that differ from those described below;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for the issuance, payment, settlement, transfer or exchange of the units or of the securities comprising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Capital Stock,” “Description of Debt Securities” and “Description of Warrants” will apply to each unit and to any common stock, preferred stock, debt security or warrant included in each unit,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if any, for any units we offer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LEGAL OWNERSHIP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Street Name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Considerations for Indirect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securities through a bank, broker or other financial institution, either in book-entry form because the securities are represented by one or more global securities or in street name, you should check with your own institution to find out:</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how it handles securities payments and notices;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it imposes fees or charges;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how it would handle a request for the holders’ consent, if ever required;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and how you can instruct it to send you securities registered in your own name so you can be a legal holder, if that is permitted in the future;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how it would exercise rights under the securities if there were a default or other event triggering the need for holders to act to protect their interests;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the securities are in book-entry form, how the depositary’s rules and procedures will affect these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is a security that represents one or any other number of individual securities held by a depositary. Generally, all securities represented by the same global securities will have the same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NY, known as DTC, will be the depositary for all securities issued in book-entry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Considerations For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issued only as global securities, an investor should be aware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 investor cannot cause the securities to be registered in his or her name, and cannot obtain non-global certificates for his or her interest in the securities, except in the special situations we describe below;</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 investor will be an indirect holder and must look to his or her own bank or broker for payments on the securities and protection of his or her legal rights relating to the securities, as we describe above;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 investor may not be able to sell interests in the securities to some insurance companies and to other institutions that are required by law to own their securities in non-book-entry form;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 investor may not be able to pledge his or her interest in the global security in circumstances where certificates representing the securities must be delivered to the lender or other beneficiary of the pledge in order for the pledge to be effective;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depositary may, and we understand that DTC will, require that those who purchase and sell interests in the global security within its book-entry system use immediately available funds, and your broker or bank may require you to do so as well;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Situations When A Global Security Will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will terminate when the following special situations occur: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the depositary notifies us that it is unwilling, unable or no longer qualified to continue as depositary for that global security and we do not appoint another institution to act as depositary within 90 days;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we notify any applicable trustee that we wish to terminate that global security;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an event of default has occurred with regard to securities represented by that global security and has not been cured or waived.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being offered hereby in one or more of the following ways from time to time:</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through agents to the public or to investors;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to underwriters for resale to the public or to investors;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negotiated transactions;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block trades;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directly to investors;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through a combination of any of these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more detail below, the securities may be distributed from time to time in one or more transactions:</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a fixed price or prices, which may be changed;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market prices prevailing at the time of sale;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prices related to such prevailing market prices;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a prospectus supplement the terms of that particular offering of securities, including:</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the name or names of any agents or underwriters;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the purchase price of the securities being offered and the proceeds we will receive from the sale;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over-allotment options under which underwriters may purchase additional securities from us;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agency fees or underwriting discounts and other items constituting agents’ or underwriters’ compensation;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initial public offering price;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discounts or concessions allowed or re-allowed or paid to dealers;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securities exchanges or markets on which such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an applicable prospectus supplement are underwriters of the securities offered by that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dealers or agents may receive compensation from us or from purchasers of the common stock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common stock directly and then resell the securities, may be deemed to be underwriters, and any discounts or commissions received by them from us and any profit on the resale of the common stock by them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 the market offerings into an existing trading market in accordance with Rule 415(a)(4) under the Securities Act. 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those circumstances, such persons would cover such over-allotments or short positions by purchasing in the open market or by exercising the over-allotment option granted to those 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established trading market, other than our Class A common stock, which is listed on The Nasdaq Capital Market. We may elect to list any other class or series of securities on any exchange or market,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U.S. states or territories,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these activities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hereby will be passed upon for us by Sheppard, Mullin, Richter &amp; Hampton LLP, New York, NY. Additional legal matters may be passed upon for us or any underwriters, dealers or agents, by counsel that we will name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2022 and for each of the two years in the period ended December 31, 2022, incorporated by reference in this Prospectus and in the Registration Statement have been so incorporated in reliance on the report of BDO USA, LLP (n/k/a BDO USA, P.A.), an independent registered public accounting firm, incorporated herein by reference,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securities offered by this prospectus. This prospectus, which forms a part of such registration statement, does not contain all of the information included in the registration statement or the exhibits thereto.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file annual, quarterly and current reports, proxy statements and other information with the SEC. Our SEC filings are available to the public over the Internet at the SEC’s website at www.sec.gov and on our website, free of charge, at www.opalfuels.com. The information contained on, or that may be accessed through or that is hyperlinked to, our website is not part of, and is not incorporated into, this prospectus. You may inspect a copy of the registration statement through the SEC’s website,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about us by referring to another document filed separately with the SEC. The information incorporated by reference is considered to be a part of this prospectus. This prospectus incorporates by reference the documents and reports listed below other than portions of these documents that are furnished under Item 2.02 or Item 7.01 of a current report on Form 8–K:</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3">
              <w:r>
                <w:rPr>
                  <w:rStyle w:val="InternetLink"/>
                </w:rPr>
                <w:t>Form 10–K</w:t>
              </w:r>
            </w:hyperlink>
            <w:r>
              <w:rPr/>
              <w:t xml:space="preserve"> for the fiscal year ended December 31, 2022, filed with the SEC on March 29,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quarterly report on </w:t>
            </w:r>
            <w:hyperlink r:id="rId4">
              <w:r>
                <w:rPr>
                  <w:rStyle w:val="InternetLink"/>
                </w:rPr>
                <w:t>Form 10–Q</w:t>
              </w:r>
            </w:hyperlink>
            <w:r>
              <w:rPr/>
              <w:t xml:space="preserve"> for the three months ended March 31, 2023, filed with the SEC on May 15,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reports on Form 8–K filed with the SEC on </w:t>
            </w:r>
            <w:hyperlink r:id="rId5">
              <w:r>
                <w:rPr>
                  <w:rStyle w:val="InternetLink"/>
                </w:rPr>
                <w:t>March 7, 2023</w:t>
              </w:r>
            </w:hyperlink>
            <w:r>
              <w:rPr/>
              <w:t xml:space="preserve">, </w:t>
            </w:r>
            <w:hyperlink r:id="rId6">
              <w:r>
                <w:rPr>
                  <w:rStyle w:val="InternetLink"/>
                </w:rPr>
                <w:t>March 27, 2023</w:t>
              </w:r>
            </w:hyperlink>
            <w:r>
              <w:rPr/>
              <w:t xml:space="preserve">, </w:t>
            </w:r>
            <w:hyperlink r:id="rId7">
              <w:r>
                <w:rPr>
                  <w:rStyle w:val="InternetLink"/>
                </w:rPr>
                <w:t>April 5, 2023</w:t>
              </w:r>
            </w:hyperlink>
            <w:r>
              <w:rPr/>
              <w:t xml:space="preserve">, </w:t>
            </w:r>
            <w:hyperlink r:id="rId8">
              <w:r>
                <w:rPr>
                  <w:rStyle w:val="InternetLink"/>
                </w:rPr>
                <w:t>April 19, 2023</w:t>
              </w:r>
            </w:hyperlink>
            <w:r>
              <w:rPr/>
              <w:t xml:space="preserve">, </w:t>
            </w:r>
            <w:hyperlink r:id="rId9">
              <w:r>
                <w:rPr>
                  <w:rStyle w:val="InternetLink"/>
                </w:rPr>
                <w:t>May 1, 2023</w:t>
              </w:r>
            </w:hyperlink>
            <w:r>
              <w:rPr/>
              <w:t xml:space="preserve">, </w:t>
            </w:r>
            <w:hyperlink r:id="rId10">
              <w:r>
                <w:rPr>
                  <w:rStyle w:val="InternetLink"/>
                </w:rPr>
                <w:t>May 8, 2023</w:t>
              </w:r>
            </w:hyperlink>
            <w:r>
              <w:rPr/>
              <w:t xml:space="preserve">, </w:t>
            </w:r>
            <w:hyperlink r:id="rId11">
              <w:r>
                <w:rPr>
                  <w:rStyle w:val="InternetLink"/>
                </w:rPr>
                <w:t>May 11, 2023</w:t>
              </w:r>
            </w:hyperlink>
            <w:r>
              <w:rPr/>
              <w:t xml:space="preserve">, </w:t>
            </w:r>
            <w:hyperlink r:id="rId12">
              <w:r>
                <w:rPr>
                  <w:rStyle w:val="InternetLink"/>
                </w:rPr>
                <w:t>May 11, 2023</w:t>
              </w:r>
            </w:hyperlink>
            <w:r>
              <w:rPr/>
              <w:t xml:space="preserve">, </w:t>
            </w:r>
            <w:hyperlink r:id="rId13">
              <w:r>
                <w:rPr>
                  <w:rStyle w:val="InternetLink"/>
                </w:rPr>
                <w:t>June 2, 2023</w:t>
              </w:r>
            </w:hyperlink>
            <w:r>
              <w:rPr/>
              <w:t xml:space="preserve">, </w:t>
            </w:r>
            <w:hyperlink r:id="rId14">
              <w:r>
                <w:rPr>
                  <w:rStyle w:val="InternetLink"/>
                </w:rPr>
                <w:t>June 23, 2023</w:t>
              </w:r>
            </w:hyperlink>
            <w:r>
              <w:rPr/>
              <w:t xml:space="preserve">, and </w:t>
            </w:r>
            <w:hyperlink r:id="rId15">
              <w:r>
                <w:rPr>
                  <w:rStyle w:val="InternetLink"/>
                </w:rPr>
                <w:t>June 29, 2023</w:t>
              </w:r>
            </w:hyperlink>
            <w:r>
              <w:rPr/>
              <w:t>; and</w:t>
            </w:r>
          </w:p>
        </w:tc>
      </w:tr>
    </w:tbl>
    <w:p>
      <w:pPr>
        <w:pStyle w:val="TextBody"/>
        <w:bidi w:val="0"/>
        <w:spacing w:before="0" w:after="0"/>
        <w:ind w:left="0" w:right="0" w:hanging="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pPr>
            <w:r>
              <w:rPr/>
              <w:t xml:space="preserve">our definitive revised proxy filed with the SEC on </w:t>
            </w:r>
            <w:hyperlink r:id="rId16">
              <w:r>
                <w:rPr>
                  <w:rStyle w:val="InternetLink"/>
                </w:rPr>
                <w:t>May 9, 2023</w:t>
              </w:r>
            </w:hyperlink>
            <w:r>
              <w:rPr/>
              <w: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and 15(d) of the Exchange Act, shall be deemed to be incorporated by reference in this prospectus and to be a part hereof from the date of filing of such documents. In addition, all reports and other documents filed by us pursuant to the Exchange Act after the date of the initial registration statement and prior to effectiveness of the registration statement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incorporated herein by reference may be obtained on our website at www.opalfuels.com. The information on our website is not incorporated by reference into this prospectus. These documents are also available on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any person, including any beneficial owner, to whom a copy of this prospectus is delivered, upon oral or written request of such person, a copy of any or all of the documents that have been incorporated by reference in this prospectus but not delivered with the prospectus, including any exhibits to such documents that are specifically incorporated by reference in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make your request by writing or telephoning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Fuels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North Lexington Avenue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1450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Plains, New York 10601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(914) 705-4000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pBdr>
          <w:top w:val="single" w:sz="12" w:space="1" w:color="000000"/>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1460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514600" cy="590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OPAL FUELS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pStyle w:val="TextBody"/>
        <w:pBdr>
          <w:bottom w:val="single" w:sz="1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expenses to be borne by us in connection with the issuance and distribution of the shares of common stock being registered hereby. All amounts shown are estimates except for the SEC registration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securities. Selling Holders, however, will bear all underwriting commissions and discounts, if any, attributable to their respective sales sale of the securities.</w:t>
      </w:r>
    </w:p>
    <w:p>
      <w:pPr>
        <w:pStyle w:val="TextBody"/>
        <w:bidi w:val="0"/>
        <w:spacing w:before="0" w:after="0"/>
        <w:ind w:left="0" w:right="0" w:hanging="0"/>
        <w:jc w:val="left"/>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3140"/>
        <w:gridCol w:w="60"/>
        <w:gridCol w:w="140"/>
        <w:gridCol w:w="965"/>
        <w:gridCol w:w="75"/>
      </w:tblGrid>
      <w:tr>
        <w:trPr/>
        <w:tc>
          <w:tcPr>
            <w:tcW w:w="314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11,020</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pPr>
            <w:r>
              <w:rPr/>
              <w:t>Accounting fees and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Miscellaneous fees and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sz w:val="20"/>
              </w:rPr>
              <w:t>*</w:t>
            </w:r>
          </w:p>
        </w:tc>
        <w:tc>
          <w:tcPr>
            <w:tcW w:w="75" w:type="dxa"/>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b/>
                <w:sz w:val="20"/>
              </w:rPr>
            </w:pPr>
            <w:r>
              <w:rPr>
                <w:b/>
                <w:sz w:val="20"/>
              </w:rPr>
              <w:t>*</w:t>
            </w:r>
          </w:p>
        </w:tc>
        <w:tc>
          <w:tcPr>
            <w:tcW w:w="10042" w:type="dxa"/>
            <w:tcBorders/>
            <w:vAlign w:val="center"/>
          </w:tcPr>
          <w:p>
            <w:pPr>
              <w:pStyle w:val="TableContents"/>
              <w:bidi w:val="0"/>
              <w:spacing w:before="0" w:after="283"/>
              <w:jc w:val="both"/>
              <w:rPr>
                <w:sz w:val="20"/>
              </w:rPr>
            </w:pPr>
            <w:r>
              <w:rPr>
                <w:sz w:val="20"/>
              </w:rPr>
              <w:t>These fees and expenses depend on the securities offered and the number of issuances and accordingly cannot be estimated at this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is governed by the DGCL, as the same exists or may hereafter be amended. Section 145 of the DGCL (“Section 145”)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 held not to be enforceable for certain violations of the federal securities laws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 The following exhibits are being followed herewith: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7"/>
        <w:gridCol w:w="60"/>
        <w:gridCol w:w="9348"/>
      </w:tblGrid>
      <w:tr>
        <w:trPr/>
        <w:tc>
          <w:tcPr>
            <w:tcW w:w="797"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348"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Description</w:t>
            </w:r>
            <w:r>
              <w:rPr>
                <w:rFonts w:ascii="Times New Roman;Times;Serif" w:hAnsi="Times New Roman;Times;Serif"/>
                <w:sz w:val="20"/>
              </w:rPr>
              <w:t> </w:t>
            </w:r>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8"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Business Combination Agreement, dated as of December 2, 2021, by and among ArcLight, OPAL Fuels and OPAL Holdco (incorporated by reference to Exhibit 2.1 to the Current Report on Form 8-K, filed on December 3, 2021).</w:t>
              </w:r>
            </w:hyperlink>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60" w:type="dxa"/>
            <w:tcBorders/>
            <w:tcMar>
              <w:bottom w:w="0" w:type="dxa"/>
            </w:tcMar>
            <w:vAlign w:val="center"/>
          </w:tcPr>
          <w:p>
            <w:pPr>
              <w:pStyle w:val="TableContents"/>
              <w:bidi w:val="0"/>
              <w:spacing w:before="0" w:after="283"/>
              <w:jc w:val="left"/>
              <w:rPr/>
            </w:pPr>
            <w:r>
              <w:rPr/>
              <w:t> </w:t>
            </w:r>
          </w:p>
        </w:tc>
        <w:tc>
          <w:tcPr>
            <w:tcW w:w="9348"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Restated Certificate of Incorporation of OPAL Fuels Inc. (incorporated by reference to Exhibit 3.1 to the Current Report on Form 8-K/A filed by the Company on August 10, 2022)</w:t>
              </w:r>
            </w:hyperlink>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348"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Bylaws of OPAL Fuels Inc. (incorporated by reference to Exhibit 3.2 to the Current Report on Form 8-K filed on July 27, 2022)</w:t>
              </w:r>
            </w:hyperlink>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283"/>
              <w:jc w:val="center"/>
              <w:rPr/>
            </w:pPr>
            <w:r>
              <w:rPr/>
              <w:t> </w:t>
            </w:r>
          </w:p>
        </w:tc>
        <w:tc>
          <w:tcPr>
            <w:tcW w:w="9348"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Specimen Warrant Certificate (incorporated by reference to Exhibit 4.3 to the Registration Statement on Form S-1 (File No. 333-252730) filed on March 8, 2021).</w:t>
              </w:r>
            </w:hyperlink>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348"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Warrant Agreement between Continental Stock Transfer &amp; Trust Company and ArcLight Clean Transition Corp. II, dated March 22, 2021 (incorporated by reference to Exhibit 4.1 to the Current Report on Form 8-K filed on March 26, 2021).</w:t>
              </w:r>
            </w:hyperlink>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tcMar>
              <w:bottom w:w="0" w:type="dxa"/>
            </w:tcMar>
            <w:vAlign w:val="center"/>
          </w:tcPr>
          <w:p>
            <w:pPr>
              <w:pStyle w:val="TableContents"/>
              <w:bidi w:val="0"/>
              <w:spacing w:before="0" w:after="283"/>
              <w:jc w:val="left"/>
              <w:rPr/>
            </w:pPr>
            <w:r>
              <w:rPr/>
              <w:t> </w:t>
            </w:r>
          </w:p>
        </w:tc>
        <w:tc>
          <w:tcPr>
            <w:tcW w:w="9348"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OPAL Fuels Inc. Short-Term Incentive Plan (incorporated by reference to Exhibit 4.4 to the Annual Report on Form 10-K filed on March 29, 2023).</w:t>
              </w:r>
            </w:hyperlink>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8"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Form of Stock Option Grant Notice and Option Agreement (incorporated by reference to the Annual Report on Form 10-K filed on March 28, 2023).</w:t>
              </w:r>
            </w:hyperlink>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60" w:type="dxa"/>
            <w:tcBorders/>
            <w:tcMar>
              <w:bottom w:w="0" w:type="dxa"/>
            </w:tcMar>
            <w:vAlign w:val="center"/>
          </w:tcPr>
          <w:p>
            <w:pPr>
              <w:pStyle w:val="TableContents"/>
              <w:bidi w:val="0"/>
              <w:spacing w:before="0" w:after="283"/>
              <w:jc w:val="left"/>
              <w:rPr/>
            </w:pPr>
            <w:r>
              <w:rPr/>
              <w:t> </w:t>
            </w:r>
          </w:p>
        </w:tc>
        <w:tc>
          <w:tcPr>
            <w:tcW w:w="9348"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Form of Performance Restricted Stock Unit Award Grant Notice and Award Agreement (incorporated by reference to the Annual Report on Form 10-K filed on March 28, 2023).</w:t>
              </w:r>
            </w:hyperlink>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8"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Certificate of Designation with respect to Preferred Stock</w:t>
            </w:r>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tcMar>
              <w:bottom w:w="0" w:type="dxa"/>
            </w:tcMar>
            <w:vAlign w:val="center"/>
          </w:tcPr>
          <w:p>
            <w:pPr>
              <w:pStyle w:val="TableContents"/>
              <w:bidi w:val="0"/>
              <w:spacing w:before="0" w:after="283"/>
              <w:jc w:val="left"/>
              <w:rPr/>
            </w:pPr>
            <w:r>
              <w:rPr/>
              <w:t> </w:t>
            </w:r>
          </w:p>
        </w:tc>
        <w:tc>
          <w:tcPr>
            <w:tcW w:w="934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Senior Indenture</w:t>
            </w:r>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8"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Subordinated Indenture</w:t>
            </w:r>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 w:type="dxa"/>
            <w:tcBorders/>
            <w:tcMar>
              <w:bottom w:w="0" w:type="dxa"/>
            </w:tcMar>
            <w:vAlign w:val="center"/>
          </w:tcPr>
          <w:p>
            <w:pPr>
              <w:pStyle w:val="TableContents"/>
              <w:bidi w:val="0"/>
              <w:spacing w:before="0" w:after="283"/>
              <w:jc w:val="left"/>
              <w:rPr/>
            </w:pPr>
            <w:r>
              <w:rPr/>
              <w:t> </w:t>
            </w:r>
          </w:p>
        </w:tc>
        <w:tc>
          <w:tcPr>
            <w:tcW w:w="934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Subordinated Indenture</w:t>
            </w:r>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8"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Subordinated Note</w:t>
            </w:r>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4.11**</w:t>
            </w:r>
          </w:p>
        </w:tc>
        <w:tc>
          <w:tcPr>
            <w:tcW w:w="60" w:type="dxa"/>
            <w:tcBorders/>
            <w:tcMar>
              <w:bottom w:w="0" w:type="dxa"/>
            </w:tcMar>
            <w:vAlign w:val="center"/>
          </w:tcPr>
          <w:p>
            <w:pPr>
              <w:pStyle w:val="TableContents"/>
              <w:bidi w:val="0"/>
              <w:spacing w:before="0" w:after="283"/>
              <w:jc w:val="left"/>
              <w:rPr/>
            </w:pPr>
            <w:r>
              <w:rPr/>
              <w:t> </w:t>
            </w:r>
          </w:p>
        </w:tc>
        <w:tc>
          <w:tcPr>
            <w:tcW w:w="934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Warrant</w:t>
            </w:r>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8"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Warrant Agreement</w:t>
            </w:r>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4.13**</w:t>
            </w:r>
          </w:p>
        </w:tc>
        <w:tc>
          <w:tcPr>
            <w:tcW w:w="60" w:type="dxa"/>
            <w:tcBorders/>
            <w:tcMar>
              <w:bottom w:w="0" w:type="dxa"/>
            </w:tcMar>
            <w:vAlign w:val="center"/>
          </w:tcPr>
          <w:p>
            <w:pPr>
              <w:pStyle w:val="TableContents"/>
              <w:bidi w:val="0"/>
              <w:spacing w:before="0" w:after="283"/>
              <w:jc w:val="left"/>
              <w:rPr/>
            </w:pPr>
            <w:r>
              <w:rPr/>
              <w:t> </w:t>
            </w:r>
          </w:p>
        </w:tc>
        <w:tc>
          <w:tcPr>
            <w:tcW w:w="934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Unit Agreement</w:t>
            </w:r>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348" w:type="dxa"/>
            <w:tcBorders/>
            <w:shd w:fill="CCEEFF" w:val="clear"/>
            <w:tcMar>
              <w:bottom w:w="0" w:type="dxa"/>
            </w:tcMar>
            <w:vAlign w:val="center"/>
          </w:tcPr>
          <w:p>
            <w:pPr>
              <w:pStyle w:val="TableContents"/>
              <w:bidi w:val="0"/>
              <w:spacing w:before="0" w:after="283"/>
              <w:jc w:val="both"/>
              <w:rPr/>
            </w:pPr>
            <w:hyperlink w:anchor="ea182665ex5-1_opalfuels.htm">
              <w:r>
                <w:rPr>
                  <w:rStyle w:val="InternetLink"/>
                  <w:rFonts w:ascii="Times New Roman;Times;Serif" w:hAnsi="Times New Roman;Times;Serif"/>
                  <w:sz w:val="20"/>
                </w:rPr>
                <w:t>Opinion of Sheppard, Mullin, Richter &amp; Hampton LLP</w:t>
              </w:r>
            </w:hyperlink>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23.1*</w:t>
            </w:r>
          </w:p>
        </w:tc>
        <w:tc>
          <w:tcPr>
            <w:tcW w:w="60" w:type="dxa"/>
            <w:tcBorders/>
            <w:tcMar>
              <w:bottom w:w="0" w:type="dxa"/>
            </w:tcMar>
            <w:vAlign w:val="center"/>
          </w:tcPr>
          <w:p>
            <w:pPr>
              <w:pStyle w:val="TableContents"/>
              <w:bidi w:val="0"/>
              <w:spacing w:before="0" w:after="283"/>
              <w:jc w:val="center"/>
              <w:rPr/>
            </w:pPr>
            <w:r>
              <w:rPr/>
              <w:t> </w:t>
            </w:r>
          </w:p>
        </w:tc>
        <w:tc>
          <w:tcPr>
            <w:tcW w:w="9348" w:type="dxa"/>
            <w:tcBorders/>
            <w:tcMar>
              <w:bottom w:w="0" w:type="dxa"/>
            </w:tcMar>
            <w:vAlign w:val="center"/>
          </w:tcPr>
          <w:p>
            <w:pPr>
              <w:pStyle w:val="TableContents"/>
              <w:bidi w:val="0"/>
              <w:spacing w:before="0" w:after="283"/>
              <w:jc w:val="both"/>
              <w:rPr/>
            </w:pPr>
            <w:hyperlink w:anchor="ea182665ex23-1_opalfuels.htm">
              <w:r>
                <w:rPr>
                  <w:rStyle w:val="InternetLink"/>
                  <w:rFonts w:ascii="Times New Roman;Times;Serif" w:hAnsi="Times New Roman;Times;Serif"/>
                  <w:sz w:val="20"/>
                </w:rPr>
                <w:t>Consent of BDO USA, P.A., independent registered accounting firm for OPAL Fuels Inc.</w:t>
              </w:r>
            </w:hyperlink>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348" w:type="dxa"/>
            <w:tcBorders/>
            <w:shd w:fill="CCEEFF" w:val="clear"/>
            <w:tcMar>
              <w:bottom w:w="0" w:type="dxa"/>
            </w:tcMar>
            <w:vAlign w:val="center"/>
          </w:tcPr>
          <w:p>
            <w:pPr>
              <w:pStyle w:val="TableContents"/>
              <w:bidi w:val="0"/>
              <w:spacing w:before="0" w:after="283"/>
              <w:jc w:val="both"/>
              <w:rPr/>
            </w:pPr>
            <w:hyperlink w:anchor="ea182665ex5-1_opalfuels.htm">
              <w:r>
                <w:rPr>
                  <w:rStyle w:val="InternetLink"/>
                  <w:rFonts w:ascii="Times New Roman;Times;Serif" w:hAnsi="Times New Roman;Times;Serif"/>
                  <w:sz w:val="20"/>
                </w:rPr>
                <w:t>Consent of Sheppard, Mullin, Richter &amp; Hampton LLP (included as part of Exhibit 5.1).</w:t>
              </w:r>
            </w:hyperlink>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24.1* </w:t>
            </w:r>
          </w:p>
        </w:tc>
        <w:tc>
          <w:tcPr>
            <w:tcW w:w="60" w:type="dxa"/>
            <w:tcBorders/>
            <w:tcMar>
              <w:bottom w:w="0" w:type="dxa"/>
            </w:tcMar>
            <w:vAlign w:val="center"/>
          </w:tcPr>
          <w:p>
            <w:pPr>
              <w:pStyle w:val="TableContents"/>
              <w:bidi w:val="0"/>
              <w:spacing w:before="0" w:after="283"/>
              <w:jc w:val="left"/>
              <w:rPr/>
            </w:pPr>
            <w:r>
              <w:rPr/>
              <w:t> </w:t>
            </w:r>
          </w:p>
        </w:tc>
        <w:tc>
          <w:tcPr>
            <w:tcW w:w="9348" w:type="dxa"/>
            <w:tcBorders/>
            <w:tcMar>
              <w:bottom w:w="0" w:type="dxa"/>
            </w:tcMar>
            <w:vAlign w:val="center"/>
          </w:tcPr>
          <w:p>
            <w:pPr>
              <w:pStyle w:val="TableContents"/>
              <w:bidi w:val="0"/>
              <w:spacing w:before="0" w:after="283"/>
              <w:jc w:val="left"/>
              <w:rPr/>
            </w:pPr>
            <w:hyperlink w:anchor="a_018">
              <w:r>
                <w:rPr>
                  <w:rStyle w:val="InternetLink"/>
                  <w:rFonts w:ascii="Times New Roman;Times;Serif" w:hAnsi="Times New Roman;Times;Serif"/>
                  <w:sz w:val="20"/>
                </w:rPr>
                <w:t>Power of attorney (included on the signature page hereto)</w:t>
              </w:r>
            </w:hyperlink>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101.SCH*</w:t>
            </w:r>
          </w:p>
        </w:tc>
        <w:tc>
          <w:tcPr>
            <w:tcW w:w="60" w:type="dxa"/>
            <w:tcBorders/>
            <w:tcMar>
              <w:bottom w:w="0" w:type="dxa"/>
            </w:tcMar>
            <w:vAlign w:val="center"/>
          </w:tcPr>
          <w:p>
            <w:pPr>
              <w:pStyle w:val="TableContents"/>
              <w:bidi w:val="0"/>
              <w:spacing w:before="0" w:after="283"/>
              <w:jc w:val="left"/>
              <w:rPr/>
            </w:pPr>
            <w:r>
              <w:rPr/>
              <w:t> </w:t>
            </w:r>
          </w:p>
        </w:tc>
        <w:tc>
          <w:tcPr>
            <w:tcW w:w="934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101.DEF*</w:t>
            </w:r>
          </w:p>
        </w:tc>
        <w:tc>
          <w:tcPr>
            <w:tcW w:w="60" w:type="dxa"/>
            <w:tcBorders/>
            <w:tcMar>
              <w:bottom w:w="0" w:type="dxa"/>
            </w:tcMar>
            <w:vAlign w:val="center"/>
          </w:tcPr>
          <w:p>
            <w:pPr>
              <w:pStyle w:val="TableContents"/>
              <w:bidi w:val="0"/>
              <w:spacing w:before="0" w:after="283"/>
              <w:jc w:val="left"/>
              <w:rPr/>
            </w:pPr>
            <w:r>
              <w:rPr/>
              <w:t> </w:t>
            </w:r>
          </w:p>
        </w:tc>
        <w:tc>
          <w:tcPr>
            <w:tcW w:w="934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9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101.PRE*</w:t>
            </w:r>
          </w:p>
        </w:tc>
        <w:tc>
          <w:tcPr>
            <w:tcW w:w="60" w:type="dxa"/>
            <w:tcBorders/>
            <w:tcMar>
              <w:bottom w:w="0" w:type="dxa"/>
            </w:tcMar>
            <w:vAlign w:val="center"/>
          </w:tcPr>
          <w:p>
            <w:pPr>
              <w:pStyle w:val="TableContents"/>
              <w:bidi w:val="0"/>
              <w:spacing w:before="0" w:after="283"/>
              <w:jc w:val="left"/>
              <w:rPr/>
            </w:pPr>
            <w:r>
              <w:rPr/>
              <w:t> </w:t>
            </w:r>
          </w:p>
        </w:tc>
        <w:tc>
          <w:tcPr>
            <w:tcW w:w="934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8" w:type="dxa"/>
            <w:tcBorders/>
            <w:shd w:fill="CCEEFF" w:val="clear"/>
            <w:tcMar>
              <w:bottom w:w="0" w:type="dxa"/>
            </w:tcMar>
            <w:vAlign w:val="center"/>
          </w:tcPr>
          <w:p>
            <w:pPr>
              <w:pStyle w:val="TableContents"/>
              <w:bidi w:val="0"/>
              <w:spacing w:before="0" w:after="283"/>
              <w:jc w:val="both"/>
              <w:rPr/>
            </w:pPr>
            <w:hyperlink w:anchor="ea182665ex-fee_opalfuel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230"/>
        <w:gridCol w:w="70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w:t>
            </w:r>
          </w:p>
        </w:tc>
        <w:tc>
          <w:tcPr>
            <w:tcW w:w="7085" w:type="dxa"/>
            <w:tcBorders/>
            <w:vAlign w:val="center"/>
          </w:tcPr>
          <w:p>
            <w:pPr>
              <w:pStyle w:val="TableContents"/>
              <w:bidi w:val="0"/>
              <w:spacing w:before="0" w:after="283"/>
              <w:jc w:val="both"/>
              <w:rPr>
                <w:sz w:val="20"/>
              </w:rPr>
            </w:pPr>
            <w:r>
              <w:rPr>
                <w:sz w:val="20"/>
              </w:rPr>
              <w:t>Filed herewith.</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w:t>
            </w:r>
          </w:p>
        </w:tc>
        <w:tc>
          <w:tcPr>
            <w:tcW w:w="7085" w:type="dxa"/>
            <w:tcBorders/>
            <w:vAlign w:val="center"/>
          </w:tcPr>
          <w:p>
            <w:pPr>
              <w:pStyle w:val="TableContents"/>
              <w:bidi w:val="0"/>
              <w:spacing w:before="0" w:after="283"/>
              <w:jc w:val="both"/>
              <w:rPr>
                <w:sz w:val="20"/>
              </w:rPr>
            </w:pPr>
            <w:r>
              <w:rPr>
                <w:sz w:val="20"/>
              </w:rPr>
              <w:t>If required, to be filed by amendment or under subsequent Current Report on Form 8-K.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sz w:val="20"/>
              </w:rPr>
            </w:pPr>
            <w:r>
              <w:rPr>
                <w:sz w:val="20"/>
              </w:rPr>
              <w:t>Schedules and exhibits to this exhibit omitted pursuant to Regulation S-K Item 601(b)(2). The Company agrees to furnish supplementally a copy of any omitted schedule or exhibit to the SEC upon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10005" w:type="dxa"/>
            <w:tcBorders/>
            <w:vAlign w:val="center"/>
          </w:tcPr>
          <w:p>
            <w:pPr>
              <w:pStyle w:val="TableContents"/>
              <w:bidi w:val="0"/>
              <w:spacing w:before="0" w:after="283"/>
              <w:jc w:val="both"/>
              <w:rPr>
                <w:sz w:val="20"/>
              </w:rPr>
            </w:pPr>
            <w:r>
              <w:rPr>
                <w:sz w:val="20"/>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tc>
      </w:tr>
    </w:tbl>
    <w:p>
      <w:pPr>
        <w:pStyle w:val="TextBody"/>
        <w:bidi w:val="0"/>
        <w:spacing w:before="0" w:after="0"/>
        <w:ind w:left="489"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The financial statements filed as part of this registration statement are listed in the index to the financial statements immediately preceding such financial statements, which index to the financial statements is incorporated herein by reference.</w:t>
      </w:r>
    </w:p>
    <w:p>
      <w:pPr>
        <w:pStyle w:val="TextBody"/>
        <w:bidi w:val="0"/>
        <w:spacing w:before="0" w:after="0"/>
        <w:ind w:left="489" w:right="0" w:firstLine="720"/>
        <w:jc w:val="left"/>
        <w:rPr>
          <w:caps w:val="false"/>
          <w:smallCaps w:val="false"/>
        </w:rPr>
      </w:pPr>
      <w:r>
        <w:rPr>
          <w:caps w:val="false"/>
          <w:smallCaps w:val="false"/>
        </w:rPr>
        <w:t> </w:t>
      </w:r>
    </w:p>
    <w:p>
      <w:pPr>
        <w:pStyle w:val="TextBody"/>
        <w:bidi w:val="0"/>
        <w:spacing w:before="0" w:after="0"/>
        <w:ind w:left="48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89"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11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(1)(i), (1)(ii), and (1)(iii)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for the purpose of determining liability under the Securities Act to any purchaser: (i) each prospectus filed by the registrant pursuant to Rule 424(b)(3) shall be deemed to be part of the registration statement as of the date the filed prospectus was deemed part of and included in the registration statement; and (ii)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i/>
              </w:rPr>
              <w:t>bona fide</w:t>
            </w:r>
            <w:r>
              <w:rPr>
                <w:rFonts w:ascii="Times New Roman;Times;Serif" w:hAnsi="Times New Roman;Times;Serif"/>
              </w:rPr>
              <w:t> offering thereof. </w:t>
            </w:r>
            <w:r>
              <w:rPr>
                <w:rFonts w:ascii="Times New Roman;Times;Serif" w:hAnsi="Times New Roman;Times;Serif"/>
                <w:i/>
              </w:rPr>
              <w:t>Provided, however,</w:t>
            </w:r>
            <w:r>
              <w:rPr>
                <w:rFonts w:ascii="Times New Roman;Times;Serif" w:hAnsi="Times New Roman;Times;Serif"/>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White Plains, State of New York, on August 1, 2023.</w:t>
      </w:r>
    </w:p>
    <w:p>
      <w:pPr>
        <w:pStyle w:val="TextBody"/>
        <w:bidi w:val="0"/>
        <w:spacing w:before="0" w:after="0"/>
        <w:ind w:left="0" w:right="0" w:firstLine="720"/>
        <w:jc w:val="both"/>
        <w:rPr>
          <w:caps w:val="false"/>
          <w:smallCaps w:val="false"/>
        </w:rPr>
      </w:pPr>
      <w:r>
        <w:rPr>
          <w:caps w:val="false"/>
          <w:smallCaps w:val="false"/>
        </w:rPr>
        <w:t> </w:t>
      </w:r>
    </w:p>
    <w:tbl>
      <w:tblPr>
        <w:tblW w:w="3240" w:type="dxa"/>
        <w:jc w:val="left"/>
        <w:tblInd w:w="0" w:type="dxa"/>
        <w:tblLayout w:type="fixed"/>
        <w:tblCellMar>
          <w:top w:w="0" w:type="dxa"/>
          <w:left w:w="0" w:type="dxa"/>
          <w:bottom w:w="0" w:type="dxa"/>
          <w:right w:w="0" w:type="dxa"/>
        </w:tblCellMar>
      </w:tblPr>
      <w:tblGrid>
        <w:gridCol w:w="75"/>
        <w:gridCol w:w="320"/>
        <w:gridCol w:w="590"/>
        <w:gridCol w:w="2255"/>
      </w:tblGrid>
      <w:tr>
        <w:trPr/>
        <w:tc>
          <w:tcPr>
            <w:tcW w:w="75" w:type="dxa"/>
            <w:tcBorders/>
            <w:vAlign w:val="center"/>
          </w:tcPr>
          <w:p>
            <w:pPr>
              <w:pStyle w:val="TableContents"/>
              <w:bidi w:val="0"/>
              <w:spacing w:before="0" w:after="283"/>
              <w:jc w:val="left"/>
              <w:rPr/>
            </w:pPr>
            <w:r>
              <w:rPr/>
              <w:t> </w:t>
            </w:r>
          </w:p>
        </w:tc>
        <w:tc>
          <w:tcPr>
            <w:tcW w:w="3165" w:type="dxa"/>
            <w:gridSpan w:val="3"/>
            <w:tcBorders/>
            <w:vAlign w:val="center"/>
          </w:tcPr>
          <w:p>
            <w:pPr>
              <w:pStyle w:val="TableContents"/>
              <w:bidi w:val="0"/>
              <w:spacing w:before="0" w:after="283"/>
              <w:jc w:val="left"/>
              <w:rPr>
                <w:b/>
                <w:sz w:val="20"/>
              </w:rPr>
            </w:pPr>
            <w:r>
              <w:rPr>
                <w:b/>
                <w:sz w:val="20"/>
              </w:rPr>
              <w:t>OPAL FUELS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4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Jonathan Maurer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255" w:type="dxa"/>
            <w:tcBorders/>
            <w:vAlign w:val="center"/>
          </w:tcPr>
          <w:p>
            <w:pPr>
              <w:pStyle w:val="TableContents"/>
              <w:bidi w:val="0"/>
              <w:spacing w:before="0" w:after="283"/>
              <w:jc w:val="left"/>
              <w:rPr>
                <w:sz w:val="20"/>
              </w:rPr>
            </w:pPr>
            <w:r>
              <w:rPr>
                <w:sz w:val="20"/>
              </w:rPr>
              <w:t>Jonathan Maurer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2255" w:type="dxa"/>
            <w:tcBorders/>
            <w:vAlign w:val="center"/>
          </w:tcPr>
          <w:p>
            <w:pPr>
              <w:pStyle w:val="TableContents"/>
              <w:bidi w:val="0"/>
              <w:spacing w:before="0" w:after="283"/>
              <w:jc w:val="left"/>
              <w:rPr>
                <w:sz w:val="20"/>
              </w:rPr>
            </w:pPr>
            <w:r>
              <w:rPr>
                <w:sz w:val="20"/>
              </w:rPr>
              <w:t>Co-Chief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Jonathan Maurer, Adam Comora, Ann Anthony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8130" w:type="dxa"/>
        <w:jc w:val="left"/>
        <w:tblInd w:w="0" w:type="dxa"/>
        <w:tblLayout w:type="fixed"/>
        <w:tblCellMar>
          <w:top w:w="0" w:type="dxa"/>
          <w:left w:w="0" w:type="dxa"/>
          <w:bottom w:w="28" w:type="dxa"/>
          <w:right w:w="0" w:type="dxa"/>
        </w:tblCellMar>
      </w:tblPr>
      <w:tblGrid>
        <w:gridCol w:w="1715"/>
        <w:gridCol w:w="60"/>
        <w:gridCol w:w="5015"/>
        <w:gridCol w:w="60"/>
        <w:gridCol w:w="1280"/>
      </w:tblGrid>
      <w:tr>
        <w:trPr/>
        <w:tc>
          <w:tcPr>
            <w:tcW w:w="1715" w:type="dxa"/>
            <w:tcBorders>
              <w:bottom w:val="single" w:sz="12"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015" w:type="dxa"/>
            <w:tcBorders>
              <w:bottom w:val="single" w:sz="12"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12" w:space="0" w:color="000000"/>
            </w:tcBorders>
            <w:vAlign w:val="center"/>
          </w:tcPr>
          <w:p>
            <w:pPr>
              <w:pStyle w:val="TableContents"/>
              <w:bidi w:val="0"/>
              <w:spacing w:before="0" w:after="283"/>
              <w:jc w:val="left"/>
              <w:rPr>
                <w:sz w:val="20"/>
              </w:rPr>
            </w:pPr>
            <w:r>
              <w:rPr>
                <w:sz w:val="20"/>
              </w:rPr>
              <w:t>/s/ Jonathan Maurer</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sz w:val="20"/>
              </w:rPr>
            </w:pPr>
            <w:r>
              <w:rPr>
                <w:sz w:val="20"/>
              </w:rPr>
              <w:t>Co-Chief Executive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August 1, 2023</w:t>
            </w:r>
          </w:p>
        </w:tc>
      </w:tr>
      <w:tr>
        <w:trPr/>
        <w:tc>
          <w:tcPr>
            <w:tcW w:w="1715" w:type="dxa"/>
            <w:tcBorders/>
            <w:tcMar>
              <w:bottom w:w="0" w:type="dxa"/>
            </w:tcMar>
            <w:vAlign w:val="center"/>
          </w:tcPr>
          <w:p>
            <w:pPr>
              <w:pStyle w:val="TableContents"/>
              <w:bidi w:val="0"/>
              <w:spacing w:before="0" w:after="283"/>
              <w:jc w:val="left"/>
              <w:rPr>
                <w:sz w:val="20"/>
              </w:rPr>
            </w:pPr>
            <w:r>
              <w:rPr>
                <w:sz w:val="20"/>
              </w:rPr>
              <w:t>Jonathan Maurer</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12" w:space="0" w:color="000000"/>
            </w:tcBorders>
            <w:vAlign w:val="center"/>
          </w:tcPr>
          <w:p>
            <w:pPr>
              <w:pStyle w:val="TableContents"/>
              <w:bidi w:val="0"/>
              <w:spacing w:before="0" w:after="283"/>
              <w:jc w:val="left"/>
              <w:rPr>
                <w:sz w:val="20"/>
              </w:rPr>
            </w:pPr>
            <w:r>
              <w:rPr>
                <w:sz w:val="20"/>
              </w:rPr>
              <w:t>/s/ Adam Comora</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sz w:val="20"/>
              </w:rPr>
            </w:pPr>
            <w:r>
              <w:rPr>
                <w:sz w:val="20"/>
              </w:rPr>
              <w:t>Co-Chief Executive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August 1, 2023</w:t>
            </w:r>
          </w:p>
        </w:tc>
      </w:tr>
      <w:tr>
        <w:trPr/>
        <w:tc>
          <w:tcPr>
            <w:tcW w:w="1715" w:type="dxa"/>
            <w:tcBorders/>
            <w:tcMar>
              <w:bottom w:w="0" w:type="dxa"/>
            </w:tcMar>
            <w:vAlign w:val="center"/>
          </w:tcPr>
          <w:p>
            <w:pPr>
              <w:pStyle w:val="TableContents"/>
              <w:bidi w:val="0"/>
              <w:spacing w:before="0" w:after="283"/>
              <w:jc w:val="left"/>
              <w:rPr>
                <w:sz w:val="20"/>
              </w:rPr>
            </w:pPr>
            <w:r>
              <w:rPr>
                <w:sz w:val="20"/>
              </w:rPr>
              <w:t>Adam Comora</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12" w:space="0" w:color="000000"/>
            </w:tcBorders>
            <w:vAlign w:val="center"/>
          </w:tcPr>
          <w:p>
            <w:pPr>
              <w:pStyle w:val="TableContents"/>
              <w:bidi w:val="0"/>
              <w:spacing w:before="0" w:after="283"/>
              <w:jc w:val="left"/>
              <w:rPr>
                <w:sz w:val="20"/>
              </w:rPr>
            </w:pPr>
            <w:r>
              <w:rPr>
                <w:sz w:val="20"/>
              </w:rPr>
              <w:t>/s/ Ann Anthony</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both"/>
              <w:rPr>
                <w:sz w:val="20"/>
              </w:rPr>
            </w:pPr>
            <w:r>
              <w:rPr>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August 1, 2023</w:t>
            </w:r>
          </w:p>
        </w:tc>
      </w:tr>
      <w:tr>
        <w:trPr/>
        <w:tc>
          <w:tcPr>
            <w:tcW w:w="1715" w:type="dxa"/>
            <w:tcBorders/>
            <w:tcMar>
              <w:bottom w:w="0" w:type="dxa"/>
            </w:tcMar>
            <w:vAlign w:val="center"/>
          </w:tcPr>
          <w:p>
            <w:pPr>
              <w:pStyle w:val="TableContents"/>
              <w:bidi w:val="0"/>
              <w:spacing w:before="0" w:after="283"/>
              <w:jc w:val="left"/>
              <w:rPr>
                <w:sz w:val="20"/>
              </w:rPr>
            </w:pPr>
            <w:r>
              <w:rPr>
                <w:sz w:val="20"/>
              </w:rPr>
              <w:t>Ann Anthony</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12" w:space="0" w:color="000000"/>
            </w:tcBorders>
            <w:vAlign w:val="center"/>
          </w:tcPr>
          <w:p>
            <w:pPr>
              <w:pStyle w:val="TableContents"/>
              <w:bidi w:val="0"/>
              <w:spacing w:before="0" w:after="283"/>
              <w:jc w:val="left"/>
              <w:rPr>
                <w:sz w:val="20"/>
              </w:rPr>
            </w:pPr>
            <w:r>
              <w:rPr>
                <w:sz w:val="20"/>
              </w:rPr>
              <w:t>/s/ Mark Comora</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Chairman</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August 1, 2023</w:t>
            </w:r>
          </w:p>
        </w:tc>
      </w:tr>
      <w:tr>
        <w:trPr/>
        <w:tc>
          <w:tcPr>
            <w:tcW w:w="1715" w:type="dxa"/>
            <w:tcBorders/>
            <w:tcMar>
              <w:bottom w:w="0" w:type="dxa"/>
            </w:tcMar>
            <w:vAlign w:val="center"/>
          </w:tcPr>
          <w:p>
            <w:pPr>
              <w:pStyle w:val="TableContents"/>
              <w:bidi w:val="0"/>
              <w:spacing w:before="0" w:after="283"/>
              <w:jc w:val="left"/>
              <w:rPr>
                <w:sz w:val="20"/>
              </w:rPr>
            </w:pPr>
            <w:r>
              <w:rPr>
                <w:sz w:val="20"/>
              </w:rPr>
              <w:t>Mark Comora</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12" w:space="0" w:color="000000"/>
            </w:tcBorders>
            <w:vAlign w:val="center"/>
          </w:tcPr>
          <w:p>
            <w:pPr>
              <w:pStyle w:val="TableContents"/>
              <w:bidi w:val="0"/>
              <w:spacing w:before="0" w:after="283"/>
              <w:jc w:val="left"/>
              <w:rPr>
                <w:sz w:val="20"/>
              </w:rPr>
            </w:pPr>
            <w:r>
              <w:rPr>
                <w:sz w:val="20"/>
              </w:rPr>
              <w:t>/s/ Betsy L. Battle</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August 1, 2023</w:t>
            </w:r>
          </w:p>
        </w:tc>
      </w:tr>
      <w:tr>
        <w:trPr/>
        <w:tc>
          <w:tcPr>
            <w:tcW w:w="1715" w:type="dxa"/>
            <w:tcBorders/>
            <w:tcMar>
              <w:bottom w:w="0" w:type="dxa"/>
            </w:tcMar>
            <w:vAlign w:val="center"/>
          </w:tcPr>
          <w:p>
            <w:pPr>
              <w:pStyle w:val="TableContents"/>
              <w:bidi w:val="0"/>
              <w:spacing w:before="0" w:after="283"/>
              <w:jc w:val="left"/>
              <w:rPr>
                <w:sz w:val="20"/>
              </w:rPr>
            </w:pPr>
            <w:r>
              <w:rPr>
                <w:sz w:val="20"/>
              </w:rPr>
              <w:t>Betsy L. Battle</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12" w:space="0" w:color="000000"/>
            </w:tcBorders>
            <w:vAlign w:val="center"/>
          </w:tcPr>
          <w:p>
            <w:pPr>
              <w:pStyle w:val="TableContents"/>
              <w:bidi w:val="0"/>
              <w:spacing w:before="0" w:after="283"/>
              <w:jc w:val="left"/>
              <w:rPr>
                <w:sz w:val="20"/>
              </w:rPr>
            </w:pPr>
            <w:r>
              <w:rPr>
                <w:sz w:val="20"/>
              </w:rPr>
              <w:t>/s/ Scott Dols</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August 1, 2023</w:t>
            </w:r>
          </w:p>
        </w:tc>
      </w:tr>
      <w:tr>
        <w:trPr/>
        <w:tc>
          <w:tcPr>
            <w:tcW w:w="1715" w:type="dxa"/>
            <w:tcBorders/>
            <w:tcMar>
              <w:bottom w:w="0" w:type="dxa"/>
            </w:tcMar>
            <w:vAlign w:val="center"/>
          </w:tcPr>
          <w:p>
            <w:pPr>
              <w:pStyle w:val="TableContents"/>
              <w:bidi w:val="0"/>
              <w:spacing w:before="0" w:after="283"/>
              <w:jc w:val="left"/>
              <w:rPr>
                <w:sz w:val="20"/>
              </w:rPr>
            </w:pPr>
            <w:r>
              <w:rPr>
                <w:sz w:val="20"/>
              </w:rPr>
              <w:t>Scott Dols</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12" w:space="0" w:color="000000"/>
            </w:tcBorders>
            <w:vAlign w:val="center"/>
          </w:tcPr>
          <w:p>
            <w:pPr>
              <w:pStyle w:val="TableContents"/>
              <w:bidi w:val="0"/>
              <w:spacing w:before="0" w:after="283"/>
              <w:jc w:val="left"/>
              <w:rPr>
                <w:sz w:val="20"/>
              </w:rPr>
            </w:pPr>
            <w:r>
              <w:rPr>
                <w:sz w:val="20"/>
              </w:rPr>
              <w:t>/s/ Kevin M. Fogarty</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August 1, 2023</w:t>
            </w:r>
          </w:p>
        </w:tc>
      </w:tr>
      <w:tr>
        <w:trPr/>
        <w:tc>
          <w:tcPr>
            <w:tcW w:w="1715" w:type="dxa"/>
            <w:tcBorders/>
            <w:tcMar>
              <w:bottom w:w="0" w:type="dxa"/>
            </w:tcMar>
            <w:vAlign w:val="center"/>
          </w:tcPr>
          <w:p>
            <w:pPr>
              <w:pStyle w:val="TableContents"/>
              <w:bidi w:val="0"/>
              <w:spacing w:before="0" w:after="283"/>
              <w:jc w:val="left"/>
              <w:rPr>
                <w:sz w:val="20"/>
              </w:rPr>
            </w:pPr>
            <w:r>
              <w:rPr>
                <w:sz w:val="20"/>
              </w:rPr>
              <w:t>Kevin M. Fogarty</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12" w:space="0" w:color="000000"/>
            </w:tcBorders>
            <w:vAlign w:val="center"/>
          </w:tcPr>
          <w:p>
            <w:pPr>
              <w:pStyle w:val="TableContents"/>
              <w:bidi w:val="0"/>
              <w:spacing w:before="0" w:after="283"/>
              <w:jc w:val="left"/>
              <w:rPr>
                <w:sz w:val="20"/>
              </w:rPr>
            </w:pPr>
            <w:r>
              <w:rPr>
                <w:sz w:val="20"/>
              </w:rPr>
              <w:t>/s/ James Martell</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August 1, 2023</w:t>
            </w:r>
          </w:p>
        </w:tc>
      </w:tr>
      <w:tr>
        <w:trPr/>
        <w:tc>
          <w:tcPr>
            <w:tcW w:w="1715" w:type="dxa"/>
            <w:tcBorders/>
            <w:tcMar>
              <w:bottom w:w="0" w:type="dxa"/>
            </w:tcMar>
            <w:vAlign w:val="center"/>
          </w:tcPr>
          <w:p>
            <w:pPr>
              <w:pStyle w:val="TableContents"/>
              <w:bidi w:val="0"/>
              <w:spacing w:before="0" w:after="283"/>
              <w:jc w:val="left"/>
              <w:rPr>
                <w:sz w:val="20"/>
              </w:rPr>
            </w:pPr>
            <w:r>
              <w:rPr>
                <w:sz w:val="20"/>
              </w:rPr>
              <w:t>James Martell</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12" w:space="0" w:color="000000"/>
            </w:tcBorders>
            <w:vAlign w:val="center"/>
          </w:tcPr>
          <w:p>
            <w:pPr>
              <w:pStyle w:val="TableContents"/>
              <w:bidi w:val="0"/>
              <w:spacing w:before="0" w:after="283"/>
              <w:jc w:val="left"/>
              <w:rPr>
                <w:sz w:val="20"/>
              </w:rPr>
            </w:pPr>
            <w:r>
              <w:rPr>
                <w:sz w:val="20"/>
              </w:rPr>
              <w:t>/s/ Nadeem Nisar</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August 1, 2023</w:t>
            </w:r>
          </w:p>
        </w:tc>
      </w:tr>
      <w:tr>
        <w:trPr/>
        <w:tc>
          <w:tcPr>
            <w:tcW w:w="1715" w:type="dxa"/>
            <w:tcBorders/>
            <w:tcMar>
              <w:bottom w:w="0" w:type="dxa"/>
            </w:tcMar>
            <w:vAlign w:val="center"/>
          </w:tcPr>
          <w:p>
            <w:pPr>
              <w:pStyle w:val="TableContents"/>
              <w:bidi w:val="0"/>
              <w:spacing w:before="0" w:after="283"/>
              <w:jc w:val="left"/>
              <w:rPr>
                <w:sz w:val="20"/>
              </w:rPr>
            </w:pPr>
            <w:r>
              <w:rPr>
                <w:sz w:val="20"/>
              </w:rPr>
              <w:t>Nadeem Nisar</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12" w:space="0" w:color="000000"/>
            </w:tcBorders>
            <w:vAlign w:val="center"/>
          </w:tcPr>
          <w:p>
            <w:pPr>
              <w:pStyle w:val="TableContents"/>
              <w:bidi w:val="0"/>
              <w:spacing w:before="0" w:after="283"/>
              <w:jc w:val="left"/>
              <w:rPr>
                <w:sz w:val="20"/>
              </w:rPr>
            </w:pPr>
            <w:r>
              <w:rPr>
                <w:sz w:val="20"/>
              </w:rPr>
              <w:t>/s/ Ashok Vemuri</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August 1, 2023</w:t>
            </w:r>
          </w:p>
        </w:tc>
      </w:tr>
      <w:tr>
        <w:trPr/>
        <w:tc>
          <w:tcPr>
            <w:tcW w:w="1715" w:type="dxa"/>
            <w:tcBorders/>
            <w:tcMar>
              <w:bottom w:w="0" w:type="dxa"/>
            </w:tcMar>
            <w:vAlign w:val="center"/>
          </w:tcPr>
          <w:p>
            <w:pPr>
              <w:pStyle w:val="TableContents"/>
              <w:bidi w:val="0"/>
              <w:spacing w:before="0" w:after="283"/>
              <w:jc w:val="left"/>
              <w:rPr>
                <w:sz w:val="20"/>
              </w:rPr>
            </w:pPr>
            <w:r>
              <w:rPr>
                <w:sz w:val="20"/>
              </w:rPr>
              <w:t>Ashok Vemuri</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II-5</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182665ex5-1_opalfuels.htm"/>
      <w:bookmarkStart w:id="21" w:name="ksea182665ex51_opalfuels"/>
      <w:bookmarkEnd w:id="20"/>
      <w:bookmarkEnd w:id="21"/>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6995" w:type="dxa"/>
        <w:jc w:val="left"/>
        <w:tblInd w:w="0" w:type="dxa"/>
        <w:tblLayout w:type="fixed"/>
        <w:tblCellMar>
          <w:top w:w="0" w:type="dxa"/>
          <w:left w:w="0" w:type="dxa"/>
          <w:bottom w:w="0" w:type="dxa"/>
          <w:right w:w="0" w:type="dxa"/>
        </w:tblCellMar>
      </w:tblPr>
      <w:tblGrid>
        <w:gridCol w:w="3465"/>
        <w:gridCol w:w="3530"/>
      </w:tblGrid>
      <w:tr>
        <w:trPr/>
        <w:tc>
          <w:tcPr>
            <w:tcW w:w="3465" w:type="dxa"/>
            <w:tcBorders/>
            <w:vAlign w:val="center"/>
          </w:tcPr>
          <w:p>
            <w:pPr>
              <w:pStyle w:val="TableContents"/>
              <w:bidi w:val="0"/>
              <w:spacing w:before="0" w:after="283"/>
              <w:jc w:val="left"/>
              <w:rPr/>
            </w:pPr>
            <w:r>
              <w:rPr/>
              <w:drawing>
                <wp:inline distT="0" distB="0" distL="0" distR="0">
                  <wp:extent cx="2190750"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2190750" cy="276225"/>
                          </a:xfrm>
                          <a:prstGeom prst="rect">
                            <a:avLst/>
                          </a:prstGeom>
                        </pic:spPr>
                      </pic:pic>
                    </a:graphicData>
                  </a:graphic>
                </wp:inline>
              </w:drawing>
            </w:r>
          </w:p>
        </w:tc>
        <w:tc>
          <w:tcPr>
            <w:tcW w:w="35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Sheppard, Mullin, Richter &amp; Hampton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Rockefeller Plaza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10112-0015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212.653.8700 main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212.653.8701 fax</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www.sheppardmullin.com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VIA ELECTRONIC MAIL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Fuels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North Lexington Avenue, Suite 1450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Plains, New York 10601</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305"/>
        <w:gridCol w:w="3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30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S-3</w:t>
            </w:r>
          </w:p>
        </w:tc>
      </w:tr>
    </w:tbl>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OPAL Fuels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shelf Registration Statement on Form S-3 (as amended or supplemented,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by the Company on August 1, 2023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Registration Statement relates to the proposed issuance and sale from time to time pursuant to Rule 415 under the Securities Act, as set forth in the Registration Statement, the prospectus contained therein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and one or more supplements to the Base Prospectus (each, a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and any free-writing prospectus(es), of up to $100,000.000 aggregate offering proceeds, of the following securities of the Company (collectively,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170"/>
        <w:gridCol w:w="8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par value $0.0001 per share, of the Company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preferred stock, par value $0.0001 par value, of the Company, in one or more series or classes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in one or more series (the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which may be issued pursuant to an indenture to be dated on or about the date of the first issuance of Debt Securities thereunder, but which may not be guaranteed by any affiliates of the Company or any other person, by and between a trustee to be selected by the Company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and the Company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Common Stock, Preferred Stock or Debt Securities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which may be issued under warrant agreements (each, a “</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to be dated on or about the date of the first issuance of the applicable Warrants thereunder, by and between the Company and a warrant agent to be selected by the Company (the “</w:t>
            </w:r>
            <w:r>
              <w:rPr>
                <w:rFonts w:ascii="Times New Roman;Times;Serif" w:hAnsi="Times New Roman;Times;Serif"/>
                <w:b w:val="false"/>
                <w:i w:val="false"/>
                <w:caps w:val="false"/>
                <w:smallCaps w:val="false"/>
                <w:sz w:val="20"/>
                <w:u w:val="single"/>
              </w:rPr>
              <w:t>Warrant Agent</w:t>
            </w:r>
            <w:r>
              <w:rPr>
                <w:rFonts w:ascii="Times New Roman;Times;Serif" w:hAnsi="Times New Roman;Times;Serif"/>
                <w:b w:val="false"/>
                <w:i w:val="false"/>
                <w:caps w:val="false"/>
                <w:smallCaps w:val="false"/>
                <w:sz w:val="20"/>
              </w:rPr>
              <w:t>”); and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consisting of Common Stock, Preferred Stock, Debt Securities, or Warrants (the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which may be issued under unit agreements (each, a “</w:t>
            </w:r>
            <w:r>
              <w:rPr>
                <w:rFonts w:ascii="Times New Roman;Times;Serif" w:hAnsi="Times New Roman;Times;Serif"/>
                <w:b w:val="false"/>
                <w:i w:val="false"/>
                <w:caps w:val="false"/>
                <w:smallCaps w:val="false"/>
                <w:sz w:val="20"/>
                <w:u w:val="single"/>
              </w:rPr>
              <w:t>Unit Agreement</w:t>
            </w:r>
            <w:r>
              <w:rPr>
                <w:rFonts w:ascii="Times New Roman;Times;Serif" w:hAnsi="Times New Roman;Times;Serif"/>
                <w:b w:val="false"/>
                <w:i w:val="false"/>
                <w:caps w:val="false"/>
                <w:smallCaps w:val="false"/>
                <w:sz w:val="20"/>
              </w:rPr>
              <w:t>”), to be dated on or about the date of the first issuance of the applicable Units thereunder, by and between the Company and the other parties thereto (the “</w:t>
            </w:r>
            <w:r>
              <w:rPr>
                <w:rFonts w:ascii="Times New Roman;Times;Serif" w:hAnsi="Times New Roman;Times;Serif"/>
                <w:b w:val="false"/>
                <w:i w:val="false"/>
                <w:caps w:val="false"/>
                <w:smallCaps w:val="false"/>
                <w:sz w:val="20"/>
                <w:u w:val="single"/>
              </w:rPr>
              <w:t>Unit Parties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opinion pursuant to the requirements of Item 601(b)(5)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certificates of officers of the Company and have not independently sought to verify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190750"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7"/>
                    <a:stretch>
                      <a:fillRect/>
                    </a:stretch>
                  </pic:blipFill>
                  <pic:spPr bwMode="auto">
                    <a:xfrm>
                      <a:off x="0" y="0"/>
                      <a:ext cx="2190750" cy="2762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assumed (i) the genuineness and authenticity of all signatures on original documents; (ii) the authenticity of all documents submitted to us as originals; (iii) the conformity to originals of all documents submitted to us as copies; (iv) the accuracy, completeness and authenticity of certificates of public officials; (v) the due authorization, execution and delivery of all documents where authorization, execution and delivery are prerequisites to the effectiveness of such documents; (vi) that the Registration Statement and any required post-effective amendment thereto have all become effective under the Securities Act and the Base Prospectus any and all Prospectus Supplement(s) required by applicable laws and any and all free-writing prospectus(es) related to the offer and sale of the Securities have been delivered and filed as required by such laws; (vii) that the issuance and sale of the Securities do not violate any applicable law, are in conformity with the Company’s then operative Certificate of Incorporation (as defined below) and Bylaws, do not result in a default under or breach of any agreement or instrument binding upon the Company and comply with any applicable requirement or restriction imposed by any court or governmental body having jurisdiction over the Company or its properties or assets; (viii) a prospectus supplement will have been prepared and filed with the Commission describing the Securities offered thereby; (ix) a definitive purchase, underwriting or similar agreement with respect to any Securities offered will have been duly authorized and validly executed and delivered by the Company and the other parties thereto, as applicable; and (x) if the holders of the Debt Securities are granted rights to inspect corporate books and records and to vote in the election of directors or any matters on which stockholders of the Company may vote, such rights will be set forth in the Certificate of Incorporation or the Certificate of Incorporation grants to the Company’s Board of Directors the power to confer such voting or inspection rights and the Company’s Board of Directors will have conferred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opinion as to the Common Stock or other Securities convertible into, exercisable for, or including Common Stock, we have been advised by the Company and for purposes of this opinion we have assumed that, at the time of issuance and sale, a sufficient number of shares of Common Stock are authorized and available for issuance and that the consideration for the issuance and sale of the Common Stock (or for Preferred Stock or Debt Securities convertible into Common Stock, or for Warrants exercisable for Common Stock, or Units consisting of or including Common Stock) is in an amount that is not less than the par value of the Common Stock. With respect to our opinion as to the Preferred Stock or other Securities convertible into, exercisable for, or including Preferred Stock, we have assumed that, (a) at the time of issuance and sale, a sufficient number of shares of Preferred Stock are authorized, designated and available for issuance and that the consideration for the issuance and sale of the Preferred Stock (or for Debt Securities convertible into Preferred Stock, or for Warrants exercisable for Preferred Stock or for Units consisting of or including Preferred Stock) is in an amount that is not less than the par value of the Preferred Stock, and (b) the rights, preferences, privileges and restrictions, including voting rights, dividend rights, conversion rights, redemption privileges and liquidation privileges of each series of Preferred Stock will be set forth in a certificate of designation to be approved by the Company’s Board of Directors, or in an amendment to the Company’s then operative certificate of incorporation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to be approved by the Company’s Board of Directors and stockholders, and that one or both of these documents will be filed either as an exhibit to an amendment to the Registration Statement to be filed after the date of this opinion or as an exhibit to a Current Report on Form 8-K to be filed after the Registration Statement has become effective. We have also assumed with respect to the Debt Securities offered under the Registration Statement and the related Indenture, that such securities will be executed in the form filed as an exhibit to the Registration Statement and that the Trustee under the Indenture shall have been qualified pursuant to the Trust Indenture Act of 1939, as amended, at the time the Debt Securities are offered or issued (or such later time as may be permitted pursuant to the rules, regulations, interpretations or positions of the Commission). We have also assumed that (i) with respect to Securities being issued upon conversion of any convertible Preferred Stock, the applicable convertible Preferred Stock will be duly authorized, validly issued, fully paid and nonassessable; and (ii) with respect to any Securities being issued upon conversion of any convertible Debt Securities or upon exercise of any Warrants or relating to any Units, the applicable convertible Debt Securities or Warrants or Units will be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 We have also assumed with respect to the Warrants offered under the Registration Statement, that (a) such Warrants will be issued pursuant to a Warrant Agreement, (b) the Warrant Agreement will be filed either as an exhibit to an amendment to the Registration Statement to be filed after the date of this opinion or as an exhibit to a Current Report on Form 8-K to be filed after the Registration Statement has become effective, and (c) the particular terms of any series of Warrants will be set forth in a supplement to the prospectus forming a part of the Registration Statement. We have also assumed with respect to the Units offered under the Registration Statement, that (a) such Units will be issued pursuant to a Unit Agreement, (b) the Unit Agreement will be filed either as an exhibit to an amendment to the Registration Statement to be filed after the date of this opinion or as an exhibit to a Current Report on Form 8-K to be filed after the Registration Statement has become effective, and (c) the particular terms of any series of Units will be set forth in a supplement to the prospectus forming a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190750"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8"/>
                    <a:stretch>
                      <a:fillRect/>
                    </a:stretch>
                  </pic:blipFill>
                  <pic:spPr bwMode="auto">
                    <a:xfrm>
                      <a:off x="0" y="0"/>
                      <a:ext cx="2190750" cy="2762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our opinion herein is expressed solely with respect to the federal laws of the United States, the Delaware General Corporation Law and, as to the Debt Securities constituting valid and legally binding obligations of the Company, solely with respect to the laws of the State of New York. We express no opinion as to any provision of the Debt Securities that: (a) relates to the subject matter jurisdiction of any federal court of the United States of America or any federal appellate court to adjudicate any controversy related to the Debt Securities or (b) contains a waiver of an inconvenient forum. We express no opinion as to whether the laws of any jurisdiction are applicable to the subject matter hereof. We are not rendering any opinion as to compliance with any federal or state law, rule or regulation relating to securities, or to the sale or issuance thereof. We express no opinions concerning (i) the validity or enforceability of any provisions contained in Indentures that purport to waive or not give effect to rights to notices, defenses, subrogation or other rights or benefits that cannot be effectively waived under applicable law; or (ii) the validity or enforceability of any provisions contained in Warrant Agreements or Unit Agreements that purport to waive or not give effect to rights to notices, defenses, subrogation or other rights or benefits that cannot be effectively waived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and subject to the qualifications herein stated,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the Common Stock offered under the Registration Statement,</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rPr>
        <w:t>provided that (i) the issuance of the Common Stock has been duly authorized by all necessary corporate action on the part of the Company; and (ii) the certificates for the Common Stock have been duly executed by the Company, countersigned by the transfer agent therefor and duly delivered to the purchasers thereof against the requisite payment therefor, which the Company has received, the Common Stock, when issued and sold as contemplated in the Registration Statement, the Base Prospectus and the related Prospectus Supplement(s) and any related free-writing prospectus(es) and in accordance with any applicable duly authorized, executed and delivered purchase, underwriting or similar agreement, or upon conversion of any convertible Preferred Stock or convertible Debt Securities in accordance with their terms, or upon exercise of any Warrants in accordance with their terms, will be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the Preferred Stock offered under the Registration Statement, provided that (i) the terms and issuance of the Preferred Stock have been duly authorized by all necessary corporate action on the part of the Company; (ii) appropriate certificates of amendment to the then operative Certificate of Incorporation relating to the terms and issuance of Preferred Stock have been duly approved by the Company’s Board of Directors and been filed with and accepted by the State of Delaware; and (iii) the certificates for the Preferred Stock have been duly executed by the Company, countersigned by the transfer agent therefor and duly delivered to the purchasers thereof against the requisite payment therefor, which the Company has received, then the Preferred Stock, when issued and sold as contemplated in the Registration Statement, the Base Prospectus and the related Prospectus Supplement(s) and any related free-writing prospectus(es) and in accordance with any applicable duly authorized, executed and delivered purchase, underwriting or similar agreement, or upon conversion of any convertible Debt Securities in accordance with their terms, or upon exercise of any Warrants in accordance with their terms, will be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any series of the Debt Securities issued under the Indenture and offered under the Registration Statement, provided that (i) the Indenture has been duly authorized by the Company and the Trustee by all necessary corporate action; (ii) the Indenture in substantially the form filed as an exhibit to the Registration Statement, has been duly executed and delivered by the Company and the Trustee; (iii) the terms of the Debt Securities and of their issuance and sale have been duly authorized by the Company by all necessary corporate action; (iv) the terms of the Debt Securities and of their issuance and sale have been duly established in conformity with the Indenture; and (v) the Debt Securities have been duly executed and delivered by the Company and authenticated by the Trustee pursuant to the Indenture and delivered against the requisite payment therefor, which the Company has received, then the Debt Securities, when issued and sold in accordance with the Indenture and as contemplated by the Registration Statement, the Prospectus and the related Prospectus Supplement(s), and a duly authorized, executed and delivered purchase, underwriting or similar agreement, will be valid and legally binding obligations of the Company, enforceable against the Company in accordance with their terms, or upon exercise of any Warrants in accordance with their terms, except as enforcement thereof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90750" cy="276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9"/>
                    <a:stretch>
                      <a:fillRect/>
                    </a:stretch>
                  </pic:blipFill>
                  <pic:spPr bwMode="auto">
                    <a:xfrm>
                      <a:off x="0" y="0"/>
                      <a:ext cx="2190750" cy="276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the Warrants issued under a Warrant Agreement and offered under the Registration Statement, provided that (i) the Warrant Agreement has been duly authorized by the Company and the Warrant Agent by all necessary corporate action; (ii) the Warrant Agreement has been duly executed and delivered by the Company and the Warrant Agent as described in the Registration Statement, the Prospectus and the related Prospectus Supplement(s); (iii) the issuance and terms of the Warrants have been duly authorized by the Company by all necessary corporate action; and (iv) the Warrants have been duly executed and delivered by the Company and authenticated by the Warrant Agent pursuant to the Warrant Agreement and delivered against the requisite payment therefor, which the Company has received, and assuming that the Warrants are then issued and sold as contemplated in the Registration Statement, the Prospectus and the Prospectus Supplement(s), then the Warrants, when issued and sold in accordance with the Warrant Agreement and a duly authorized, executed and delivered purchase, underwriting or similar agreement, will be valid and legally binding obligations of the Company, enforceable against the Company in accordance with their terms, except as enforcement thereof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With respect to the Units issued under a Unit Agreement and offered under the Registration Statement, provided that (i) the Unit Agreement has been duly authorized by the Company and the Unit Parties by all necessary corporate action; (ii) the Unit Agreement has been duly executed and delivered by the Company and the Unit Parties as described in the Registration Statement, the Prospectus and the related Prospectus Supplement(s); (iii) the issuance and terms of the Units have been duly authorized by the Company by all necessary corporate action; and (iv) the Units have been duly executed and delivered by the Company and authenticated by the Unit Parties pursuant to the Unit Agreement and delivered against the requisite payment therefor, which the Company has received, and assuming that the Units are then issued and sold as contemplated in the Registration Statement, the Prospectus and the Prospectus Supplement(s), then the Units, when issued and sold in accordance with the Unit Agreement and a duly authorized, executed and delivered purchase, underwriting or similar agreement, will constitute valid and legally binding obligations of the Company, enforceable against the Company in accordance with their terms, except as enforcement thereof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are qualified to the extent that the enforceability of any document, instrument or the Securities may be limited by or subject to bankruptcy, insolvency, fraudulent transfer or conveyance, reorganization, moratorium or other similar laws relating to or affecting creditors’ rights generally, and general equitable or public policy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above-referenced Registration Statement and to the use of our name wherever it appears in the Registration Statement, the Base Prospectus, and any Prospectus Supplement. In giving such consent, we do not believe that we are “experts” within the meaning of such term as used in the Securities Act or the rules and regulations of the Commission issued thereunder with respect to any part of the Registration Statement, including this opinion as an exhibit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SHEPPARD, MULLIN, RICHTER &amp; HAMPTON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SHEPPARD, MULLIN, RICHTER &amp; HAMPTON LLP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right"/>
        <w:rPr>
          <w:rFonts w:ascii="Times New Roman;Times;Serif" w:hAnsi="Times New Roman;Times;Serif"/>
          <w:b/>
          <w:i w:val="false"/>
          <w:caps w:val="false"/>
          <w:smallCaps w:val="false"/>
          <w:sz w:val="20"/>
        </w:rPr>
      </w:pPr>
      <w:bookmarkStart w:id="22" w:name="ea182665ex23-1_opalfuels.htm"/>
      <w:bookmarkStart w:id="23" w:name="ksea182665ex231_opalfuels"/>
      <w:bookmarkEnd w:id="22"/>
      <w:bookmarkEnd w:id="23"/>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Fuels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Plains,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of our report dated March 28, 2023, relating to the consolidated financial statements of OPAL Fuels Inc., appearing in the Company’s Annual Report on Form 10-K of OPAL Fuels Inc.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Connecticut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182665ex-fee_opalfuels.htm"/>
      <w:bookmarkStart w:id="25" w:name="ksea182665exfee_opalfuels"/>
      <w:bookmarkEnd w:id="24"/>
      <w:bookmarkEnd w:id="25"/>
      <w:r>
        <w:rPr>
          <w:rFonts w:ascii="Times New Roman;Times;Serif" w:hAnsi="Times New Roman;Times;Serif"/>
          <w:b/>
          <w:i w:val="false"/>
          <w:caps w:val="false"/>
          <w:smallCaps w:val="false"/>
          <w:sz w:val="20"/>
        </w:rPr>
        <w:t>Exhibit 107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Filing Fee Tables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OPAL FUELS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spacing w:before="0" w:after="0"/>
        <w:ind w:left="0" w:right="0" w:hanging="0"/>
        <w:jc w:val="center"/>
        <w:rPr>
          <w:caps w:val="false"/>
          <w:smallCaps w:val="false"/>
        </w:rPr>
      </w:pPr>
      <w:r>
        <w:rPr>
          <w:caps w:val="false"/>
          <w:smallCaps w:val="false"/>
        </w:rPr>
        <w:t> </w:t>
      </w:r>
    </w:p>
    <w:tbl>
      <w:tblPr>
        <w:tblW w:w="11565" w:type="dxa"/>
        <w:jc w:val="left"/>
        <w:tblInd w:w="0" w:type="dxa"/>
        <w:tblLayout w:type="fixed"/>
        <w:tblCellMar>
          <w:top w:w="0" w:type="dxa"/>
          <w:left w:w="0" w:type="dxa"/>
          <w:bottom w:w="0" w:type="dxa"/>
          <w:right w:w="0" w:type="dxa"/>
        </w:tblCellMar>
      </w:tblPr>
      <w:tblGrid>
        <w:gridCol w:w="1100"/>
        <w:gridCol w:w="60"/>
        <w:gridCol w:w="1160"/>
        <w:gridCol w:w="60"/>
        <w:gridCol w:w="935"/>
        <w:gridCol w:w="60"/>
        <w:gridCol w:w="138"/>
        <w:gridCol w:w="1052"/>
        <w:gridCol w:w="60"/>
        <w:gridCol w:w="60"/>
        <w:gridCol w:w="206"/>
        <w:gridCol w:w="894"/>
        <w:gridCol w:w="215"/>
        <w:gridCol w:w="60"/>
        <w:gridCol w:w="200"/>
        <w:gridCol w:w="870"/>
        <w:gridCol w:w="215"/>
        <w:gridCol w:w="60"/>
        <w:gridCol w:w="140"/>
        <w:gridCol w:w="1220"/>
        <w:gridCol w:w="60"/>
        <w:gridCol w:w="60"/>
        <w:gridCol w:w="60"/>
        <w:gridCol w:w="1160"/>
        <w:gridCol w:w="60"/>
        <w:gridCol w:w="60"/>
        <w:gridCol w:w="215"/>
        <w:gridCol w:w="1050"/>
        <w:gridCol w:w="75"/>
      </w:tblGrid>
      <w:tr>
        <w:trPr/>
        <w:tc>
          <w:tcPr>
            <w:tcW w:w="110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bottom w:val="single" w:sz="12" w:space="0" w:color="000000"/>
            </w:tcBorders>
            <w:tcMar>
              <w:bottom w:w="28" w:type="dxa"/>
            </w:tcMar>
            <w:vAlign w:val="center"/>
          </w:tcPr>
          <w:p>
            <w:pPr>
              <w:pStyle w:val="TableContents"/>
              <w:bidi w:val="0"/>
              <w:spacing w:before="0" w:after="283"/>
              <w:jc w:val="center"/>
              <w:rPr>
                <w:b/>
              </w:rPr>
            </w:pPr>
            <w:r>
              <w:rPr>
                <w:b/>
              </w:rPr>
              <w:t>Security</w:t>
              <w:br/>
              <w:t>Type</w:t>
            </w:r>
          </w:p>
        </w:tc>
        <w:tc>
          <w:tcPr>
            <w:tcW w:w="60" w:type="dxa"/>
            <w:tcBorders/>
            <w:vAlign w:val="center"/>
          </w:tcPr>
          <w:p>
            <w:pPr>
              <w:pStyle w:val="TableContents"/>
              <w:bidi w:val="0"/>
              <w:spacing w:before="0" w:after="283"/>
              <w:jc w:val="center"/>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b/>
              </w:rPr>
            </w:pPr>
            <w:r>
              <w:rPr>
                <w:b/>
              </w:rPr>
              <w:t>Security</w:t>
              <w:br/>
              <w:t>Class</w:t>
              <w:br/>
              <w:t>Title</w:t>
            </w:r>
          </w:p>
        </w:tc>
        <w:tc>
          <w:tcPr>
            <w:tcW w:w="60" w:type="dxa"/>
            <w:tcBorders/>
            <w:vAlign w:val="center"/>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Fee</w:t>
              <w:br/>
              <w:t>Calculation</w:t>
              <w:br/>
              <w:t>Rule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br/>
              <w:t>Registered (1)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Proposed</w:t>
              <w:br/>
              <w:t>Maximum</w:t>
              <w:br/>
              <w:t>Offering</w:t>
              <w:br/>
              <w:t>Price Per</w:t>
              <w:br/>
              <w:t>Share(1)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Maximum</w:t>
              <w:br/>
              <w:t>Aggregate</w:t>
              <w:br/>
              <w:t>Offering</w:t>
              <w:br/>
              <w:t>Price(2)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Fee</w:t>
              <w:br/>
              <w:t>Rate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of</w:t>
              <w:br/>
              <w:t>Registration</w:t>
              <w:br/>
              <w:t>Fee(3)</w:t>
            </w:r>
          </w:p>
        </w:tc>
        <w:tc>
          <w:tcPr>
            <w:tcW w:w="75" w:type="dxa"/>
            <w:tcBorders/>
            <w:vAlign w:val="center"/>
          </w:tcPr>
          <w:p>
            <w:pPr>
              <w:pStyle w:val="TableContents"/>
              <w:bidi w:val="0"/>
              <w:spacing w:before="0" w:after="283"/>
              <w:ind w:left="0" w:right="0" w:hanging="180"/>
              <w:jc w:val="center"/>
              <w:rPr/>
            </w:pPr>
            <w:r>
              <w:rPr/>
              <w:t> </w:t>
            </w:r>
          </w:p>
        </w:tc>
      </w:tr>
      <w:tr>
        <w:trPr/>
        <w:tc>
          <w:tcPr>
            <w:tcW w:w="1100" w:type="dxa"/>
            <w:tcBorders/>
            <w:shd w:fill="CCEEFF" w:val="clear"/>
            <w:vAlign w:val="center"/>
          </w:tcPr>
          <w:p>
            <w:pPr>
              <w:pStyle w:val="TableContents"/>
              <w:bidi w:val="0"/>
              <w:spacing w:before="0" w:after="283"/>
              <w:jc w:val="left"/>
              <w:rPr>
                <w:b/>
              </w:rPr>
            </w:pPr>
            <w:r>
              <w:rPr>
                <w:b/>
              </w:rPr>
              <w:t>Fees to Be Paid</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Equity Other Debt Other Unallocated (Universal Shelf)</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Class A Common Stock, par value $0.0001 per share, Preferred Stock, par value $0.0001 per share, Debt Securities Warrants Units (4)</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center"/>
              <w:rPr/>
            </w:pPr>
            <w:r>
              <w:rPr/>
              <w:t>457(o)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0.00011020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11,020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b/>
              </w:rPr>
            </w:pPr>
            <w:r>
              <w:rPr>
                <w:b/>
              </w:rPr>
              <w:t>Fees Previously Paid</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25" w:type="dxa"/>
            <w:gridSpan w:val="10"/>
            <w:tcBorders/>
            <w:shd w:fill="CCEEFF" w:val="clear"/>
            <w:vAlign w:val="center"/>
          </w:tcPr>
          <w:p>
            <w:pPr>
              <w:pStyle w:val="TableContents"/>
              <w:bidi w:val="0"/>
              <w:spacing w:before="0" w:after="283"/>
              <w:jc w:val="center"/>
              <w:rPr>
                <w:b/>
              </w:rPr>
            </w:pPr>
            <w:r>
              <w:rPr>
                <w:b/>
              </w:rPr>
              <w:t>Total Offering Amounts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11,020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25" w:type="dxa"/>
            <w:gridSpan w:val="10"/>
            <w:tcBorders/>
            <w:shd w:fill="FFFFFF" w:val="clear"/>
            <w:vAlign w:val="center"/>
          </w:tcPr>
          <w:p>
            <w:pPr>
              <w:pStyle w:val="TableContents"/>
              <w:bidi w:val="0"/>
              <w:spacing w:before="0" w:after="283"/>
              <w:jc w:val="center"/>
              <w:rPr>
                <w:b/>
              </w:rPr>
            </w:pPr>
            <w:r>
              <w:rPr>
                <w:b/>
              </w:rPr>
              <w:t>Total Fees Previously Paid</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25" w:type="dxa"/>
            <w:gridSpan w:val="10"/>
            <w:tcBorders/>
            <w:shd w:fill="CCEEFF" w:val="clear"/>
            <w:vAlign w:val="center"/>
          </w:tcPr>
          <w:p>
            <w:pPr>
              <w:pStyle w:val="TableContents"/>
              <w:bidi w:val="0"/>
              <w:spacing w:before="0" w:after="283"/>
              <w:jc w:val="center"/>
              <w:rPr>
                <w:b/>
              </w:rPr>
            </w:pPr>
            <w:r>
              <w:rPr>
                <w:b/>
              </w:rPr>
              <w:t>Total Fee Offsets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25" w:type="dxa"/>
            <w:gridSpan w:val="10"/>
            <w:tcBorders/>
            <w:shd w:fill="FFFFFF" w:val="clear"/>
            <w:vAlign w:val="center"/>
          </w:tcPr>
          <w:p>
            <w:pPr>
              <w:pStyle w:val="TableContents"/>
              <w:bidi w:val="0"/>
              <w:spacing w:before="0" w:after="283"/>
              <w:jc w:val="center"/>
              <w:rPr>
                <w:b/>
              </w:rPr>
            </w:pPr>
            <w:r>
              <w:rPr>
                <w:b/>
              </w:rPr>
              <w:t>Net Fee Due</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0" w:type="dxa"/>
            <w:tcBorders>
              <w:bottom w:val="double" w:sz="10" w:space="0" w:color="000000"/>
            </w:tcBorders>
            <w:shd w:fill="FFFFFF" w:val="clear"/>
            <w:tcMar>
              <w:bottom w:w="28" w:type="dxa"/>
            </w:tcMar>
            <w:vAlign w:val="center"/>
          </w:tcPr>
          <w:p>
            <w:pPr>
              <w:pStyle w:val="TableContents"/>
              <w:bidi w:val="0"/>
              <w:spacing w:before="0" w:after="283"/>
              <w:jc w:val="right"/>
              <w:rPr/>
            </w:pPr>
            <w:r>
              <w:rPr/>
              <w:t>11,020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sz w:val="20"/>
              </w:rPr>
            </w:pPr>
            <w:r>
              <w:rPr>
                <w:sz w:val="20"/>
              </w:rPr>
              <w:t>(1)</w:t>
            </w:r>
          </w:p>
        </w:tc>
        <w:tc>
          <w:tcPr>
            <w:tcW w:w="10001" w:type="dxa"/>
            <w:tcBorders/>
            <w:vAlign w:val="center"/>
          </w:tcPr>
          <w:p>
            <w:pPr>
              <w:pStyle w:val="TableContents"/>
              <w:bidi w:val="0"/>
              <w:spacing w:before="0" w:after="283"/>
              <w:jc w:val="both"/>
              <w:rPr>
                <w:sz w:val="20"/>
              </w:rPr>
            </w:pPr>
            <w:r>
              <w:rPr>
                <w:sz w:val="20"/>
              </w:rPr>
              <w:t>An indeterminate number of securities or aggregate principal amount, as the case may be, of Class A common stock and preferred stock, such indeterminate principal amount of debt securities, such indeterminate number of warrants to purchase Class A common stock, preferred stock or debt securities, and such indeterminate number of units, as shall have an aggregate initial offering price not to exceed $100,000,000. If any debt securities are issued at an original issue discount, then the offering price of such debt securities shall be in such greater principal amount as shall result in an aggregate offering price not to exceed $100,000,000 less the aggregate offering price of any securities previously issued hereunder. Any securities issued hereunder may be sold separately or as units with other securities issued hereunder. The proposed maximum initial offering price per unit will be determined, from time to time, by the registrant in connection with the issuance by the registrant of the securities registered hereunder. The securities registered also include such indeterminate amounts and numbers of debt securities, Class A common stock and preferred stock as may be issuable upon conversion, redemption, exchange, exercise or settlement of any securities registered hereunder, including under any applicable antidilution provisions. Pursuant to Rule 416(a) under the Securities Act of 1933, as amended (the “Securities Act”), this registration statement shall be deemed to cover any additional number of securities as may be offered or issued from time to time upon stock splits, stock dividends, recapitalizations or similar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sz w:val="20"/>
              </w:rPr>
            </w:pPr>
            <w:r>
              <w:rPr>
                <w:sz w:val="20"/>
              </w:rPr>
              <w:t>(2)</w:t>
            </w:r>
          </w:p>
        </w:tc>
        <w:tc>
          <w:tcPr>
            <w:tcW w:w="9989" w:type="dxa"/>
            <w:tcBorders/>
            <w:vAlign w:val="center"/>
          </w:tcPr>
          <w:p>
            <w:pPr>
              <w:pStyle w:val="TableContents"/>
              <w:bidi w:val="0"/>
              <w:spacing w:before="0" w:after="283"/>
              <w:jc w:val="both"/>
              <w:rPr>
                <w:sz w:val="20"/>
              </w:rPr>
            </w:pPr>
            <w:r>
              <w:rPr>
                <w:sz w:val="20"/>
              </w:rPr>
              <w:t xml:space="preserve">The proposed maximum offering price per security and proposed maximum aggregate offering price will be determined from time to time by the registrant in connection with the sale and issuance by the registrant of the securities registered hereunder and is not specified as to each class of security pursuant to </w:t>
            </w:r>
            <w:r>
              <w:rPr>
                <w:sz w:val="20"/>
                <w:shd w:fill="FFFFFF" w:val="clear"/>
              </w:rPr>
              <w:t>the Instructions to the Calculation of Filing Fee Tables and Related Disclosure of Form S-3 under the Securities Act</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260"/>
        <w:gridCol w:w="9425"/>
      </w:tblGrid>
      <w:tr>
        <w:trPr/>
        <w:tc>
          <w:tcPr>
            <w:tcW w:w="260" w:type="dxa"/>
            <w:tcBorders/>
            <w:vAlign w:val="center"/>
          </w:tcPr>
          <w:p>
            <w:pPr>
              <w:pStyle w:val="TableContents"/>
              <w:bidi w:val="0"/>
              <w:spacing w:before="0" w:after="283"/>
              <w:jc w:val="left"/>
              <w:rPr>
                <w:sz w:val="20"/>
              </w:rPr>
            </w:pPr>
            <w:r>
              <w:rPr>
                <w:sz w:val="20"/>
              </w:rPr>
              <w:t>(3)</w:t>
            </w:r>
          </w:p>
        </w:tc>
        <w:tc>
          <w:tcPr>
            <w:tcW w:w="9425" w:type="dxa"/>
            <w:tcBorders/>
            <w:vAlign w:val="center"/>
          </w:tcPr>
          <w:p>
            <w:pPr>
              <w:pStyle w:val="TableContents"/>
              <w:bidi w:val="0"/>
              <w:spacing w:before="0" w:after="283"/>
              <w:jc w:val="both"/>
              <w:rPr>
                <w:sz w:val="20"/>
              </w:rPr>
            </w:pPr>
            <w:r>
              <w:rPr>
                <w:sz w:val="20"/>
              </w:rPr>
              <w:t xml:space="preserve">Estimated solely for the purpose of calculating the registration fee pursuant to Rule 457(o) under the Securities Act.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sz w:val="20"/>
              </w:rPr>
            </w:pPr>
            <w:r>
              <w:rPr>
                <w:sz w:val="20"/>
              </w:rPr>
              <w:t>(4)</w:t>
            </w:r>
          </w:p>
        </w:tc>
        <w:tc>
          <w:tcPr>
            <w:tcW w:w="9959" w:type="dxa"/>
            <w:tcBorders/>
            <w:vAlign w:val="center"/>
          </w:tcPr>
          <w:p>
            <w:pPr>
              <w:pStyle w:val="TableContents"/>
              <w:bidi w:val="0"/>
              <w:spacing w:before="0" w:after="283"/>
              <w:jc w:val="both"/>
              <w:rPr>
                <w:sz w:val="20"/>
              </w:rPr>
            </w:pPr>
            <w:r>
              <w:rPr>
                <w:sz w:val="20"/>
              </w:rPr>
              <w:t>Any securities registered under the registration statement may be sold separately or as units with other securities registered under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42279/000184227923000009/wdq-20221231.htm" TargetMode="External"/><Relationship Id="rId4" Type="http://schemas.openxmlformats.org/officeDocument/2006/relationships/hyperlink" Target="http://www.sec.gov/Archives/edgar/data/1842279/000184227923000050/wdq-20230331.htm" TargetMode="External"/><Relationship Id="rId5" Type="http://schemas.openxmlformats.org/officeDocument/2006/relationships/hyperlink" Target="http://www.sec.gov/Archives/edgar/data/1842279/000184227923000003/opal-20230307.htm" TargetMode="External"/><Relationship Id="rId6" Type="http://schemas.openxmlformats.org/officeDocument/2006/relationships/hyperlink" Target="http://www.sec.gov/Archives/edgar/data/1842279/000184227923000006/opal-20230327.htm" TargetMode="External"/><Relationship Id="rId7" Type="http://schemas.openxmlformats.org/officeDocument/2006/relationships/hyperlink" Target="http://www.sec.gov/Archives/edgar/data/1842279/000184227923000011/opal-20230330.htm" TargetMode="External"/><Relationship Id="rId8" Type="http://schemas.openxmlformats.org/officeDocument/2006/relationships/hyperlink" Target="http://www.sec.gov/Archives/edgar/data/1842279/000184227923000013/opal-20230413.htm" TargetMode="External"/><Relationship Id="rId9" Type="http://schemas.openxmlformats.org/officeDocument/2006/relationships/hyperlink" Target="http://www.sec.gov/Archives/edgar/data/1842279/000184227923000016/opal-20230428.htm" TargetMode="External"/><Relationship Id="rId10" Type="http://schemas.openxmlformats.org/officeDocument/2006/relationships/hyperlink" Target="http://www.sec.gov/Archives/edgar/data/1842279/000184227923000027/opal-20230502.htm" TargetMode="External"/><Relationship Id="rId11" Type="http://schemas.openxmlformats.org/officeDocument/2006/relationships/hyperlink" Target="http://www.sec.gov/Archives/edgar/data/1842279/000184227923000037/opal-20230510.htm" TargetMode="External"/><Relationship Id="rId12" Type="http://schemas.openxmlformats.org/officeDocument/2006/relationships/hyperlink" Target="http://www.sec.gov/Archives/edgar/data/1842279/000184227923000043/opal-20230510.htm" TargetMode="External"/><Relationship Id="rId13" Type="http://schemas.openxmlformats.org/officeDocument/2006/relationships/hyperlink" Target="http://www.sec.gov/Archives/edgar/data/1842279/000184227923000054/opal-20230530.htm" TargetMode="External"/><Relationship Id="rId14" Type="http://schemas.openxmlformats.org/officeDocument/2006/relationships/hyperlink" Target="http://www.sec.gov/Archives/edgar/data/1842279/000184227923000057/opal-20230623.htm" TargetMode="External"/><Relationship Id="rId15" Type="http://schemas.openxmlformats.org/officeDocument/2006/relationships/hyperlink" Target="http://www.sec.gov/Archives/edgar/data/1842279/000184227923000060/opal-20230626.htm" TargetMode="External"/><Relationship Id="rId16" Type="http://schemas.openxmlformats.org/officeDocument/2006/relationships/hyperlink" Target="http://www.sec.gov/Archives/edgar/data/1842279/000184227923000031/proxystatementannualmeetin.htm" TargetMode="External"/><Relationship Id="rId17" Type="http://schemas.openxmlformats.org/officeDocument/2006/relationships/image" Target="media/image2.jpeg"/><Relationship Id="rId18" Type="http://schemas.openxmlformats.org/officeDocument/2006/relationships/hyperlink" Target="http://www.sec.gov/Archives/edgar/data/1842279/000119312521347023/d270539dex21.htm" TargetMode="External"/><Relationship Id="rId19" Type="http://schemas.openxmlformats.org/officeDocument/2006/relationships/hyperlink" Target="http://www.sec.gov/Archives/edgar/data/1842279/000121390022046338/ea164030ex3-1_opal.htm" TargetMode="External"/><Relationship Id="rId20" Type="http://schemas.openxmlformats.org/officeDocument/2006/relationships/hyperlink" Target="http://www.sec.gov/Archives/edgar/data/1842279/000121390022042020/ea163248ex3-2_opal.htm" TargetMode="External"/><Relationship Id="rId21" Type="http://schemas.openxmlformats.org/officeDocument/2006/relationships/hyperlink" Target="http://www.sec.gov/Archives/edgar/data/1842279/000119312521073580/d118209dex43.htm" TargetMode="External"/><Relationship Id="rId22" Type="http://schemas.openxmlformats.org/officeDocument/2006/relationships/hyperlink" Target="http://www.sec.gov/Archives/edgar/data/1842279/000119312521096722/d167128dex41.htm" TargetMode="External"/><Relationship Id="rId23" Type="http://schemas.openxmlformats.org/officeDocument/2006/relationships/hyperlink" Target="http://www.sec.gov/Archives/edgar/data/1842279/000184227923000009/opal-shortxtermincentivepl.htm" TargetMode="External"/><Relationship Id="rId24" Type="http://schemas.openxmlformats.org/officeDocument/2006/relationships/hyperlink" Target="http://www.sec.gov/Archives/edgar/data/1842279/000184227923000009/opalfuelsinc-formoptionagr.htm" TargetMode="External"/><Relationship Id="rId25" Type="http://schemas.openxmlformats.org/officeDocument/2006/relationships/hyperlink" Target="http://www.sec.gov/Archives/edgar/data/1842279/000184227923000009/opalfuelsinc-formofperform.htm" TargetMode="External"/><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29175</Words>
  <Characters>151428</Characters>
  <CharactersWithSpaces>181008</CharactersWithSpaces>
  <Paragraphs>2378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