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UNITED STATES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SCHEDULE 14A INFORMATION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Proxy Statement Pursuant to Section 14(a) of the Securities Exchange Act of 1934</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(Amendment No.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Filed by the Registrant </w:t>
      </w:r>
      <w:r>
        <w:rPr>
          <w:color w:val="000000"/>
        </w:rPr>
        <w:t>☒</w:t>
      </w:r>
    </w:p>
    <w:p>
      <w:pPr>
        <w:pStyle w:val="TextBody"/>
        <w:bidi w:val="0"/>
        <w:spacing w:lineRule="auto" w:line="288" w:before="0" w:after="0"/>
        <w:jc w:val="both"/>
        <w:rPr/>
      </w:pPr>
      <w:r>
        <w:rPr>
          <w:rFonts w:ascii="Times New Roman;sans-serif" w:hAnsi="Times New Roman;sans-serif"/>
          <w:b w:val="false"/>
          <w:color w:val="000000"/>
          <w:sz w:val="24"/>
        </w:rPr>
        <w:t xml:space="preserve">Filed by a party other than the Registrant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Check the appropriate box:</w:t>
      </w:r>
    </w:p>
    <w:p>
      <w:pPr>
        <w:pStyle w:val="TextBody"/>
        <w:bidi w:val="0"/>
        <w:spacing w:before="0" w:after="0"/>
        <w:jc w:val="both"/>
        <w:rPr/>
      </w:pPr>
      <w:r>
        <w:rPr/>
      </w:r>
    </w:p>
    <w:tbl>
      <w:tblPr>
        <w:tblW w:w="8156" w:type="dxa"/>
        <w:jc w:val="left"/>
        <w:tblInd w:w="0" w:type="dxa"/>
        <w:tblLayout w:type="fixed"/>
        <w:tblCellMar>
          <w:top w:w="28" w:type="dxa"/>
          <w:left w:w="28" w:type="dxa"/>
          <w:bottom w:w="28" w:type="dxa"/>
          <w:right w:w="28" w:type="dxa"/>
        </w:tblCellMar>
      </w:tblPr>
      <w:tblGrid>
        <w:gridCol w:w="124"/>
        <w:gridCol w:w="109"/>
        <w:gridCol w:w="109"/>
        <w:gridCol w:w="2289"/>
        <w:gridCol w:w="2289"/>
        <w:gridCol w:w="3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Soliciting Material under § 240.14a-12</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OPAL FUELS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(Name of Registrant as Specified In Its Charter)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(Name of Person(s) Filing Proxy Statement, if other than the Registrant)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Payment of Filing Fee (Check all boxes that apply):</w:t>
      </w:r>
    </w:p>
    <w:p>
      <w:pPr>
        <w:pStyle w:val="TextBody"/>
        <w:bidi w:val="0"/>
        <w:spacing w:before="0" w:after="0"/>
        <w:jc w:val="both"/>
        <w:rPr/>
      </w:pPr>
      <w:r>
        <w:rPr/>
      </w:r>
    </w:p>
    <w:tbl>
      <w:tblPr>
        <w:tblW w:w="10122" w:type="dxa"/>
        <w:jc w:val="left"/>
        <w:tblInd w:w="0" w:type="dxa"/>
        <w:tblLayout w:type="fixed"/>
        <w:tblCellMar>
          <w:top w:w="28" w:type="dxa"/>
          <w:left w:w="28" w:type="dxa"/>
          <w:bottom w:w="28" w:type="dxa"/>
          <w:right w:w="28" w:type="dxa"/>
        </w:tblCellMar>
      </w:tblPr>
      <w:tblGrid>
        <w:gridCol w:w="124"/>
        <w:gridCol w:w="109"/>
        <w:gridCol w:w="109"/>
        <w:gridCol w:w="2855"/>
        <w:gridCol w:w="2855"/>
        <w:gridCol w:w="40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Fee computed on table in exhibit required by Item 25(b) per Exchange Act Rules 14a-6(i)(1) and 0-11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OPAL FUELS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One North Lexington Avenue, Suite 1450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White Plains, New York 10601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NOTICE OF ANNUAL MEETING OF STOCKHOLDERS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be held on June 18, 2025</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our Stockholders: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Annual Meeting of Stockholders of OPAL Fuels Inc. (the “Company” “we” or “us”) will be held on June 18, 2025, at 10:00 am Eastern Time. </w:t>
      </w:r>
      <w:r>
        <w:rPr>
          <w:rFonts w:ascii="Times New Roman;sans-serif" w:hAnsi="Times New Roman;sans-serif"/>
          <w:b/>
          <w:color w:val="000000"/>
          <w:sz w:val="20"/>
        </w:rPr>
        <w:t>The Annual Meeting will be completely</w:t>
      </w:r>
      <w:r>
        <w:rPr>
          <w:color w:val="000000"/>
        </w:rPr>
        <w:t> </w:t>
      </w:r>
      <w:r>
        <w:rPr>
          <w:rFonts w:ascii="Times New Roman;sans-serif" w:hAnsi="Times New Roman;sans-serif"/>
          <w:b/>
          <w:i/>
          <w:color w:val="000000"/>
          <w:sz w:val="20"/>
        </w:rPr>
        <w:t>virtual</w:t>
      </w:r>
      <w:r>
        <w:rPr>
          <w:rFonts w:ascii="Times New Roman;sans-serif" w:hAnsi="Times New Roman;sans-serif"/>
          <w:b/>
          <w:color w:val="000000"/>
          <w:sz w:val="20"/>
        </w:rPr>
        <w:t xml:space="preserve">. You may attend the meeting, submit questions, and vote your shares electronically during the meeting via live webcast by visiting </w:t>
      </w:r>
      <w:r>
        <w:rPr>
          <w:rFonts w:ascii="Times New Roman;sans-serif" w:hAnsi="Times New Roman;sans-serif"/>
          <w:b w:val="false"/>
          <w:i/>
          <w:color w:val="000000"/>
          <w:sz w:val="20"/>
        </w:rPr>
        <w:t>https://www.cstproxy.com/opalfuels/2025</w:t>
      </w:r>
      <w:r>
        <w:rPr>
          <w:rFonts w:ascii="Times New Roman;sans-serif" w:hAnsi="Times New Roman;sans-serif"/>
          <w:b w:val="false"/>
          <w:color w:val="000000"/>
          <w:sz w:val="20"/>
        </w:rPr>
        <w:t>. At the meeting you will be asked to consider and to vote on the following proposals: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0"/>
        <w:gridCol w:w="974"/>
        <w:gridCol w:w="974"/>
        <w:gridCol w:w="974"/>
        <w:gridCol w:w="974"/>
        <w:gridCol w:w="974"/>
        <w:gridCol w:w="974"/>
        <w:gridCol w:w="974"/>
        <w:gridCol w:w="13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Elect six (6) directors to serve for a one-year term until the 2026 Annual Meeting of Stockholders or until their successors are duly elected and qualified;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Ratify the appointment of BDO USA, P.C. as the Company’s independent registered public accounting firm for the year ending December 31, 2025; and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 such other business as may properly come before the meeting or any adjournment or postponement of the meeting.</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fixed the close of business on April 23, 2025, as the record date (the “Record Date”) for the determination of stockholders entitled to notice of and to vote at the Annual Meeting and at any adjournment or postponement of the meeting.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distributing our proxy materials to certain stockholders via the Internet under the U.S. Securities and Exchange Commission “Notice and Access” rules. We believe this approach allows us to provide stockholders with a timely and convenient way to receive proxy materials and vote, while lowering the costs of delivery and reducing the environmental impact of our Annual Meeting. We are mailing to our stockholders a Notice of Internet Availability of Proxy Materials (the “Notice of Internet Availability”) beginning on or about April 25, 2025, rather than a paper copy of the Proxy Statement, the proxy card and our annual report on Form 10-K for the fiscal year ended December 31, 2024. The Notice of Internet Availability contains instructions on how to access the proxy materials, vote and obtain, if desired, a paper copy of the proxy materials.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IF YOU PLAN TO ATTEND: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To be admitted to the Annual Meeting, which is being held virtually, you must have your control number available and follow the instructions found on your proxy card or voting instruction form. You may vote during the Annual Meeting by following the instructions available on the meeting website during the meeting. Please allow sufficient time before the Annual Meeting to complete the online check-in process. As an alternative to voting during the Annual Meeting, you may vote via the proxy card that is mailed to those that request paper copies of the Proxy Statement and the other proxy materials. If your shares are held in the name of a broker, trust, bank or other nominee, and you receive these materials through your broker or through another intermediary, please complete and return the materials in accordance with the instructions provided to you by such broker or other intermediary or contact your broker directly in order to obtain a proxy issued to you by your nominee holder to attend the Annual Meeting and vote during the Annual Meeting. Failure to do so may result in your shares not being eligible to be voted by proxy during the Annual Meeting. Your vote is very important.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left"/>
        <w:rPr/>
      </w:pPr>
      <w:r>
        <w:rPr/>
      </w:r>
    </w:p>
    <w:tbl>
      <w:tblPr>
        <w:tblW w:w="2952" w:type="dxa"/>
        <w:jc w:val="left"/>
        <w:tblInd w:w="0" w:type="dxa"/>
        <w:tblLayout w:type="fixed"/>
        <w:tblCellMar>
          <w:top w:w="28" w:type="dxa"/>
          <w:left w:w="28" w:type="dxa"/>
          <w:bottom w:w="28" w:type="dxa"/>
          <w:right w:w="28" w:type="dxa"/>
        </w:tblCellMar>
      </w:tblPr>
      <w:tblGrid>
        <w:gridCol w:w="352"/>
        <w:gridCol w:w="309"/>
        <w:gridCol w:w="309"/>
        <w:gridCol w:w="309"/>
        <w:gridCol w:w="309"/>
        <w:gridCol w:w="309"/>
        <w:gridCol w:w="309"/>
        <w:gridCol w:w="309"/>
        <w:gridCol w:w="437"/>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20"/>
              </w:rPr>
              <w:t>By order of the Board of Directors,</w:t>
              <w:br/>
            </w:r>
            <w:r>
              <w:rPr>
                <w:rFonts w:ascii="Times New Roman;sans-serif" w:hAnsi="Times New Roman;sans-serif"/>
                <w:b w:val="false"/>
                <w:sz w:val="20"/>
              </w:rPr>
              <w:br/>
            </w:r>
            <w:r>
              <w:rPr>
                <w:rFonts w:ascii="Times New Roman;sans-serif" w:hAnsi="Times New Roman;sans-serif"/>
                <w:b w:val="false"/>
                <w:color w:val="000000"/>
                <w:sz w:val="20"/>
              </w:rPr>
              <w:t>John Coghlin,</w:t>
              <w:br/>
              <w:t>General Counsel</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White Plains, New York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April 25,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Whether or not you expect to attend the virtual Annual Meeting, we urge you to vote your shares at your earliest convenience. This will ensure the presence of a quorum at the Annual Meeting. Promptly voting your shares will save the Company the expenses and extra work of additional solicitation. Submitting your proxy now will not prevent you from voting your shares at the Annual Meeting if you desire to do so, as your proxy is revocable at your option. Your vote is important, so please act today!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IMPORTANT NOTICE REGARDING THE AVAILABILITY OF PROXY MATERIALS FOR</w:t>
      </w:r>
      <w:r>
        <w:rPr>
          <w:color w:val="000000"/>
        </w:rPr>
        <w:t> </w:t>
      </w:r>
      <w:r>
        <w:rPr>
          <w:rFonts w:ascii="Times New Roman;sans-serif" w:hAnsi="Times New Roman;sans-serif"/>
          <w:b/>
          <w:color w:val="000000"/>
          <w:sz w:val="20"/>
        </w:rPr>
        <w:t>THE STOCKHOLDER MEETING TO BE HELD ON JUNE 18, 2025:</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Our official Notice of Annual</w:t>
      </w:r>
      <w:r>
        <w:rPr>
          <w:color w:val="000000"/>
        </w:rPr>
        <w:t> </w:t>
      </w:r>
      <w:r>
        <w:rPr>
          <w:rFonts w:ascii="Times New Roman;sans-serif" w:hAnsi="Times New Roman;sans-serif"/>
          <w:b/>
          <w:color w:val="000000"/>
          <w:sz w:val="20"/>
        </w:rPr>
        <w:t>Meeting of Stockholders, Proxy Statement, Form of Proxy Card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2024 Annual Report to Stockholders are available at:</w: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https://www.cstproxy.com/opalfuels/2025</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92"/>
        <w:gridCol w:w="2981"/>
        <w:gridCol w:w="2992"/>
        <w:gridCol w:w="109"/>
        <w:gridCol w:w="109"/>
        <w:gridCol w:w="109"/>
        <w:gridCol w:w="149"/>
        <w:gridCol w:w="149"/>
        <w:gridCol w:w="215"/>
      </w:tblGrid>
      <w:tr>
        <w:trPr/>
        <w:tc>
          <w:tcPr>
            <w:tcW w:w="3392"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361e6fd901a46cda1ffc102cae12adf_115370">
              <w:r>
                <w:rPr>
                  <w:rStyle w:val="InternetLink"/>
                  <w:rFonts w:ascii="Times New Roman;sans-serif" w:hAnsi="Times New Roman;sans-serif"/>
                  <w:b w:val="false"/>
                  <w:color w:val="0000FF"/>
                  <w:sz w:val="20"/>
                  <w:u w:val="single"/>
                </w:rPr>
                <w:t>PROPOSALS FOR STOCKHOLDER VOTE AND APPROVAL REQUIREMENTS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pPr>
            <w:hyperlink w:anchor="i3361e6fd901a46cda1ffc102cae12adf_115370">
              <w:r>
                <w:rPr>
                  <w:rStyle w:val="InternetLink"/>
                  <w:rFonts w:ascii="Times New Roman;sans-serif" w:hAnsi="Times New Roman;sans-serif"/>
                  <w:b w:val="false"/>
                  <w:color w:val="0000FF"/>
                  <w:sz w:val="20"/>
                  <w:u w:val="single"/>
                </w:rPr>
                <w:t>7</w:t>
              </w:r>
            </w:hyperlink>
          </w:p>
        </w:tc>
      </w:tr>
      <w:tr>
        <w:trPr/>
        <w:tc>
          <w:tcPr>
            <w:tcW w:w="9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361e6fd901a46cda1ffc102cae12adf_115371">
              <w:r>
                <w:rPr>
                  <w:rStyle w:val="InternetLink"/>
                  <w:rFonts w:ascii="Times New Roman;sans-serif" w:hAnsi="Times New Roman;sans-serif"/>
                  <w:b w:val="false"/>
                  <w:color w:val="0000FF"/>
                  <w:sz w:val="20"/>
                  <w:u w:val="single"/>
                </w:rPr>
                <w:t>OTHER MATTERS TO COME BEFORE THE ANNUAL MEETING</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361e6fd901a46cda1ffc102cae12adf_115371">
              <w:r>
                <w:rPr>
                  <w:rStyle w:val="InternetLink"/>
                  <w:rFonts w:ascii="Times New Roman;sans-serif" w:hAnsi="Times New Roman;sans-serif"/>
                  <w:b w:val="false"/>
                  <w:color w:val="0000FF"/>
                  <w:sz w:val="20"/>
                  <w:u w:val="single"/>
                </w:rPr>
                <w:t>8</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361e6fd901a46cda1ffc102cae12adf_115372">
              <w:r>
                <w:rPr>
                  <w:rStyle w:val="InternetLink"/>
                  <w:rFonts w:ascii="Times New Roman;sans-serif" w:hAnsi="Times New Roman;sans-serif"/>
                  <w:b w:val="false"/>
                  <w:color w:val="0000FF"/>
                  <w:sz w:val="20"/>
                  <w:u w:val="single"/>
                </w:rPr>
                <w:t>QUESTIONS AND ANSWERS ABOUT THIS PROXY MATERIAL AND VOTING</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361e6fd901a46cda1ffc102cae12adf_115372">
              <w:r>
                <w:rPr>
                  <w:rStyle w:val="InternetLink"/>
                  <w:rFonts w:ascii="Times New Roman;sans-serif" w:hAnsi="Times New Roman;sans-serif"/>
                  <w:b w:val="false"/>
                  <w:color w:val="0000FF"/>
                  <w:sz w:val="20"/>
                  <w:u w:val="single"/>
                </w:rPr>
                <w:t>8</w:t>
              </w:r>
            </w:hyperlink>
          </w:p>
        </w:tc>
      </w:tr>
      <w:tr>
        <w:trPr/>
        <w:tc>
          <w:tcPr>
            <w:tcW w:w="9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361e6fd901a46cda1ffc102cae12adf_115373">
              <w:r>
                <w:rPr>
                  <w:rStyle w:val="InternetLink"/>
                  <w:rFonts w:ascii="Times New Roman;sans-serif" w:hAnsi="Times New Roman;sans-serif"/>
                  <w:b w:val="false"/>
                  <w:color w:val="0000FF"/>
                  <w:sz w:val="20"/>
                  <w:u w:val="single"/>
                </w:rPr>
                <w:t>PROPOSAL 1 - ELECTION OF DIRECTORS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361e6fd901a46cda1ffc102cae12adf_115373">
              <w:r>
                <w:rPr>
                  <w:rStyle w:val="InternetLink"/>
                  <w:rFonts w:ascii="Times New Roman;sans-serif" w:hAnsi="Times New Roman;sans-serif"/>
                  <w:b w:val="false"/>
                  <w:color w:val="0000FF"/>
                  <w:sz w:val="20"/>
                  <w:u w:val="single"/>
                </w:rPr>
                <w:t>12</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361e6fd901a46cda1ffc102cae12adf_118511">
              <w:r>
                <w:rPr>
                  <w:rStyle w:val="InternetLink"/>
                  <w:rFonts w:ascii="Times New Roman;sans-serif" w:hAnsi="Times New Roman;sans-serif"/>
                  <w:b w:val="false"/>
                  <w:color w:val="0000FF"/>
                  <w:sz w:val="20"/>
                  <w:u w:val="single"/>
                </w:rPr>
                <w:t>DIRECTOR COMPENSATION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361e6fd901a46cda1ffc102cae12adf_118511">
              <w:r>
                <w:rPr>
                  <w:rStyle w:val="InternetLink"/>
                  <w:rFonts w:ascii="Times New Roman;sans-serif" w:hAnsi="Times New Roman;sans-serif"/>
                  <w:b w:val="false"/>
                  <w:color w:val="0000FF"/>
                  <w:sz w:val="20"/>
                  <w:u w:val="single"/>
                </w:rPr>
                <w:t>33</w:t>
              </w:r>
            </w:hyperlink>
          </w:p>
        </w:tc>
      </w:tr>
      <w:tr>
        <w:trPr/>
        <w:tc>
          <w:tcPr>
            <w:tcW w:w="9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361e6fd901a46cda1ffc102cae12adf_118513">
              <w:r>
                <w:rPr>
                  <w:rStyle w:val="InternetLink"/>
                  <w:rFonts w:ascii="Times New Roman;sans-serif" w:hAnsi="Times New Roman;sans-serif"/>
                  <w:b w:val="false"/>
                  <w:color w:val="0000FF"/>
                  <w:sz w:val="20"/>
                  <w:u w:val="single"/>
                </w:rPr>
                <w:t>BOARD MEETINGS AND COMMITTEES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361e6fd901a46cda1ffc102cae12adf_118513">
              <w:r>
                <w:rPr>
                  <w:rStyle w:val="InternetLink"/>
                  <w:rFonts w:ascii="Times New Roman;sans-serif" w:hAnsi="Times New Roman;sans-serif"/>
                  <w:b w:val="false"/>
                  <w:color w:val="0000FF"/>
                  <w:sz w:val="20"/>
                  <w:u w:val="single"/>
                </w:rPr>
                <w:t>14</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361e6fd901a46cda1ffc102cae12adf_118532">
              <w:r>
                <w:rPr>
                  <w:rStyle w:val="InternetLink"/>
                  <w:rFonts w:ascii="Times New Roman;sans-serif" w:hAnsi="Times New Roman;sans-serif"/>
                  <w:b w:val="false"/>
                  <w:color w:val="0000FF"/>
                  <w:sz w:val="20"/>
                  <w:u w:val="single"/>
                </w:rPr>
                <w:t>PROPOSAL 2 - RATIFICATION OF THE APPOINTMENT OF BDO USA, P.C. AS OUR INDEPENDENT REGISTERED PUBLIC ACCOUNTING FIRM FOR FISCAL YEAR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361e6fd901a46cda1ffc102cae12adf_118532">
              <w:r>
                <w:rPr>
                  <w:rStyle w:val="InternetLink"/>
                  <w:rFonts w:ascii="Times New Roman;sans-serif" w:hAnsi="Times New Roman;sans-serif"/>
                  <w:b w:val="false"/>
                  <w:color w:val="0000FF"/>
                  <w:sz w:val="20"/>
                  <w:u w:val="single"/>
                </w:rPr>
                <w:t>20</w:t>
              </w:r>
            </w:hyperlink>
          </w:p>
        </w:tc>
      </w:tr>
      <w:tr>
        <w:trPr/>
        <w:tc>
          <w:tcPr>
            <w:tcW w:w="9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361e6fd901a46cda1ffc102cae12adf_118514">
              <w:r>
                <w:rPr>
                  <w:rStyle w:val="InternetLink"/>
                  <w:rFonts w:ascii="Times New Roman;sans-serif" w:hAnsi="Times New Roman;sans-serif"/>
                  <w:b w:val="false"/>
                  <w:color w:val="0000FF"/>
                  <w:sz w:val="20"/>
                  <w:u w:val="single"/>
                </w:rPr>
                <w:t>REPORT OF THE AUDIT COMMITTEE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361e6fd901a46cda1ffc102cae12adf_118514">
              <w:r>
                <w:rPr>
                  <w:rStyle w:val="InternetLink"/>
                  <w:rFonts w:ascii="Times New Roman;sans-serif" w:hAnsi="Times New Roman;sans-serif"/>
                  <w:b w:val="false"/>
                  <w:color w:val="0000FF"/>
                  <w:sz w:val="20"/>
                  <w:u w:val="single"/>
                </w:rPr>
                <w:t>21</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361e6fd901a46cda1ffc102cae12adf_118515">
              <w:r>
                <w:rPr>
                  <w:rStyle w:val="InternetLink"/>
                  <w:rFonts w:ascii="Times New Roman;sans-serif" w:hAnsi="Times New Roman;sans-serif"/>
                  <w:b w:val="false"/>
                  <w:color w:val="0000FF"/>
                  <w:sz w:val="20"/>
                  <w:u w:val="single"/>
                </w:rPr>
                <w:t>EXECUTIVE OFFICERS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361e6fd901a46cda1ffc102cae12adf_118515">
              <w:r>
                <w:rPr>
                  <w:rStyle w:val="InternetLink"/>
                  <w:rFonts w:ascii="Times New Roman;sans-serif" w:hAnsi="Times New Roman;sans-serif"/>
                  <w:b w:val="false"/>
                  <w:color w:val="0000FF"/>
                  <w:sz w:val="20"/>
                  <w:u w:val="single"/>
                </w:rPr>
                <w:t>21</w:t>
              </w:r>
            </w:hyperlink>
          </w:p>
        </w:tc>
      </w:tr>
      <w:tr>
        <w:trPr/>
        <w:tc>
          <w:tcPr>
            <w:tcW w:w="9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361e6fd901a46cda1ffc102cae12adf_118516">
              <w:r>
                <w:rPr>
                  <w:rStyle w:val="InternetLink"/>
                  <w:rFonts w:ascii="Times New Roman;sans-serif" w:hAnsi="Times New Roman;sans-serif"/>
                  <w:b w:val="false"/>
                  <w:color w:val="0000FF"/>
                  <w:sz w:val="20"/>
                  <w:u w:val="single"/>
                </w:rPr>
                <w:t>EXECUTIVE COMPENSATION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361e6fd901a46cda1ffc102cae12adf_118516">
              <w:r>
                <w:rPr>
                  <w:rStyle w:val="InternetLink"/>
                  <w:rFonts w:ascii="Times New Roman;sans-serif" w:hAnsi="Times New Roman;sans-serif"/>
                  <w:b w:val="false"/>
                  <w:color w:val="0000FF"/>
                  <w:sz w:val="20"/>
                  <w:u w:val="single"/>
                </w:rPr>
                <w:t>24</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361e6fd901a46cda1ffc102cae12adf_118517">
              <w:r>
                <w:rPr>
                  <w:rStyle w:val="InternetLink"/>
                  <w:rFonts w:ascii="Times New Roman;sans-serif" w:hAnsi="Times New Roman;sans-serif"/>
                  <w:b w:val="false"/>
                  <w:color w:val="0000FF"/>
                  <w:sz w:val="20"/>
                  <w:u w:val="single"/>
                </w:rPr>
                <w:t>SECURITY OWNERSHIP OF CERTAIN BENEFICIAL OWNERS AND MANAGEMENT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361e6fd901a46cda1ffc102cae12adf_118517">
              <w:r>
                <w:rPr>
                  <w:rStyle w:val="InternetLink"/>
                  <w:rFonts w:ascii="Times New Roman;sans-serif" w:hAnsi="Times New Roman;sans-serif"/>
                  <w:b w:val="false"/>
                  <w:color w:val="0000FF"/>
                  <w:sz w:val="20"/>
                  <w:u w:val="single"/>
                </w:rPr>
                <w:t>35</w:t>
              </w:r>
            </w:hyperlink>
          </w:p>
        </w:tc>
      </w:tr>
      <w:tr>
        <w:trPr/>
        <w:tc>
          <w:tcPr>
            <w:tcW w:w="9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361e6fd901a46cda1ffc102cae12adf_118518">
              <w:r>
                <w:rPr>
                  <w:rStyle w:val="InternetLink"/>
                  <w:rFonts w:ascii="Times New Roman;sans-serif" w:hAnsi="Times New Roman;sans-serif"/>
                  <w:b w:val="false"/>
                  <w:color w:val="0000FF"/>
                  <w:sz w:val="20"/>
                  <w:u w:val="single"/>
                </w:rPr>
                <w:t>DELINQUENT SECTION 16(a) REPORTS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361e6fd901a46cda1ffc102cae12adf_118518">
              <w:r>
                <w:rPr>
                  <w:rStyle w:val="InternetLink"/>
                  <w:rFonts w:ascii="Times New Roman;sans-serif" w:hAnsi="Times New Roman;sans-serif"/>
                  <w:b w:val="false"/>
                  <w:color w:val="0000FF"/>
                  <w:sz w:val="20"/>
                  <w:u w:val="single"/>
                </w:rPr>
                <w:t>38</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361e6fd901a46cda1ffc102cae12adf_118519">
              <w:r>
                <w:rPr>
                  <w:rStyle w:val="InternetLink"/>
                  <w:rFonts w:ascii="Times New Roman;sans-serif" w:hAnsi="Times New Roman;sans-serif"/>
                  <w:b w:val="false"/>
                  <w:color w:val="0000FF"/>
                  <w:sz w:val="20"/>
                  <w:u w:val="single"/>
                </w:rPr>
                <w:t>CERTAIN RELATIONSHIPS AND RELATED PARTY TRANSACTIONS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361e6fd901a46cda1ffc102cae12adf_118519">
              <w:r>
                <w:rPr>
                  <w:rStyle w:val="InternetLink"/>
                  <w:rFonts w:ascii="Times New Roman;sans-serif" w:hAnsi="Times New Roman;sans-serif"/>
                  <w:b w:val="false"/>
                  <w:color w:val="0000FF"/>
                  <w:sz w:val="20"/>
                  <w:u w:val="single"/>
                </w:rPr>
                <w:t>39</w:t>
              </w:r>
            </w:hyperlink>
          </w:p>
        </w:tc>
      </w:tr>
      <w:tr>
        <w:trPr/>
        <w:tc>
          <w:tcPr>
            <w:tcW w:w="9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361e6fd901a46cda1ffc102cae12adf_118520">
              <w:r>
                <w:rPr>
                  <w:rStyle w:val="InternetLink"/>
                  <w:rFonts w:ascii="Times New Roman;sans-serif" w:hAnsi="Times New Roman;sans-serif"/>
                  <w:b w:val="false"/>
                  <w:color w:val="0000FF"/>
                  <w:sz w:val="20"/>
                  <w:u w:val="single"/>
                </w:rPr>
                <w:t>HOUSEHOLDING</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361e6fd901a46cda1ffc102cae12adf_118520">
              <w:r>
                <w:rPr>
                  <w:rStyle w:val="InternetLink"/>
                  <w:rFonts w:ascii="Times New Roman;sans-serif" w:hAnsi="Times New Roman;sans-serif"/>
                  <w:b w:val="false"/>
                  <w:color w:val="0000FF"/>
                  <w:sz w:val="20"/>
                  <w:u w:val="single"/>
                </w:rPr>
                <w:t>44</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361e6fd901a46cda1ffc102cae12adf_118521">
              <w:r>
                <w:rPr>
                  <w:rStyle w:val="InternetLink"/>
                  <w:rFonts w:ascii="Times New Roman;sans-serif" w:hAnsi="Times New Roman;sans-serif"/>
                  <w:b w:val="false"/>
                  <w:color w:val="0000FF"/>
                  <w:sz w:val="20"/>
                  <w:u w:val="single"/>
                </w:rPr>
                <w:t>OTHER MATTERS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361e6fd901a46cda1ffc102cae12adf_118521">
              <w:r>
                <w:rPr>
                  <w:rStyle w:val="InternetLink"/>
                  <w:rFonts w:ascii="Times New Roman;sans-serif" w:hAnsi="Times New Roman;sans-serif"/>
                  <w:b w:val="false"/>
                  <w:color w:val="0000FF"/>
                  <w:sz w:val="20"/>
                  <w:u w:val="single"/>
                </w:rPr>
                <w:t>44</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OPAL Fuels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One North Lexington Avenue, Suite 1450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White Plains, New York 10601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Meeting of Stockholders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be held on June 18, 2025</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are providing these proxy materials in connection with the solicitation by the Board of Directors (the “Board” or “Board of Directors”) of OPAL Fuels Inc. of the proxies to be voted at our 2025 Annual Meeting of Stockholders (the “Meeting” or “Annual Meeting”) and at any and all postponements or adjournments thereof. The Meeting will be held on Wednesday, June 18, 2025, at 10:00 am, Eastern Time. </w:t>
      </w:r>
      <w:r>
        <w:rPr>
          <w:rFonts w:ascii="Times New Roman;sans-serif" w:hAnsi="Times New Roman;sans-serif"/>
          <w:b/>
          <w:color w:val="000000"/>
          <w:sz w:val="20"/>
        </w:rPr>
        <w:t>The Meeting will be held virtually via live webcast, which you may attend by visiting</w:t>
      </w:r>
      <w:r>
        <w:rPr>
          <w:color w:val="000000"/>
        </w:rPr>
        <w:t xml:space="preserve"> </w:t>
      </w:r>
      <w:r>
        <w:rPr>
          <w:rFonts w:ascii="Times New Roman;sans-serif" w:hAnsi="Times New Roman;sans-serif"/>
          <w:b w:val="false"/>
          <w:i/>
          <w:color w:val="000000"/>
          <w:sz w:val="20"/>
        </w:rPr>
        <w:t>https://www.cstproxy.com/opalfuels/2025</w:t>
      </w:r>
      <w:r>
        <w:rPr>
          <w:rFonts w:ascii="Times New Roman;sans-serif" w:hAnsi="Times New Roman;sans-serif"/>
          <w:b w:val="false"/>
          <w:color w:val="000000"/>
          <w:sz w:val="20"/>
        </w:rPr>
        <w:t>. The Notice of Internet Availability of Proxy Materials, proxy statement and form of proxy are being distributed and made available on the internet or about April 25, 2025 to all stockholders of record entitled to vote at the Annual Meeting. Only stockholders who owned our common stock on April 23, 2025 are entitled to vote at the Annual Meeting. In this proxy statement, OPAL Fuels Inc. is referred to as “OPAL,” the “Company,” “we,” “our,” or “us.”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Meeting will be conducted as a virtual meeting of stockholders by means of a live webcast. As we believe that hosting our Annual Meeting virtually would be in the best interests of our stockholders and employees and enable improved communication and greater stockholder attendance and participation from any location, the Annual Meeting will be held in a virtual meeting format only. There will not be a physical meeting location and you will not be able to attend in person.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If you are a registered stockholder or beneficial owner of the Company’s Class A common stock, Class B common stock or Class D common stock holding shares at the close of business on the Record Date, you may attend the Annual Meeting by visiting </w:t>
      </w:r>
      <w:r>
        <w:rPr>
          <w:rFonts w:ascii="Times New Roman;sans-serif" w:hAnsi="Times New Roman;sans-serif"/>
          <w:b w:val="false"/>
          <w:i/>
          <w:color w:val="000000"/>
          <w:sz w:val="20"/>
        </w:rPr>
        <w:t>https://www.cstproxy.com/opalfuels/2025</w:t>
      </w:r>
      <w:r>
        <w:rPr>
          <w:color w:val="000000"/>
        </w:rPr>
        <w:t xml:space="preserve"> </w:t>
      </w:r>
      <w:r>
        <w:rPr>
          <w:rFonts w:ascii="Times New Roman;sans-serif" w:hAnsi="Times New Roman;sans-serif"/>
          <w:b w:val="false"/>
          <w:color w:val="000000"/>
          <w:sz w:val="20"/>
        </w:rPr>
        <w:t xml:space="preserve">and logging in by entering the 16-digit control number found on your proxy card, voter instruction form, or other materials provided to you, as applicable. If you have lost your 16-digit control number or are not a stockholder, you will be able to attend the Meeting by visiting </w:t>
      </w:r>
      <w:r>
        <w:rPr>
          <w:rFonts w:ascii="Times New Roman;sans-serif" w:hAnsi="Times New Roman;sans-serif"/>
          <w:b w:val="false"/>
          <w:i/>
          <w:color w:val="000000"/>
          <w:sz w:val="20"/>
        </w:rPr>
        <w:t>https://www.cstproxy.com/opalfuels/2025</w:t>
      </w:r>
      <w:r>
        <w:rPr>
          <w:color w:val="000000"/>
        </w:rPr>
        <w:t xml:space="preserve"> </w:t>
      </w:r>
      <w:r>
        <w:rPr>
          <w:rFonts w:ascii="Times New Roman;sans-serif" w:hAnsi="Times New Roman;sans-serif"/>
          <w:b w:val="false"/>
          <w:color w:val="000000"/>
          <w:sz w:val="20"/>
        </w:rPr>
        <w:t>and registering as a guest. If you enter the Meeting as a guest, you will not be able to vote your shares or submit questions during the Meeting.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invite you to virtually attend the Annual Meeting and request that you vote on the proposals described in this proxy statement. However, you do not need to attend the virtual Meeting to vote your shares. Instead, you may vote by proxy, via the Internet, or by mail by following the instructions provided on the proxy card. We encourage you to vote before the Annual Meeting.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Purpose of the Annual Meeting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the Meeting, our stockholders will consider and vote upon the following matters: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05"/>
        <w:gridCol w:w="2879"/>
        <w:gridCol w:w="40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election of six (6) directors to serve for a one-year term until the 2026 Annual Meeting of Stockholders or until their successors are duly elected and qualified;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ratification of the appointment of BDO USA, P.C. as the Company’s independent registered public accounting firm for the year ending December 31, 2025;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transaction of such other business as may properly come before the Meeting or any adjournment or postponement of the Meeting.</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Outstanding Securities and Voting Rights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Only holders of record of the Company’s Class A common stock, Class B common stock and Class D common stock at the close of business on the Record Date for the Meeting, are entitled to notice of, and to vote at, the Meeting.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April 25, 2025, we had</w:t>
      </w:r>
      <w:r>
        <w:rPr>
          <w:color w:val="000000"/>
        </w:rPr>
        <w:t> </w:t>
      </w:r>
      <w:r>
        <w:rPr>
          <w:rFonts w:ascii="Times New Roman;sans-serif" w:hAnsi="Times New Roman;sans-serif"/>
          <w:b w:val="false"/>
          <w:color w:val="000000"/>
          <w:sz w:val="20"/>
        </w:rPr>
        <w:t>28,835,811 shares of Class A common stock outstanding, representing 28,835,811 votes, 121,500,000 shares of Class B common stock outstanding, representing 121,500,000 votes and 22,899,037 shares of Class D common stock outstanding, representing 114,495,185 votes. Each share of Class A common stock and Class B common stock is entitled to one vote at the Meeting. Each share of Class D common stock is entitled to five votes at the Meeting. If your shares are registered in your name, you are a stockholder of record. If your shares are held in the name of your broker, bank or another holder of record, these shares are held in “street name.”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a majority of the voting power of all the issued and outstanding shares of common stock present at the Meeting, either in person or by proxy, and entitled to vote, constitute a quorum for the transaction of business. Abstentions will be included in determining the presence of a quorum at the Meeting.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your shares are held in street name, you must instruct the organization who holds your shares how to vote your shares. If you sign your proxy card but do not provide instructions on how your broker should vote on “routine” proposals, your broker may vote your shares as recommended by the Board. If you do not provide voting instructions, your shares will not be voted on any “non-routine” proposals. This vote is called a “broker non-vote.”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Proposal 1 (election of directors), a nominee for director will be elected to the Board if there is a plurality of the votes cast for such nominee’s election. This means that the nominees receiving the highest number of affirmative votes will be elected as directors. Proposal 2 (auditor ratification) will be determined by a majority of votes cast affirmatively or negatively. Abstentions and broker non-votes will have no effect on the proposals.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bookmarkStart w:id="0" w:name="i3361e6fd901a46cda1ffc102cae12adf_115370"/>
      <w:bookmarkEnd w:id="0"/>
      <w:r>
        <w:rPr>
          <w:rFonts w:ascii="Times New Roman;sans-serif" w:hAnsi="Times New Roman;sans-serif"/>
          <w:b/>
          <w:color w:val="000000"/>
          <w:sz w:val="20"/>
        </w:rPr>
        <w:t>PROPOSALS FOR STOCKHOLDER VOTE AND APPROVAL REQUIREMENTS</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If you hold your shares in street name and the organization that holds your shares does not receive instructions from you on how to vote your shares on a non-routine matter, that organization will inform the inspector of election that it does not have the authority to vote on the matter with respect to your shares. This is generally referred to as a “broker non-vote.” In connection with Proposal No. 1, the election of a director will require that the candidate receive a plurality of the votes cast at the Annual Meeting virtually or by proxy. A “plurality” vote means the candidate who receives the largest number of votes cast (even if they receive less than a majority) will be elected as a director. Because abstentions and broker non-votes are not treated as shares voted, any abstentions and broker non-votes would have no impact on Proposal No.1. Broker non-votes are not expected in connection with Proposal No. 2 as it is a routine matter. Shares that constitute broker non-votes will be counted as present for purposes of establishing a quorum, but will not be counted as having voting power to vote on the proposal in question. Accordingly, shareholders are urged to forward their voting instructions promptly.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PROPOSAL 1.</w:t>
      </w:r>
      <w:r>
        <w:rPr>
          <w:color w:val="000000"/>
        </w:rPr>
        <w:t>  </w:t>
      </w:r>
      <w:r>
        <w:rPr>
          <w:rFonts w:ascii="Times New Roman;sans-serif" w:hAnsi="Times New Roman;sans-serif"/>
          <w:b/>
          <w:color w:val="000000"/>
          <w:sz w:val="20"/>
          <w:u w:val="single"/>
        </w:rPr>
        <w:t>ELECTION OF DIRECTORS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BOARD IS SUBJECT TO ANNUAL ELECTION BY THE STOCKHOLDERS. THE BOARD RECOMMENDS THAT YOU 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EACH OF THE FOLLOWING 6 DIRECTOR NOMINEES:</w:t>
      </w:r>
    </w:p>
    <w:p>
      <w:pPr>
        <w:pStyle w:val="TextBody"/>
        <w:bidi w:val="0"/>
        <w:spacing w:before="0" w:after="0"/>
        <w:jc w:val="left"/>
        <w:rPr/>
      </w:pPr>
      <w:r>
        <w:rPr/>
      </w:r>
    </w:p>
    <w:tbl>
      <w:tblPr>
        <w:tblW w:w="3770" w:type="dxa"/>
        <w:jc w:val="left"/>
        <w:tblInd w:w="0" w:type="dxa"/>
        <w:tblLayout w:type="fixed"/>
        <w:tblCellMar>
          <w:top w:w="28" w:type="dxa"/>
          <w:left w:w="28" w:type="dxa"/>
          <w:bottom w:w="28" w:type="dxa"/>
          <w:right w:w="28" w:type="dxa"/>
        </w:tblCellMar>
      </w:tblPr>
      <w:tblGrid>
        <w:gridCol w:w="830"/>
        <w:gridCol w:w="729"/>
        <w:gridCol w:w="731"/>
        <w:gridCol w:w="432"/>
        <w:gridCol w:w="432"/>
        <w:gridCol w:w="616"/>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2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ind w:left="0" w:right="0" w:firstLine="160"/>
              <w:jc w:val="both"/>
              <w:rPr>
                <w:rFonts w:ascii="Times New Roman;sans-serif" w:hAnsi="Times New Roman;sans-serif"/>
                <w:b w:val="false"/>
                <w:color w:val="000000"/>
                <w:sz w:val="20"/>
              </w:rPr>
            </w:pPr>
            <w:r>
              <w:rPr>
                <w:rFonts w:ascii="Times New Roman;sans-serif" w:hAnsi="Times New Roman;sans-serif"/>
                <w:b w:val="false"/>
                <w:color w:val="000000"/>
                <w:sz w:val="20"/>
              </w:rPr>
              <w:t>Mark Comora, Chairman</w:t>
            </w:r>
          </w:p>
        </w:tc>
        <w:tc>
          <w:tcPr>
            <w:tcW w:w="148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88" w:before="0" w:after="0"/>
              <w:ind w:left="0" w:right="0" w:firstLine="160"/>
              <w:jc w:val="both"/>
              <w:rPr>
                <w:rFonts w:ascii="Times New Roman;sans-serif" w:hAnsi="Times New Roman;sans-serif"/>
                <w:b w:val="false"/>
                <w:color w:val="000000"/>
                <w:sz w:val="20"/>
              </w:rPr>
            </w:pPr>
            <w:r>
              <w:rPr>
                <w:rFonts w:ascii="Times New Roman;sans-serif" w:hAnsi="Times New Roman;sans-serif"/>
                <w:b w:val="false"/>
                <w:color w:val="000000"/>
                <w:sz w:val="20"/>
              </w:rPr>
              <w:t>James Martell</w:t>
            </w:r>
          </w:p>
        </w:tc>
      </w:tr>
      <w:tr>
        <w:trPr/>
        <w:tc>
          <w:tcPr>
            <w:tcW w:w="22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ind w:left="0" w:right="0" w:firstLine="160"/>
              <w:jc w:val="both"/>
              <w:rPr>
                <w:rFonts w:ascii="Times New Roman;sans-serif" w:hAnsi="Times New Roman;sans-serif"/>
                <w:b w:val="false"/>
                <w:color w:val="000000"/>
                <w:sz w:val="20"/>
              </w:rPr>
            </w:pPr>
            <w:r>
              <w:rPr>
                <w:rFonts w:ascii="Times New Roman;sans-serif" w:hAnsi="Times New Roman;sans-serif"/>
                <w:b w:val="false"/>
                <w:color w:val="000000"/>
                <w:sz w:val="20"/>
              </w:rPr>
              <w:t>Betsy L. Battle</w:t>
            </w:r>
          </w:p>
        </w:tc>
        <w:tc>
          <w:tcPr>
            <w:tcW w:w="14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ind w:left="0" w:right="0" w:firstLine="160"/>
              <w:jc w:val="both"/>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r>
      <w:tr>
        <w:trPr/>
        <w:tc>
          <w:tcPr>
            <w:tcW w:w="229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0"/>
              <w:ind w:left="0" w:right="0" w:firstLine="160"/>
              <w:jc w:val="both"/>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1480"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88" w:before="0" w:after="0"/>
              <w:ind w:left="0" w:right="0" w:firstLine="160"/>
              <w:jc w:val="both"/>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can find information about the director nominees, our Board of Directors, its committees, and other related matters in the section entitled, “Proposal 1 - Election of Directors” of this proxy statement.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Delaware law and our By-Laws (“By-Laws”) govern the vote on Proposal 1, on which you may:</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 xml:space="preserve">Vote </w:t>
      </w:r>
      <w:r>
        <w:rPr>
          <w:color w:val="000000"/>
        </w:rPr>
        <w:t>“</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all of the direct nominees;</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 xml:space="preserve">Vote </w:t>
      </w:r>
      <w:r>
        <w:rPr>
          <w:color w:val="000000"/>
        </w:rPr>
        <w:t>“</w:t>
      </w:r>
      <w:r>
        <w:rPr>
          <w:rFonts w:ascii="Times New Roman;sans-serif" w:hAnsi="Times New Roman;sans-serif"/>
          <w:b/>
          <w:color w:val="000000"/>
          <w:sz w:val="20"/>
        </w:rPr>
        <w:t>AGAINST”</w:t>
      </w:r>
      <w:r>
        <w:rPr>
          <w:color w:val="000000"/>
        </w:rPr>
        <w:t xml:space="preserve"> </w:t>
      </w:r>
      <w:r>
        <w:rPr>
          <w:rFonts w:ascii="Times New Roman;sans-serif" w:hAnsi="Times New Roman;sans-serif"/>
          <w:b w:val="false"/>
          <w:color w:val="000000"/>
          <w:sz w:val="20"/>
        </w:rPr>
        <w:t>all of the director nominees;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 xml:space="preserve">Vote </w:t>
      </w:r>
      <w:r>
        <w:rPr>
          <w:color w:val="000000"/>
        </w:rPr>
        <w:t>“</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 xml:space="preserve">or </w:t>
      </w:r>
      <w:r>
        <w:rPr>
          <w:color w:val="000000"/>
        </w:rPr>
        <w:t>“</w:t>
      </w:r>
      <w:r>
        <w:rPr>
          <w:rFonts w:ascii="Times New Roman;sans-serif" w:hAnsi="Times New Roman;sans-serif"/>
          <w:b/>
          <w:color w:val="000000"/>
          <w:sz w:val="20"/>
        </w:rPr>
        <w:t>AGAINST”</w:t>
      </w:r>
      <w:r>
        <w:rPr>
          <w:color w:val="000000"/>
        </w:rPr>
        <w:t xml:space="preserve"> </w:t>
      </w:r>
      <w:r>
        <w:rPr>
          <w:rFonts w:ascii="Times New Roman;sans-serif" w:hAnsi="Times New Roman;sans-serif"/>
          <w:b w:val="false"/>
          <w:color w:val="000000"/>
          <w:sz w:val="20"/>
        </w:rPr>
        <w:t>specific director nominees; or</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0"/>
        </w:rPr>
        <w:t>Abstain from voting for all or specific director nominees.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By-Laws and assuming a quorum is present, directors will be elected by a plurality of the votes cast and entitled to vote thereon. </w:t>
      </w:r>
    </w:p>
    <w:p>
      <w:pPr>
        <w:pStyle w:val="TextBody"/>
        <w:bidi w:val="0"/>
        <w:spacing w:before="0" w:after="0"/>
        <w:jc w:val="left"/>
        <w:rPr/>
      </w:pPr>
      <w:r>
        <w:rPr/>
      </w:r>
    </w:p>
    <w:p>
      <w:pPr>
        <w:pStyle w:val="TextBody"/>
        <w:bidi w:val="0"/>
        <w:spacing w:lineRule="auto" w:line="288" w:before="0" w:after="0"/>
        <w:ind w:left="0" w:right="0" w:hanging="1440"/>
        <w:jc w:val="both"/>
        <w:rPr/>
      </w:pPr>
      <w:r>
        <w:rPr>
          <w:rFonts w:ascii="Times New Roman;sans-serif" w:hAnsi="Times New Roman;sans-serif"/>
          <w:b/>
          <w:color w:val="000000"/>
          <w:sz w:val="20"/>
        </w:rPr>
        <w:t>PROPOSAL 2.</w:t>
      </w:r>
      <w:r>
        <w:rPr>
          <w:color w:val="000000"/>
        </w:rPr>
        <w:t>     </w:t>
      </w:r>
      <w:r>
        <w:rPr>
          <w:rFonts w:ascii="Times New Roman;sans-serif" w:hAnsi="Times New Roman;sans-serif"/>
          <w:b/>
          <w:color w:val="000000"/>
          <w:sz w:val="20"/>
          <w:u w:val="single"/>
        </w:rPr>
        <w:t>RATIFICATION OF APPOINTMENT OF INDEPENDENT REGISTERED PUBLIC ACCOUNTING FIRM</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BOARD RECOMMENDS THAT YOU 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RATIFICATION OF THE APPOINTMENT OF BDO USA, P.C. AS OUR INDEPENDENT REGISTERED PUBLIC ACCOUNTING FIRM FOR THE FISCAL YEAR ENDING DECEMBER 31, 2025.</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can find information about our relationship with BDO USA, P.C. in the section entitled, “Proposal 2 - Ratification of the Appointment of BDO USA, P.C. as our Independent Registered Public Accounting Firm for Fiscal Year 2025” of this proxy statement. Delaware law and our By-Laws govern the vote on Proposal 2, on which you may:</w:t>
      </w:r>
    </w:p>
    <w:p>
      <w:pPr>
        <w:pStyle w:val="TextBody"/>
        <w:bidi w:val="0"/>
        <w:spacing w:before="0" w:after="0"/>
        <w:jc w:val="both"/>
        <w:rPr/>
      </w:pPr>
      <w:r>
        <w:rPr/>
      </w:r>
    </w:p>
    <w:tbl>
      <w:tblPr>
        <w:tblW w:w="398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17"/>
        <w:gridCol w:w="317"/>
        <w:gridCol w:w="317"/>
        <w:gridCol w:w="317"/>
        <w:gridCol w:w="317"/>
        <w:gridCol w:w="317"/>
        <w:gridCol w:w="317"/>
        <w:gridCol w:w="317"/>
        <w:gridCol w:w="4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984" w:type="dxa"/>
            <w:gridSpan w:val="9"/>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Proposal 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984" w:type="dxa"/>
            <w:gridSpan w:val="9"/>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Vote “</w:t>
            </w:r>
            <w:r>
              <w:rPr>
                <w:rFonts w:ascii="Times New Roman;sans-serif" w:hAnsi="Times New Roman;sans-serif"/>
                <w:b/>
                <w:color w:val="000000"/>
                <w:sz w:val="20"/>
              </w:rPr>
              <w:t>AGAINST</w:t>
            </w:r>
            <w:r>
              <w:rPr>
                <w:color w:val="000000"/>
              </w:rPr>
              <w:t xml:space="preserve">” </w:t>
            </w:r>
            <w:r>
              <w:rPr>
                <w:rFonts w:ascii="Times New Roman;sans-serif" w:hAnsi="Times New Roman;sans-serif"/>
                <w:b w:val="false"/>
                <w:color w:val="000000"/>
                <w:sz w:val="20"/>
              </w:rPr>
              <w:t>Proposal 2;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Abstain from voting on Proposal 2.</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Assuming a quorum is present, Proposal 2 will pass if it receives an affirmative vote of a majority of the votes cast at the Annual Meeting. Abstentions will not be taken into account in determining whether the proposal has received the requisite number of affirmative votes, consistent with Delaware law and the SEC’s proxy rules. Proposal 2 is considered a “routine” matter on which brokers may cast a vote.</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bookmarkStart w:id="1" w:name="i3361e6fd901a46cda1ffc102cae12adf_115371"/>
      <w:bookmarkEnd w:id="1"/>
      <w:r>
        <w:rPr>
          <w:rFonts w:ascii="Times New Roman;sans-serif" w:hAnsi="Times New Roman;sans-serif"/>
          <w:b/>
          <w:color w:val="000000"/>
          <w:sz w:val="20"/>
        </w:rPr>
        <w:t>OTHER MATTERS TO COME BEFORE THE ANNUAL MEETING</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The Board of Directors is unaware of any other business to be presented for a vote at the Annual Meeting. If any other matters are properly presented for a vote, the individuals named as proxies will have discretionary authority to vote on such matters according to their best judgment to the extent permitted by applicable law and the rules and regulations of the Nasdaq Stock Market (“Nasdaq”) and U.S. Securities and Exchange Commission (“SEC”).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Chairperson of the Annual Meeting may refuse to allow the presentation of a proposal or nominee for the Board of Directors if the proposal or nominee is not properly submitted. The requirements for submitting proposals and nominations for this year’s Annual Meeting are detailed in our By-Laws.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WEBSITES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Website addresses referenced in this proxy statement are provided for convenience only, and the content on the referenced websites does not constitute a part of this proxy statement.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bookmarkStart w:id="2" w:name="i3361e6fd901a46cda1ffc102cae12adf_115372"/>
      <w:bookmarkEnd w:id="2"/>
      <w:r>
        <w:rPr>
          <w:rFonts w:ascii="Times New Roman;sans-serif" w:hAnsi="Times New Roman;sans-serif"/>
          <w:b/>
          <w:color w:val="000000"/>
          <w:sz w:val="20"/>
        </w:rPr>
        <w:t>QUESTIONS AND ANSWERS ABOUT THIS PROXY MATERIAL AND VOTING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HOW DO I ATTEND THE ANNUAL MEETING?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Annual Meeting will be held on June 18, 2025 at 10:00 am Eastern Time virtually at </w:t>
      </w:r>
      <w:r>
        <w:rPr>
          <w:rFonts w:ascii="Times New Roman;sans-serif" w:hAnsi="Times New Roman;sans-serif"/>
          <w:b w:val="false"/>
          <w:i/>
          <w:color w:val="000000"/>
          <w:sz w:val="20"/>
        </w:rPr>
        <w:t>https://www.cstproxy.com/opalfuels/2025</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HOW DO I VOTE?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the record holder of your shares, you can vote four ways:</w:t>
      </w:r>
    </w:p>
    <w:p>
      <w:pPr>
        <w:pStyle w:val="TextBody"/>
        <w:bidi w:val="0"/>
        <w:spacing w:before="0" w:after="0"/>
        <w:jc w:val="both"/>
        <w:rPr/>
      </w:pPr>
      <w:r>
        <w:rPr/>
      </w:r>
    </w:p>
    <w:tbl>
      <w:tblPr>
        <w:tblW w:w="89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473"/>
        <w:gridCol w:w="473"/>
        <w:gridCol w:w="473"/>
        <w:gridCol w:w="473"/>
        <w:gridCol w:w="473"/>
        <w:gridCol w:w="473"/>
        <w:gridCol w:w="473"/>
        <w:gridCol w:w="473"/>
        <w:gridCol w:w="473"/>
        <w:gridCol w:w="473"/>
        <w:gridCol w:w="473"/>
        <w:gridCol w:w="473"/>
        <w:gridCol w:w="473"/>
        <w:gridCol w:w="473"/>
        <w:gridCol w:w="6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650"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290" w:type="dxa"/>
            <w:gridSpan w:val="15"/>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u w:val="single"/>
              </w:rPr>
              <w:t>BY MAIL</w:t>
            </w:r>
            <w:r>
              <w:rPr>
                <w:color w:val="000000"/>
              </w:rPr>
              <w:t xml:space="preserve"> </w:t>
            </w:r>
            <w:r>
              <w:rPr>
                <w:rFonts w:ascii="Times New Roman;sans-serif" w:hAnsi="Times New Roman;sans-serif"/>
                <w:b w:val="false"/>
                <w:color w:val="000000"/>
                <w:sz w:val="20"/>
              </w:rPr>
              <w:t>(PROXY CARD MUST BE RECEIVED BEFORE THE ANNUAL MEETING):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18"/>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71"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your voting instructions on your proxy card;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18"/>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71"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 your name exactly as it appears on your proxy card;</w:t>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18"/>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71"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your proxy card;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18"/>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71"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Mail your proxy card to us in the provided postage-paid envelope.</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Timing is important, so please mail your proxy card promptly. We must receive it before the beginning of the Annual Meeting. If you do not give voting instructions on your signed and mailed proxy card, the named proxies will vote your shares “FOR” each of the director nominees, and “FOR” Proposal 2. If any other matters requiring a vote arise during the Annual Meeting, the named proxies will exercise their discretion using their best judgment to the extent permitted by applicable law and Nasdaq and SEC rules and regulations.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199"/>
        <w:gridCol w:w="2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247" w:type="dxa"/>
            <w:gridSpan w:val="36"/>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u w:val="single"/>
              </w:rPr>
              <w:t>BY TELEPHONE</w:t>
            </w:r>
            <w:r>
              <w:rPr>
                <w:color w:val="000000"/>
              </w:rPr>
              <w:t xml:space="preserve"> </w:t>
            </w:r>
            <w:r>
              <w:rPr>
                <w:rFonts w:ascii="Times New Roman;sans-serif" w:hAnsi="Times New Roman;sans-serif"/>
                <w:b w:val="false"/>
                <w:color w:val="000000"/>
                <w:sz w:val="20"/>
              </w:rPr>
              <w:t>(MAY BE DONE AT ANY TIME UNTIL JUNE 17, 2025 AT 11:59 PM EASTERN TIME):</w:t>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4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Call the toll-free number on your proxy card; and</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456"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 the instructions on your proxy card and the voice prompts.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28"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YOU VOTE BY TELEPHONE, YOU DO NOT NEED TO RETURN YOUR PROXY CARD.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247" w:type="dxa"/>
            <w:gridSpan w:val="36"/>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u w:val="single"/>
              </w:rPr>
              <w:t>BY INTERNET</w:t>
            </w:r>
            <w:r>
              <w:rPr>
                <w:color w:val="000000"/>
              </w:rPr>
              <w:t xml:space="preserve"> </w:t>
            </w:r>
            <w:r>
              <w:rPr>
                <w:rFonts w:ascii="Times New Roman;sans-serif" w:hAnsi="Times New Roman;sans-serif"/>
                <w:b w:val="false"/>
                <w:color w:val="000000"/>
                <w:sz w:val="20"/>
              </w:rPr>
              <w:t>(MAY BE DONE AT ANY TIME UNTIL JUNE 17, 2025 AT 11:59 PM EASTERN TIME):</w:t>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4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5" w:type="dxa"/>
            <w:gridSpan w:val="18"/>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 to the website listed on your proxy card; and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9"/>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59"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 the instructions on your proxy card and the website.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24"/>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574" w:type="dxa"/>
            <w:gridSpan w:val="3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YOU VOTE BY INTERNET, YOU DO NOT NEED TO RETURN YOUR PROXY CARD.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21"/>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901" w:type="dxa"/>
            <w:gridSpan w:val="42"/>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u w:val="single"/>
              </w:rPr>
              <w:t>BY VIRTUAL PARTICIPATION</w:t>
            </w:r>
            <w:r>
              <w:rPr>
                <w:color w:val="000000"/>
              </w:rPr>
              <w:t xml:space="preserve"> </w:t>
            </w:r>
            <w:r>
              <w:rPr>
                <w:rFonts w:ascii="Times New Roman;sans-serif" w:hAnsi="Times New Roman;sans-serif"/>
                <w:b w:val="false"/>
                <w:color w:val="000000"/>
                <w:sz w:val="20"/>
              </w:rPr>
              <w:t>(MAY ONLY BE DONE ON JUNE 18, 2025, DURING THE ANNUAL MEETING):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21"/>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901" w:type="dxa"/>
            <w:gridSpan w:val="4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Virtually attend the Annual Meeting and vote online during the audiocast.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HOW DO I REVOKE MY PROXY OR CHANGE MY VOTING INSTRUCTIONS?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may revoke your proxy at any time before the proxy is exercised at the Annual Meeting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689"/>
        <w:gridCol w:w="689"/>
        <w:gridCol w:w="689"/>
        <w:gridCol w:w="689"/>
        <w:gridCol w:w="689"/>
        <w:gridCol w:w="689"/>
        <w:gridCol w:w="689"/>
        <w:gridCol w:w="689"/>
        <w:gridCol w:w="689"/>
        <w:gridCol w:w="689"/>
        <w:gridCol w:w="689"/>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650" w:type="dxa"/>
            <w:gridSpan w:val="1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55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Submitting a new vote by telephone, via the Internet, or by returning a properly executed new proxy card bearing a later date. Any subsequent timely and valid vote by any voting method will change your prior vote. For example, if you voted by telephone, a subsequent Internet vote will change your vote. The vote counted will be the last vote received before 11:59 PM Eastern Time on June 17, 2025 (if you are the record holder of your shares) - unless you change your vote by virtually attending the Annual Meeting and voting online during the Annual Meeting.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1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55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Writing to OPAL’s Corporate Secretary, John Coghlin at, One North Lexington Avenue, Suite 1450, White Plains, New York 10601 (such revocation must be received before the Annual Meeting). </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882"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Virtually attending the Annual Meeting and voting online during the audiocast.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HOW WILL PROXIES BE VOTED IF I GIVE MY AUTHORIZATION?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(i) properly execute your proxy card and return it to us, or (ii) submit your proxy by telephone or via the Internet and do not subsequently revoke your proxy, your shares of common stock will be voted at the Annual Meeting according to your instructions.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absence of voting instructions, the named proxies will vote your shares “FOR” each of the director nominees and “FOR” Proposal 2. If other matters properly come before the Annual Meeting, the named proxies will vote on such matters using their best judgment to the extent permitted by applicable law and Nasdaq and SEC rules and regulations.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WHAT IF MY SHARES ARE NOT REGISTERED IN MY NAME?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OPAL stock you own is held in the name of a bank, broker, or other nominee (commonly referred to as holding shares in “street name”), your bank, broker, or other nominee should have provided you access to these proxy materials by mail or e-mail with information on how to submit your voting instructions. Unless you provide voting instructions to your bank, broker, or other nominee, your shares will not be voted on Proposal 1 (the election of directors). In contrast, brokers may, at their discretion, vote uninstructed shares on Proposal 2 (auditor ratification), which is a “routine” proposal. Broker non-votes count toward a quorum, but otherwise do not affect the outcome of any proposal.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HOW WILL VOTES, ABSTENTIONS, AND BROKER NON-VOTES BE COUNTED?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inspector of election appointed for the Annual Meeting by the Board of Directors will separately tabulate affirmative and negative votes, abstentions, and broker non-votes. Shares represented by proxies that reflect abstentions and broker non-votes are counted for determining whether there is a quorum.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Proposal 1, the election of a director will require that the candidate receive a plurality of the votes cast at the Annual Meeting virtually or by proxy. A “plurality” vote means the candidate who receives the largest number of votes cast (even if they receive less than a majority) will be elected as a director. Because abstentions and broker non-votes are not treated as shares voted, any abstentions and broker non-votes would have no impact on Proposal No.1. Approval of Proposal 2 requires the affirmative vote of a majority of votes cast at the Annual Meeting. For Proposal 1, abstentions and broker non-votes will not be considered in determining whether director nominees have received more “for” votes than “against” votes. Abstentions and broker non-votes are not considered votes cast for the foregoing purpose and therefore do not affect Proposal 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WHAT DOES IT MEAN IF I RECEIVE MORE THAN ONE NOTICE?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receive more than one set of proxy materials, your shares may be registered in more than one name or in different accounts. Please follow the voting instructions for each set of proxy materials to ensure that all of your shares are voted.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IS MY VOTE CONFIDENTIAL?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Yes, your vote is confidential. Only the inspector of elections, individuals who help with processing and counting your votes and persons who need access for legal reasons will have access to your vote. This information will not be disclosed, except as required by law.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WHAT CONSTITUTES A QUORUM?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carry on business at the Annual Meeting, we must have a quorum. A quorum is present when the holders of a majority of the aggregate voting power of the Company’s Class A common stock, Class B common stock and Class D common stock entitled to vote as of the Record Date, are represented in person or by proxy. Thus, because each share of Class A common stock and Class B common stock is entitled to one vote per share, and each share of Class D common stock is entitled to five votes per share, the holders of shares entitled to an aggregate of 132,415,499 votes must be represented in person or by proxy to have a quorum at the Annual Meeting. Your shares will be counted towards the quorum only if you submit a valid proxy (or one is submitted on your behalf by your broker, bank or other nominee) or if you vote in person at the Annual Meeting. Abstentions and broker non-votes will be counted towards the quorum requirement. Shares owned by us are not considered outstanding or considered to be present at the Annual Meeting. If there is not a quorum at the Annual Meeting, the stockholders present or represented at the Annual Meeting may adjourn the Annual Meeting.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WHO IS PAYING FOR THE EXPENSES INVOLVED IN PREPARING AND MAILING THIS PROXY STATEMENT?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expenses involved in preparing, assembling and mailing the proxy materials and all the costs of soliciting proxies will be paid by us. In addition to the solicitation by mail, proxies may be solicited by our officers and other employees by telephone or in person. Such persons will receive no compensation for their services other than their regular salaries. Arrangements will also be made with brokerage houses and other custodians, nominees and fiduciaries to forward solicitation materials to the beneficial owners of the shares held of record by such persons, and we may reimburse such persons for reasonable out of pocket expenses incurred by them in forwarding solicitation materials.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HOW CAN I FIND OUT THE RESULTS OF THE VOTING AT THE ANNUAL MEETING?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Preliminary voting results will be announced at the Annual Meeting. In addition, final voting results will be disclosed in a Current Report on Form 8-K that we expect to file with the SEC within four business days after the Annual Meeting. If final voting results are not available to us in time to file a Form 8-K with the SEC within four business days after the Annual Meeting, we intend to file a Form 8-K to publish preliminary results and, within four business days after the final results are known to us, file an additional Form 8-K to publish the final results.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u w:val="single"/>
        </w:rPr>
        <w:t>DO THE COMPANY</w:t>
      </w:r>
      <w:r>
        <w:rPr>
          <w:color w:val="000000"/>
        </w:rPr>
        <w:t>’</w:t>
      </w:r>
      <w:r>
        <w:rPr>
          <w:rFonts w:ascii="Times New Roman;sans-serif" w:hAnsi="Times New Roman;sans-serif"/>
          <w:b w:val="false"/>
          <w:color w:val="000000"/>
          <w:sz w:val="20"/>
          <w:u w:val="single"/>
        </w:rPr>
        <w:t>S OFFICERS AND DIRECTORS HAVE AN INTEREST IN ANY OF THE MATTERS TO BE ACTED UPON AT THE ANNUAL MEETING?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directors and director nominees have an interest in Proposal 1 (election of directors). Our directors, executive officers, director nominees and affiliates of such persons do not have any interest in Proposal 2 (ratification of the appointment of our auditor).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This Proxy Statement and our 2024 Annual Report on Form 10-K are also available on our Internet website at </w:t>
      </w:r>
      <w:r>
        <w:rPr>
          <w:rFonts w:ascii="Times New Roman;sans-serif" w:hAnsi="Times New Roman;sans-serif"/>
          <w:b w:val="false"/>
          <w:i/>
          <w:color w:val="000000"/>
          <w:sz w:val="20"/>
        </w:rPr>
        <w:t>https://investors.opalfuels.com/</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bookmarkStart w:id="3" w:name="i3361e6fd901a46cda1ffc102cae12adf_115373"/>
      <w:bookmarkEnd w:id="3"/>
      <w:r>
        <w:rPr>
          <w:rFonts w:ascii="Times New Roman;sans-serif" w:hAnsi="Times New Roman;sans-serif"/>
          <w:b/>
          <w:color w:val="000000"/>
          <w:sz w:val="20"/>
        </w:rPr>
        <w:t>PROPOSAL 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ELECTION OF DIRECTORS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currently has seven (7) members. Effective as of the Annual Meeting, the Company has determined that it will reduce the number of directors on its Board to six directors. Mr. Kevin Fogarty has decided not to stand for reelection at the Annual Meeting. Therefore, Mr. Fogarty’s service as a director will terminate as of the Annual Meeting date, or June 18, 2025. Mr. Fogarty’s decision not to stand for reelection is not due to any disagreement with the Company on any matter relating to the Company’s operations, policies, or practices.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nominated the six individuals listed below (each a “Nominee,” and together the “Nominees”). All of the Nominees are current directors. Each Nominee has consented to being named in this proxy statement and has agreed to serve as a director if elected. If any Nominee should become unavailable for election, the proxy may be voted for a substitute nominee selected by the persons named in the proxy or the Board may determine to reduce the size of the Board accordingly. The Board is not aware of any existing circumstances likely to render any Nominee unavailable. Proxies cannot be voted for a greater number of persons than the number of nominees named. Each director will hold office until the 2026 Annual Meeting of Stockholders or until a successor is elected and qualified to serve on the Board or until such director’s earlier death, resignation or removal.</w:t>
      </w:r>
    </w:p>
    <w:p>
      <w:pPr>
        <w:pStyle w:val="TextBody"/>
        <w:bidi w:val="0"/>
        <w:spacing w:before="0" w:after="0"/>
        <w:ind w:left="0" w:right="0" w:firstLine="720"/>
        <w:jc w:val="both"/>
        <w:rPr/>
      </w:pPr>
      <w:r>
        <w:rPr/>
      </w:r>
    </w:p>
    <w:tbl>
      <w:tblPr>
        <w:tblW w:w="6098" w:type="dxa"/>
        <w:jc w:val="center"/>
        <w:tblInd w:w="0" w:type="dxa"/>
        <w:tblLayout w:type="fixed"/>
        <w:tblCellMar>
          <w:top w:w="28" w:type="dxa"/>
          <w:left w:w="28" w:type="dxa"/>
          <w:bottom w:w="28" w:type="dxa"/>
          <w:right w:w="28" w:type="dxa"/>
        </w:tblCellMar>
      </w:tblPr>
      <w:tblGrid>
        <w:gridCol w:w="265"/>
        <w:gridCol w:w="233"/>
        <w:gridCol w:w="233"/>
        <w:gridCol w:w="233"/>
        <w:gridCol w:w="233"/>
        <w:gridCol w:w="233"/>
        <w:gridCol w:w="233"/>
        <w:gridCol w:w="233"/>
        <w:gridCol w:w="23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212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Comora, Chairman</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w:t>
            </w:r>
          </w:p>
        </w:tc>
      </w:tr>
      <w:tr>
        <w:trPr/>
        <w:tc>
          <w:tcPr>
            <w:tcW w:w="21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Betsy L. Battle</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James Martell</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biography of each director nominee: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Mark S. Comora</w:t>
      </w:r>
      <w:r>
        <w:rPr>
          <w:color w:val="000000"/>
        </w:rPr>
        <w:t> </w:t>
      </w:r>
      <w:r>
        <w:rPr>
          <w:rFonts w:ascii="Times New Roman;sans-serif" w:hAnsi="Times New Roman;sans-serif"/>
          <w:b w:val="false"/>
          <w:color w:val="000000"/>
          <w:sz w:val="20"/>
        </w:rPr>
        <w:t>has served as a Chairman of the Board of Directors of the Company since December 2020. Mr. Comora is the Founder and President of Fortistar LLC (“Fortistar”). Since founding Fortistar in 1993, Mr. Comora has led Fortistar’s growth in the decarbonization of power generation, transportation fuels, and industrial processes. Mr. Comora is the chairman of Fortistar’s management and investment committees. Additionally, Mr. Comora currently serves as a member of the Board of Managers at Braven Environmental, LLC (“Braven Environmental”). Mr. Comora is an Officer and Member of the Board of the American Museum of Fly Fishing, the former Chairman of the Board of Directors of Fortistar Sustainable Solutions Corp., 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 our Co-Chief Executive Officer.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Betsy L. Battle</w:t>
      </w:r>
      <w:r>
        <w:rPr>
          <w:color w:val="000000"/>
        </w:rPr>
        <w:t xml:space="preserve"> </w:t>
      </w:r>
      <w:r>
        <w:rPr>
          <w:rFonts w:ascii="Times New Roman;sans-serif" w:hAnsi="Times New Roman;sans-serif"/>
          <w:b w:val="false"/>
          <w:color w:val="000000"/>
          <w:sz w:val="20"/>
        </w:rPr>
        <w:t>has served as a director of the Company since July 2022. Ms. Battle has served since 2009 as Founding Partner and Chief Investment Officer of Lone Peak Partners Management, LP, an investment firm registered with the SEC and NFA. Prior to her founding Lone Peak Partners Management, LP, she was Director of Manager Selection and a member of the Management Committee at Soros Fund Management LLC. Over her eight years there, she managed multibillion dollar portfolios of external hedge funds for the Quantum group of funds and George Soros, and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International Advisory Board of Carolina Performing Arts. Ms. Battle also serves as Treasurer and member of the Board of Directors of the Breast Cancer Research Foundation, as well as a Fellow with the Keenan Institute of Private Enterprise, and a member of the President’s Council of the Peconic Land Trust. Ms. Battle received a BA from the University of North Carolina at Chapel Hill in 1976.</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Scott Dols</w:t>
      </w:r>
      <w:r>
        <w:rPr>
          <w:color w:val="000000"/>
        </w:rPr>
        <w:t xml:space="preserve"> </w:t>
      </w:r>
      <w:r>
        <w:rPr>
          <w:rFonts w:ascii="Times New Roman;sans-serif" w:hAnsi="Times New Roman;sans-serif"/>
          <w:b w:val="false"/>
          <w:color w:val="000000"/>
          <w:sz w:val="20"/>
        </w:rPr>
        <w:t>has served as a director of the Company since July 2022. Mr. Dols is the CEO of several waste-related companies. Mr. Dols is the Founder and, since 2002, has served as CEO of Big Truck Rental, which is a provider of new refuse and roll off rental trucks and provides waste haulers access to the latest model trucks. Mr. Dols is also a past Chairman of the National Waste &amp; Recycling Association and currently serves on the Supplier Board of Governors. Mr. Dols also currently sits on the board of the Environmental Research &amp; Education Foundation, which provides research and educational initiatives that translate directly into action for sustainable waste management practices. Mr. Dols received a BA from the University of Minnesota at Minneapolis in 1983.</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i/>
          <w:color w:val="000000"/>
          <w:sz w:val="20"/>
        </w:rPr>
        <w:t>James Martell</w:t>
      </w:r>
      <w:r>
        <w:rPr>
          <w:color w:val="000000"/>
        </w:rPr>
        <w:t xml:space="preserve"> </w:t>
      </w:r>
      <w:r>
        <w:rPr>
          <w:rFonts w:ascii="Times New Roman;sans-serif" w:hAnsi="Times New Roman;sans-serif"/>
          <w:b w:val="false"/>
          <w:color w:val="000000"/>
          <w:sz w:val="20"/>
        </w:rPr>
        <w:t>has served as a director of the Company since June 2023. Mr. Martell served as Chairman and Chief Executive Officer of Express-1, the predecessor company of XPO Logistics, Inc., a company engaged in freight logistics. Mr. Martell served on the XPO Board until 2016. He joined Express-1 after serving as Chief Executive Officer of SmartMail, which was acquired by DHL International GmbH, from 1999 to 2006. Before that, Mr. Martell was a founding senior executive of UTi Worldwide, a global transportation and logistics company, which he managed from 1995 to 2000. Prior to UTi Worldwide, he spent nearly 14 years in various management positions at FedEx and UPS. Mr. Martell has served on the Boards of multiple private logistics and transportation companies and previously served on the Boards of publicly traded companies Stericycle, Inc. from 2020 to 2022, and Mobile Mini, Inc. from 2010 to 2020. Mr. Martell received an engineering degree from Michigan Tech University in 1972.</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Nadeem Nisar</w:t>
      </w:r>
      <w:r>
        <w:rPr>
          <w:color w:val="000000"/>
        </w:rPr>
        <w:t xml:space="preserve"> </w:t>
      </w:r>
      <w:r>
        <w:rPr>
          <w:rFonts w:ascii="Times New Roman;sans-serif" w:hAnsi="Times New Roman;sans-serif"/>
          <w:b w:val="false"/>
          <w:color w:val="000000"/>
          <w:sz w:val="20"/>
        </w:rPr>
        <w:t>has served as a director the Company since December 2020. Since July 2008, Mr. Nisar has served as a Managing Director of Fortistar and Head of Fortistar’s investment team. Mr. Nisar is a member of Fortistar’s management and investment committees which oversee the operations of Fortistar’s portfolio companies. Mr. Nisar serves on the board of directors of several of Fortistar’s portfolio companies, including CarbonFree Chemicals LLC, Braven Environmental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Ashok Vemuri</w:t>
      </w:r>
      <w:r>
        <w:rPr>
          <w:color w:val="000000"/>
        </w:rPr>
        <w:t xml:space="preserve"> </w:t>
      </w:r>
      <w:r>
        <w:rPr>
          <w:rFonts w:ascii="Times New Roman;sans-serif" w:hAnsi="Times New Roman;sans-serif"/>
          <w:b w:val="false"/>
          <w:color w:val="000000"/>
          <w:sz w:val="20"/>
        </w:rPr>
        <w:t>has served as a director of the Company since July 2022. Since January 2023, Mr. Vemuri has also served on the board of directors of Version 1. From July 2020 to September 2022, Mr. Vemuri served as the Chairman of the board of directors of OSG Billing. He also served as Chief Executive Officer and a Director of Conduent Incorporated, a global digital interactions company, from the company’s inception as a result of the spin-off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holds a Bachelor of Science degree from St. Stephen’s College, Delhi, and received his MBA from the Indian Institute of Management, Ahmedabad. Mr. Vemuri has served as a director for The Kroger Co. (NYSE: KR) since 2019, where he sits on the Audit and Financial Policy Committees.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Family Relationships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co-Chief Executive Officer, Adam Comora, is the son of our Chairman, Mark Comora.</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Involvement in Certain Legal Proceedings</w:t>
      </w: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aware of any of our directors or officers being involved in any legal proceedings in the past ten years required to be disclosed pursuant to Item 401(f) of Regulation S-K.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proceedings to which any director, executive officer or affiliate of the Company, any owner of record or beneficially of more than 5% of any class of voting securities of the Company, or any associate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such director, executive officer, affiliate of the Company, or security holder is a party adverse to the Company or any of its subsidiaries or has a material interest adverse to the Company or any of its subsidiaries.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Arrangements with Officers and Directors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arrangements or understandings with another person pursuant to which any of our executive officers or directors were selected as an executive officer or director, or between any director or director nominee and any person or entity other than the Company relating to compensation or other payment in connection with the director or nominee’s candidacy or service.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also no known arrangements, including any pledge by any person of our securities, the operation of which may result in a change in control.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Vote Required and Board Recommendation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By-Laws, a nominee for director will be elected to the Board by a plurality of the votes cast. A “plurality” vote means the candidate who receives the largest number of votes cast (even if they receive less than a majority) will be elected as a director.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Board unanimously recommends a 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each Nominee for director.</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bookmarkStart w:id="4" w:name="i3361e6fd901a46cda1ffc102cae12adf_118513"/>
      <w:bookmarkEnd w:id="4"/>
      <w:r>
        <w:rPr>
          <w:rFonts w:ascii="Times New Roman;sans-serif" w:hAnsi="Times New Roman;sans-serif"/>
          <w:b/>
          <w:color w:val="000000"/>
          <w:sz w:val="20"/>
        </w:rPr>
        <w:t>BOARD MEETINGS AND COMMITTEES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Meetings of the Board of Directors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held ten meetings in 2024 and took action by written consent on two occasions. The Board of Directors met in executive session five times during 2024. Each Director attended at least 75% of the aggregate meetings of the Board of Directors, and meetings held by all committees on which such Director served, during the period for which such Director served. Directors are invited and anticipated to attend the Company’s Annual Meeting of the Stockholders. All of our directors attended last year’s Annual Meeting of Stockholders.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Martell, Mr. Vemuri and Scott Dols are “independent” as that term is defined under the applicable rules and regulations of the SEC and the listing requirements and rules of Nasdaq.</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Controlled Company Exemption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Comora, through his control of OPAL Holdco LLC (“OPAL Holdco”), beneficially owns a majority of the voting power of all outstanding shares of our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the board in order to achieve such compliance within the applicable transition periods.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Board Oversight of Enterprise Risk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Board’s role in the risk oversight process includes receiving regular reports from members of senior management on areas of material risk to the Company, including operational, financial, legal, and regulatory, cybersecurity and strategic and reputational risks. In connection with its reviews of the operations of the Company’s business and its corporate functions, the Board considers and addresses the primary risks associated with these operations and functions. Our full Board regularly engages in discussions of the most significant risks that the Company is facing and how these risks are being managed.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each of the Board’s committees, and particularly the Audit Committee, plays a key role in overseeing risk management issues that fall within such committee’s areas of responsibility. Senior management reports on at least a quarterly basis to the Audit Committee on the most significant risks facing the Company from a financial reporting perspective and highlights any new risks that may have arisen since the Audit Committee last met. The Audit Committee also meets in executive sessions with the Company’s independent registered public accounting firm and reports any findings or issues to the full Board. In performing its functions, the Audit Committee and the Compensation Committee have full access to management, as well as the ability to engage advisors. The Board receives regular reports from each of its standing committees regarding each committee’s particularized areas of focus.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Committees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board maintains a standing audit committee (the “Audit Committee”) and compensation committee (the “Compensation Committee”). The respective members and functions of the committees are described below. A current charter describing the nature and scope of the responsibilities of the Audit Committee is posted on the Company’s website at </w:t>
      </w:r>
      <w:r>
        <w:rPr>
          <w:rFonts w:ascii="Times New Roman;sans-serif" w:hAnsi="Times New Roman;sans-serif"/>
          <w:b w:val="false"/>
          <w:i/>
          <w:color w:val="000000"/>
          <w:sz w:val="20"/>
        </w:rPr>
        <w:t>https://investors.opalfuels.com/corporate-governance/documents-charters</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tbl>
      <w:tblPr>
        <w:tblW w:w="2969" w:type="dxa"/>
        <w:jc w:val="left"/>
        <w:tblInd w:w="0" w:type="dxa"/>
        <w:tblLayout w:type="fixed"/>
        <w:tblCellMar>
          <w:top w:w="28" w:type="dxa"/>
          <w:left w:w="28" w:type="dxa"/>
          <w:bottom w:w="28" w:type="dxa"/>
          <w:right w:w="28" w:type="dxa"/>
        </w:tblCellMar>
      </w:tblPr>
      <w:tblGrid>
        <w:gridCol w:w="351"/>
        <w:gridCol w:w="309"/>
        <w:gridCol w:w="309"/>
        <w:gridCol w:w="309"/>
        <w:gridCol w:w="309"/>
        <w:gridCol w:w="309"/>
        <w:gridCol w:w="309"/>
        <w:gridCol w:w="309"/>
        <w:gridCol w:w="455"/>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Audit Committee</w:t>
            </w:r>
          </w:p>
        </w:tc>
      </w:tr>
      <w:tr>
        <w:trPr/>
        <w:tc>
          <w:tcPr>
            <w:tcW w:w="296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 meetings: 4</w:t>
            </w:r>
          </w:p>
        </w:tc>
      </w:tr>
      <w:tr>
        <w:trPr/>
        <w:tc>
          <w:tcPr>
            <w:tcW w:w="29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 actions by written consent: 0</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Responsibilities: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Retaining our independent registered public accounting firm, reviewing its independence, and reviewing and approving the planned scope of our annual audit;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and approving any fee arrangements with our independent registered public accounting firm, overseeing its audit work, reviewing and pre-approving any non-audit services that may be performed by our independent registered public accounting firm;</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Reviewing the adequacy of accounting and financial controls and reviewing our critical accounting policies;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and approving any related party transactions.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4"/>
        <w:gridCol w:w="2864"/>
        <w:gridCol w:w="2890"/>
        <w:gridCol w:w="347"/>
        <w:gridCol w:w="347"/>
        <w:gridCol w:w="493"/>
      </w:tblGrid>
      <w:tr>
        <w:trPr/>
        <w:tc>
          <w:tcPr>
            <w:tcW w:w="3264"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9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Members:</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Independent</w:t>
            </w:r>
          </w:p>
        </w:tc>
      </w:tr>
      <w:tr>
        <w:trPr/>
        <w:tc>
          <w:tcPr>
            <w:tcW w:w="9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Ashok Vemuri (Chairman; “audit committee financial expert,” as such term is defined in Item 407(d)(5) of Regulation S-K)</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9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James Martell</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9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Scott Dols</w:t>
            </w:r>
            <w:r>
              <w:rPr>
                <w:color w:val="000000"/>
              </w:rPr>
              <w:t xml:space="preserve"> </w:t>
            </w:r>
            <w:r>
              <w:rPr>
                <w:rFonts w:ascii="Times New Roman;sans-serif" w:hAnsi="Times New Roman;sans-serif"/>
                <w:b w:val="false"/>
                <w:color w:val="000000"/>
                <w:sz w:val="16"/>
              </w:rPr>
              <w:t>(1)</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In 2024, our Audit Committee consisted of Mssrs. Vemuri, Martell and Fogarty. Following the Annual Meeting and subject to his election by our stockholders, Scott Dols will become a member of the Audit Committee.</w:t>
      </w:r>
    </w:p>
    <w:p>
      <w:pPr>
        <w:pStyle w:val="TextBody"/>
        <w:bidi w:val="0"/>
        <w:spacing w:before="0" w:after="0"/>
        <w:jc w:val="left"/>
        <w:rPr/>
      </w:pPr>
      <w:r>
        <w:rPr/>
      </w:r>
    </w:p>
    <w:tbl>
      <w:tblPr>
        <w:tblW w:w="2965" w:type="dxa"/>
        <w:jc w:val="center"/>
        <w:tblInd w:w="0" w:type="dxa"/>
        <w:tblLayout w:type="fixed"/>
        <w:tblCellMar>
          <w:top w:w="28" w:type="dxa"/>
          <w:left w:w="28" w:type="dxa"/>
          <w:bottom w:w="28" w:type="dxa"/>
          <w:right w:w="28" w:type="dxa"/>
        </w:tblCellMar>
      </w:tblPr>
      <w:tblGrid>
        <w:gridCol w:w="352"/>
        <w:gridCol w:w="309"/>
        <w:gridCol w:w="309"/>
        <w:gridCol w:w="309"/>
        <w:gridCol w:w="309"/>
        <w:gridCol w:w="309"/>
        <w:gridCol w:w="309"/>
        <w:gridCol w:w="309"/>
        <w:gridCol w:w="450"/>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Compensation Committee</w:t>
            </w:r>
          </w:p>
        </w:tc>
      </w:tr>
      <w:tr>
        <w:trPr/>
        <w:tc>
          <w:tcPr>
            <w:tcW w:w="296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 meetings: 5</w:t>
            </w:r>
          </w:p>
        </w:tc>
      </w:tr>
      <w:tr>
        <w:trPr/>
        <w:tc>
          <w:tcPr>
            <w:tcW w:w="29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 actions by written consent: 2</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Responsibilities: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and recommending to the Board of Directors the Company’s general compensation strategy;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Reviewing and approving the selection of the Company’s peer companies for executive and Board compensation assessment purposes; </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Reviewing and approving corporate goals and objectives, and evaluating the Company’s performance on an annual basis;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Reviewing and recommending to the Board all forms of compensation (including any awards granted under compensatory plans);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Evaluating and recommending to the Board, the compensation of the Company’s Co-Chief Executive Officers and other executive officers;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and recommending, for approval by the Board, the appropriate level of compensation and fees for Board Committee service by non-employee directors;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recommending, approving and administering matters related to the Company’s equity-based and non-equity-based incentive plans and agreements thereunder.</w:t>
      </w:r>
    </w:p>
    <w:p>
      <w:pPr>
        <w:pStyle w:val="TextBody"/>
        <w:bidi w:val="0"/>
        <w:spacing w:before="0" w:after="0"/>
        <w:jc w:val="left"/>
        <w:rPr/>
      </w:pPr>
      <w:r>
        <w:rPr/>
      </w:r>
    </w:p>
    <w:tbl>
      <w:tblPr>
        <w:tblW w:w="2474" w:type="dxa"/>
        <w:jc w:val="center"/>
        <w:tblInd w:w="0" w:type="dxa"/>
        <w:tblLayout w:type="fixed"/>
        <w:tblCellMar>
          <w:top w:w="28" w:type="dxa"/>
          <w:left w:w="28" w:type="dxa"/>
          <w:bottom w:w="28" w:type="dxa"/>
          <w:right w:w="28" w:type="dxa"/>
        </w:tblCellMar>
      </w:tblPr>
      <w:tblGrid>
        <w:gridCol w:w="160"/>
        <w:gridCol w:w="141"/>
        <w:gridCol w:w="141"/>
        <w:gridCol w:w="141"/>
        <w:gridCol w:w="141"/>
        <w:gridCol w:w="141"/>
        <w:gridCol w:w="141"/>
        <w:gridCol w:w="141"/>
        <w:gridCol w:w="141"/>
        <w:gridCol w:w="125"/>
        <w:gridCol w:w="125"/>
        <w:gridCol w:w="125"/>
        <w:gridCol w:w="125"/>
        <w:gridCol w:w="125"/>
        <w:gridCol w:w="125"/>
        <w:gridCol w:w="125"/>
        <w:gridCol w:w="125"/>
        <w:gridCol w:w="186"/>
      </w:tblGrid>
      <w:tr>
        <w:trPr/>
        <w:tc>
          <w:tcPr>
            <w:tcW w:w="1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Members:</w:t>
            </w:r>
          </w:p>
        </w:tc>
        <w:tc>
          <w:tcPr>
            <w:tcW w:w="118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Independent</w:t>
            </w:r>
          </w:p>
        </w:tc>
      </w:tr>
      <w:tr>
        <w:trPr/>
        <w:tc>
          <w:tcPr>
            <w:tcW w:w="12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Comora</w:t>
            </w:r>
          </w:p>
        </w:tc>
        <w:tc>
          <w:tcPr>
            <w:tcW w:w="118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128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118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1288"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11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How Our Compensation Decisions Are Made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Role of the Board of Directors and Compensation Committee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is responsible for establishing and administering our executive compensation and equity incentive programs. This duty of the Board has been delegated to the Compensation Committee in accordance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Committee’s charter. The Compensation Committee reviews executive performance to establish compensation and approves appropriate modifications to the named executive officers’ compensation. The Compensation Committee evaluates and recommends, for approval by the Board, the annual compensation of the non-employee directors and oversees the equity compensation plans. The Compensation Committee has further delegated to our Co-Chief Executive Officers the authority to determine the recipients and terms of certain equity incentive awards granted to newly-hired service providers (other than executive officers)(the “Delegated Authority Grants”) under our 2022 Omnibus Equity Incentive Plan (the “Equity Incentive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Role of the compensation consultant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last fiscal year, the Compensation Committee retained Korn Ferry to act as its compensation consultant to assist in its evaluation of executive and director compensation. Specifically, Korn Ferry (i) reviewed the Company’s existing compensation programs; (ii) performed market assessment of base salaries, annual bonuses and long-term incentives for the Company’s executive leadership team; (iii) developed a long-term incentive plan for the Company’s executive leadership team; (iv) reviewed director compensation programs; and (v) provided an overview of U.S. compensation practices and market practices.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reviewed the independence of Korn Ferry from management and determined that the compensation consultant was independent.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Role of Management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sole authority to establish annual compensation for the Company’s named executive officers, other than with respect to the Co-Chief Executive Officers and the Delegated Authority Grants, and none of the named executive officers determines his or her own pay.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Director Nominations Process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as a whole is responsible for recommending candidates to serve on the Board and its committees. In considering whether to recommend any particular candidate to serve on the Board or its committees or for inclusion in the Board’s slate of recommended director nominees for election at the Annual Meeting, the Board may take into account many factors, including, but not limited to, personal and professional integrity, experience relevant to the Company’s industry, and diversity of background and experience.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considers stockholder nominees made in accordance with our By-Laws, and evaluates candidates recommended by stockholders in the same manner as all other candidates brought to the attention of the Board. Stockholder recommendations may be submitted to the Board in care of the Corporate Secretary at the address set forth under “Communications with our Board of Directors.”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evaluates each individual in the context of the Board as a whole, with the objective of assembling a group that has the necessary tools to perform its oversight function effectively in light of the Company’s business and structure.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has adopted a Code of Business Conduct and Ethics, which is applicable to the Company’s directors, officers and employees, including the Company’s co-principal executive officers and principal financial officer. The Code of Business Conduct and Ethics is published on the Company’s website at </w:t>
      </w:r>
      <w:r>
        <w:rPr>
          <w:rFonts w:ascii="Times New Roman;sans-serif" w:hAnsi="Times New Roman;sans-serif"/>
          <w:b w:val="false"/>
          <w:i/>
          <w:color w:val="000000"/>
          <w:sz w:val="20"/>
        </w:rPr>
        <w:t>https://investors.opalfuels.com/corporate-governance/documents-charters</w:t>
      </w:r>
      <w:r>
        <w:rPr>
          <w:rFonts w:ascii="Times New Roman;sans-serif" w:hAnsi="Times New Roman;sans-serif"/>
          <w:b w:val="false"/>
          <w:color w:val="000000"/>
          <w:sz w:val="20"/>
        </w:rPr>
        <w:t>. We will disclose amendments to or waivers from our Code of Business Conduct and Ethics on our website in accordance with all applicable laws and regulations.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Anti-hedging/Anti-pledging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prohibit short sales, hedging, and transactions in derivatives of our securities for all directors, officers, and employees. In addition, we prohibit pledging of our stock as collateral by directors and executive officers. We allow for certain portfolio diversification transactions, such as investments in exchange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maintain an Insider Trading Policy that governs purchases, sales, and dispositions of our securities by directors, officers, and employees, that is reasonably designed to promote compliance with SEC regulations, insider trading laws, and Nasdaq listing standards. The policy prohibits, among other things: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 xml:space="preserve">• </w:t>
      </w:r>
      <w:r>
        <w:rPr>
          <w:rFonts w:ascii="Times New Roman;sans-serif" w:hAnsi="Times New Roman;sans-serif"/>
          <w:b w:val="false"/>
          <w:color w:val="000000"/>
          <w:sz w:val="20"/>
        </w:rPr>
        <w:t>Trading in our securities while in possession of Material Nonpublic Information;</w:t>
      </w:r>
    </w:p>
    <w:p>
      <w:pPr>
        <w:pStyle w:val="TextBody"/>
        <w:bidi w:val="0"/>
        <w:spacing w:lineRule="auto" w:line="288" w:before="0" w:after="0"/>
        <w:ind w:left="0" w:right="0" w:firstLine="720"/>
        <w:jc w:val="both"/>
        <w:rPr>
          <w:color w:val="000000"/>
        </w:rPr>
      </w:pPr>
      <w:r>
        <w:rPr>
          <w:color w:val="000000"/>
        </w:rPr>
        <w:t xml:space="preserve">• </w:t>
      </w:r>
      <w:r>
        <w:rPr>
          <w:rFonts w:ascii="Times New Roman;sans-serif" w:hAnsi="Times New Roman;sans-serif"/>
          <w:b w:val="false"/>
          <w:color w:val="000000"/>
          <w:sz w:val="20"/>
        </w:rPr>
        <w:t>Short sales of our securities;</w:t>
      </w:r>
    </w:p>
    <w:p>
      <w:pPr>
        <w:pStyle w:val="TextBody"/>
        <w:bidi w:val="0"/>
        <w:spacing w:lineRule="auto" w:line="288" w:before="0" w:after="0"/>
        <w:ind w:left="0" w:right="0" w:hanging="180"/>
        <w:jc w:val="both"/>
        <w:rPr>
          <w:color w:val="000000"/>
        </w:rPr>
      </w:pPr>
      <w:r>
        <w:rPr>
          <w:color w:val="000000"/>
        </w:rPr>
        <w:t xml:space="preserve">• </w:t>
      </w:r>
      <w:r>
        <w:rPr>
          <w:rFonts w:ascii="Times New Roman;sans-serif" w:hAnsi="Times New Roman;sans-serif"/>
          <w:b w:val="false"/>
          <w:color w:val="000000"/>
          <w:sz w:val="20"/>
        </w:rPr>
        <w:t>Transactions in put options, call options, or other derivative securities, other than the exercise of equity awards issued by us;</w:t>
      </w:r>
    </w:p>
    <w:p>
      <w:pPr>
        <w:pStyle w:val="TextBody"/>
        <w:bidi w:val="0"/>
        <w:spacing w:lineRule="auto" w:line="288" w:before="0" w:after="0"/>
        <w:ind w:left="0" w:right="0" w:firstLine="720"/>
        <w:jc w:val="both"/>
        <w:rPr>
          <w:color w:val="000000"/>
        </w:rPr>
      </w:pPr>
      <w:r>
        <w:rPr>
          <w:color w:val="000000"/>
        </w:rPr>
        <w:t xml:space="preserve">• </w:t>
      </w:r>
      <w:r>
        <w:rPr>
          <w:rFonts w:ascii="Times New Roman;sans-serif" w:hAnsi="Times New Roman;sans-serif"/>
          <w:b w:val="false"/>
          <w:color w:val="000000"/>
          <w:sz w:val="20"/>
        </w:rPr>
        <w:t>Hedging or monetization transactions; and</w:t>
      </w:r>
    </w:p>
    <w:p>
      <w:pPr>
        <w:pStyle w:val="TextBody"/>
        <w:bidi w:val="0"/>
        <w:spacing w:lineRule="auto" w:line="288" w:before="0" w:after="0"/>
        <w:ind w:left="0" w:right="0" w:firstLine="720"/>
        <w:jc w:val="both"/>
        <w:rPr>
          <w:color w:val="000000"/>
        </w:rPr>
      </w:pPr>
      <w:r>
        <w:rPr>
          <w:color w:val="000000"/>
        </w:rPr>
        <w:t xml:space="preserve">• </w:t>
      </w:r>
      <w:r>
        <w:rPr>
          <w:rFonts w:ascii="Times New Roman;sans-serif" w:hAnsi="Times New Roman;sans-serif"/>
          <w:b w:val="false"/>
          <w:color w:val="000000"/>
          <w:sz w:val="20"/>
        </w:rPr>
        <w:t>Margin accounts or pledging transactions, unless expressly permitted by our General Counsel.</w:t>
      </w:r>
    </w:p>
    <w:p>
      <w:pPr>
        <w:pStyle w:val="TextBody"/>
        <w:bidi w:val="0"/>
        <w:spacing w:before="0" w:after="0"/>
        <w:ind w:left="0" w:right="0" w:firstLine="40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help prevent inadvertent violations, executive officers, directors, and designated insiders must obtain pre-clearance from our General Counsel before executing transactions in our securities. Additionally, directors and executive officers are subject to Blackout Periods and Window Period restrictions as outlined in our Insider Trading Policy.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Board Leadership Structure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positions of Co-Chief Executive Officer and Chairman of our Board of Directors are held by three different individuals (Adam Comora and Jonathan Maurer and Mark Comora, respectively). This structure allows our Co-Chief Executive Officers to focus on our day-to-day business while our Chairman leads our Board of Directors in its fundamental role of providing advice to and independent oversight of management. Our Board of Directors believes such separation is appropriate, as it enhances the accountability of the Co-Chief Executive Officers to the Board of Directors and strengthens the independence of the Board of Directors from management.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Communications with our Board of Directors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stockholder who wishes to send a communication to our Board should address the communication either to the Board or to the individual director in care of the Corporate Secretary of OPAL Fuels, Inc. at One North Lexington Ave, White Plains, New York 10601. The Corporate Secretary will forward the communication either to all of the directors, if the communication is addressed to the Board, or to the individual director, if the communication is addressed to a specific director. The Corporate Secretary will forward to the directors all communications that, in his judgment, are appropriate for consideration by the directors. Examples of communications that would not be appropriate for consideration by the directors include commercial solicitations and matters not relevant to the stockholders, to the functioning of the Board, or to the affairs of OPAL.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Nominees for Director and Other Stockholder Proposals for the 2026 Annual Meeting of Stockholders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Proposals for Inclusion in the 2026 Proxy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stockholders present proposals that may be proper subjects for inclusion in the proxy statement and for consideration at an annual meeting. Under SEC rules, in order to be included in the proxy statement for the 2026 Annual Meeting of Stockholders, stockholder proposals submitted under Rule 14a-8 of the Securities and Exchange Act of 1934, as amended (the “Exchange Act”), must be received by our Corporate Secretary at One North Lexington Ave, White Plains, New York 10601 not later than December 26, 2025. Proposals we receive after that date will not be included in the Company’s proxy statement for the 2026 Annual Meeting of Stockholders. In the event the date of the 2026 Annual Meeting of Stockholders has been changed by more than 30 days from the date of the 2025 Annual Meeting, stockholders who intend to have a proposal considered for inclusion in our proxy materials for presentation at our 2026 Annual Meeting of Stockholders must submit the proposal to us at our office with a reasonable time before we begin to print and send our proxy materials for our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Proposals and Nominations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require that a stockholder who otherwise intends to: (i) present a proposal outside of Rule 14a-8 under the Exchange Act; or (ii) nominate a director for our 2026 Annual Meeting of Stockholders, must deliver notice to our Corporate Secretary, in proper written form and in accordance with the requirements of the By-Laws, on or after February 18, 2026 but no later than March 20, 2026; provided, however, in the event that the date of the 2026 Annual Meeting of Stockholders is more than 30 days before or more than 60 days after the anniversary date of the 2025 Annual Meeting, notice by the stockholder must be delivered not earlier than the close of business on the 120th day prior to the date of the 2026 Annual Meeting of Stockholders and not later than the close of business on the later of (i) the 90th day prior to the date of the 2026 Annual Meeting of Stockholders or (ii) the 10th day following the day on which public announcement of the date of the 2026 Annual Meeting of Stockholders is first made by us.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deadline for providing notice to the Company under Rule 14a-19, the SEC’s universal proxy rule, of a shareholder’s intent to solicit proxies in support of nominees submitted under the Company’s advance notice bylaw for our 2026 Annual Meeting is April 19, 2026. Shareholders intending to provide such a notice must comply with all requirements of Rule 14a-19 in addition to all requirements under our By-Laws, including the timing of notice requirements described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bookmarkStart w:id="5" w:name="i3361e6fd901a46cda1ffc102cae12adf_118532"/>
      <w:bookmarkEnd w:id="5"/>
      <w:r>
        <w:rPr>
          <w:rFonts w:ascii="Times New Roman;sans-serif" w:hAnsi="Times New Roman;sans-serif"/>
          <w:b/>
          <w:color w:val="000000"/>
          <w:sz w:val="20"/>
        </w:rPr>
        <w:t>PROPOSAL 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RATIFICATION OF THE APPOINTMENT OF BDO USA, P.C. AS OUR INDEPENDENT REGISTERED PUBLIC ACCOUNTING FIRM FOR FISCAL YEAR 2025</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BDO USA, P.C. (“BDO”) currently serves as the Company’s independent registered public accounting firm and has done so since its appointment in 2016. A representative of BDO is expected to be present at the Meeting, with the opportunity to make a statement if the representative desires to do so and is expected to be available to respond to appropriate questions.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asking our stockholders to ratify the appointment of BDO as our independent registered public accounting firm for the year ending December 31, 2025. Although ratification is not required by our By-Laws or otherwise, our Board is submitting the appointment of BDO to our stockholders for ratification as a matter of good corporate governance. If our stockholders fail to ratify the appointment of BDO, the Audit Committee will consider whether it is appropriate and advisable to appoint a different independent registered public accounting firm. Even if our stockholders ratify the appointment of BDO, the Audit Committee in its discretion may appoint a different registered public accounting firm at any time if it determines that such a change would be in the best interests of our Company and our stockholders.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Auditor Fees and Services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fees billed to the Company by the Company’s independent registered public accountants, BDO, for the year ended December 31, 2024.</w:t>
      </w:r>
    </w:p>
    <w:p>
      <w:pPr>
        <w:pStyle w:val="TextBody"/>
        <w:bidi w:val="0"/>
        <w:spacing w:before="0" w:after="0"/>
        <w:ind w:left="0" w:right="0" w:firstLine="720"/>
        <w:jc w:val="both"/>
        <w:rPr/>
      </w:pPr>
      <w:r>
        <w:rPr/>
      </w:r>
    </w:p>
    <w:tbl>
      <w:tblPr>
        <w:tblW w:w="7077" w:type="dxa"/>
        <w:jc w:val="left"/>
        <w:tblInd w:w="0" w:type="dxa"/>
        <w:tblLayout w:type="fixed"/>
        <w:tblCellMar>
          <w:top w:w="28" w:type="dxa"/>
          <w:left w:w="28" w:type="dxa"/>
          <w:bottom w:w="28" w:type="dxa"/>
          <w:right w:w="28" w:type="dxa"/>
        </w:tblCellMar>
      </w:tblPr>
      <w:tblGrid>
        <w:gridCol w:w="208"/>
        <w:gridCol w:w="183"/>
        <w:gridCol w:w="183"/>
        <w:gridCol w:w="183"/>
        <w:gridCol w:w="183"/>
        <w:gridCol w:w="183"/>
        <w:gridCol w:w="183"/>
        <w:gridCol w:w="183"/>
        <w:gridCol w:w="191"/>
        <w:gridCol w:w="109"/>
        <w:gridCol w:w="109"/>
        <w:gridCol w:w="109"/>
        <w:gridCol w:w="109"/>
        <w:gridCol w:w="109"/>
        <w:gridCol w:w="109"/>
        <w:gridCol w:w="109"/>
        <w:gridCol w:w="109"/>
        <w:gridCol w:w="109"/>
        <w:gridCol w:w="369"/>
        <w:gridCol w:w="281"/>
        <w:gridCol w:w="281"/>
        <w:gridCol w:w="281"/>
        <w:gridCol w:w="283"/>
        <w:gridCol w:w="178"/>
        <w:gridCol w:w="178"/>
        <w:gridCol w:w="178"/>
        <w:gridCol w:w="178"/>
        <w:gridCol w:w="178"/>
        <w:gridCol w:w="178"/>
        <w:gridCol w:w="178"/>
        <w:gridCol w:w="178"/>
        <w:gridCol w:w="178"/>
        <w:gridCol w:w="178"/>
        <w:gridCol w:w="178"/>
        <w:gridCol w:w="178"/>
        <w:gridCol w:w="178"/>
        <w:gridCol w:w="178"/>
        <w:gridCol w:w="178"/>
        <w:gridCol w:w="251"/>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Twelve Months Ended December 31, </w:t>
            </w:r>
          </w:p>
        </w:tc>
      </w:tr>
      <w:tr>
        <w:trPr/>
        <w:tc>
          <w:tcPr>
            <w:tcW w:w="16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680"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 xml:space="preserve">Audit Fees </w:t>
            </w:r>
            <w:r>
              <w:rPr>
                <w:rFonts w:ascii="Times New Roman;sans-serif" w:hAnsi="Times New Roman;sans-serif"/>
                <w:b w:val="false"/>
                <w:color w:val="000000"/>
                <w:sz w:val="13"/>
              </w:rPr>
              <w:t>(1)</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1,443,794 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1518666 </w:t>
            </w:r>
          </w:p>
        </w:tc>
        <w:tc>
          <w:tcPr>
            <w:tcW w:w="6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Audit-Related Fees</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1,443,794 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6"/>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1518666 </w:t>
            </w:r>
          </w:p>
        </w:tc>
        <w:tc>
          <w:tcPr>
            <w:tcW w:w="60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Audit Fees consist of fees billed for professional services rendered in connection with the audit of our annual financial statements and internal control over financial reporting, quarterly review of interim consolidated financial statements and audit services in connection with other statutory and regulatory filings.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Pre-Approval</w:t>
      </w:r>
      <w:r>
        <w:rPr>
          <w:color w:val="000000"/>
        </w:rPr>
        <w:t> </w:t>
      </w:r>
      <w:r>
        <w:rPr>
          <w:rFonts w:ascii="Times New Roman;sans-serif" w:hAnsi="Times New Roman;sans-serif"/>
          <w:b/>
          <w:color w:val="000000"/>
          <w:sz w:val="20"/>
        </w:rPr>
        <w:t>Policies and Procedures for Audit and Permitted</w:t>
      </w:r>
      <w:r>
        <w:rPr>
          <w:color w:val="000000"/>
        </w:rPr>
        <w:t> </w:t>
      </w:r>
      <w:r>
        <w:rPr>
          <w:rFonts w:ascii="Times New Roman;sans-serif" w:hAnsi="Times New Roman;sans-serif"/>
          <w:b/>
          <w:color w:val="000000"/>
          <w:sz w:val="20"/>
        </w:rPr>
        <w:t>Non-Audit</w:t>
      </w:r>
      <w:r>
        <w:rPr>
          <w:color w:val="000000"/>
        </w:rPr>
        <w:t> </w:t>
      </w:r>
      <w:r>
        <w:rPr>
          <w:rFonts w:ascii="Times New Roman;sans-serif" w:hAnsi="Times New Roman;sans-serif"/>
          <w:b/>
          <w:color w:val="000000"/>
          <w:sz w:val="20"/>
        </w:rPr>
        <w:t>Services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is responsible for pre-approving all auditing services and permitted non-audit services (including the fees for such services and terms thereof) to be performed for the Company by its independent registered public accounting firm. The Audit Committee is also responsible for considering whether the independent registered public accounting firm’s performance of permissible non-audit services is compatible with its independence. The Audit Committee chairman has authority to grant pre-approvals of audit and permissible non-audit services by the independent registered public accounting firm provided that all pre-approvals by the chairman must be presented to the full Audit Committee at its next scheduled meeting. Consistent with these policies and procedures, the Audit Committee approved all of the services rendered by the applicable auditors for the year ending December 31, 2024, as described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Vote Required and Board Recommendation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Proposal 2 requires the affirmative vote of the holders of a majority in voting power of the stock which are present in person or by proxy at the Meeting and entitled to vote.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Board recommends that you 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ratification of the appointment of BDO as our independent registered public accounting firm for the year ending December 31, 2025.</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bookmarkStart w:id="6" w:name="i3361e6fd901a46cda1ffc102cae12adf_118514"/>
      <w:bookmarkEnd w:id="6"/>
      <w:r>
        <w:rPr>
          <w:rFonts w:ascii="Times New Roman;sans-serif" w:hAnsi="Times New Roman;sans-serif"/>
          <w:b/>
          <w:color w:val="000000"/>
          <w:sz w:val="20"/>
        </w:rPr>
        <w:t>REPORT OF THE AUDIT COMMITTEE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reviews the Company’s financial reporting process on behalf of the Board. Management has the primary responsibility for establishing and maintaining adequate internal control over financial reporting, for preparing the financial statements and for the report process. The Audit Committee members do not serve as professional accountants or auditors, and their functions are not intended to duplicate or to certify the activities of management or the independent registered public accounting firm. The Company has engaged BDO USA, P.C. (“BDO”) as its independent registered public accounting firm to report on the conformity of the Company’s financial statements to accounting principles generally accepted in the United States. In this context, the Audit Committee hereby reports as follows:</w:t>
      </w:r>
    </w:p>
    <w:p>
      <w:pPr>
        <w:pStyle w:val="TextBody"/>
        <w:bidi w:val="0"/>
        <w:spacing w:before="0" w:after="0"/>
        <w:ind w:left="0" w:right="0" w:firstLine="720"/>
        <w:jc w:val="both"/>
        <w:rPr/>
      </w:pPr>
      <w:r>
        <w:rPr/>
      </w:r>
    </w:p>
    <w:tbl>
      <w:tblPr>
        <w:tblW w:w="10032" w:type="dxa"/>
        <w:jc w:val="left"/>
        <w:tblInd w:w="0" w:type="dxa"/>
        <w:tblLayout w:type="fixed"/>
        <w:tblCellMar>
          <w:top w:w="28" w:type="dxa"/>
          <w:left w:w="28" w:type="dxa"/>
          <w:bottom w:w="28" w:type="dxa"/>
          <w:right w:w="28" w:type="dxa"/>
        </w:tblCellMar>
      </w:tblPr>
      <w:tblGrid>
        <w:gridCol w:w="124"/>
        <w:gridCol w:w="109"/>
        <w:gridCol w:w="109"/>
        <w:gridCol w:w="2835"/>
        <w:gridCol w:w="2835"/>
        <w:gridCol w:w="40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40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has reviewed and discussed the audited financial statements with management of the Company.</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224"/>
        <w:gridCol w:w="948"/>
        <w:gridCol w:w="948"/>
        <w:gridCol w:w="948"/>
        <w:gridCol w:w="948"/>
        <w:gridCol w:w="948"/>
        <w:gridCol w:w="948"/>
        <w:gridCol w:w="948"/>
        <w:gridCol w:w="13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also discussed with BDO matters required to be discussed by the Public Company Accounting Oversight Board (the “PCAOB”) and the SEC.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has also received the written disclosures and the letter from BDO required by applicable requirements of the PCAOB regarding BDO’s communications with the Audit Committee concerning independence and the Audit Committee has discussed the independence of BDO with that firm.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reviews and discussions referred to above, the Audit Committee recommended to the Board and the Board approved the inclusion of the audited financial statements for the year ended December 31, 2024 in the Company’s Annual Report on Form 10-K for the year ended December 31, 2024 filed with the SEC on March 17, 2025.</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has been furnished by the Audit Committee:</w:t>
      </w:r>
    </w:p>
    <w:p>
      <w:pPr>
        <w:pStyle w:val="TextBody"/>
        <w:bidi w:val="0"/>
        <w:spacing w:before="0" w:after="0"/>
        <w:jc w:val="left"/>
        <w:rPr/>
      </w:pPr>
      <w:r>
        <w:rPr/>
      </w:r>
    </w:p>
    <w:p>
      <w:pPr>
        <w:pStyle w:val="TextBody"/>
        <w:bidi w:val="0"/>
        <w:spacing w:lineRule="auto" w:line="288" w:before="0" w:after="0"/>
        <w:ind w:left="0" w:right="0" w:firstLine="1140"/>
        <w:jc w:val="left"/>
        <w:rPr>
          <w:rFonts w:ascii="Times New Roman;sans-serif" w:hAnsi="Times New Roman;sans-serif"/>
          <w:b w:val="false"/>
          <w:i/>
          <w:color w:val="000000"/>
          <w:sz w:val="20"/>
        </w:rPr>
      </w:pPr>
      <w:r>
        <w:rPr>
          <w:rFonts w:ascii="Times New Roman;sans-serif" w:hAnsi="Times New Roman;sans-serif"/>
          <w:b w:val="false"/>
          <w:i/>
          <w:color w:val="000000"/>
          <w:sz w:val="20"/>
        </w:rPr>
        <w:t>Ashok Vemuri (Chairman)</w:t>
      </w:r>
    </w:p>
    <w:p>
      <w:pPr>
        <w:pStyle w:val="TextBody"/>
        <w:bidi w:val="0"/>
        <w:spacing w:lineRule="auto" w:line="288" w:before="0" w:after="0"/>
        <w:ind w:left="0" w:right="0" w:firstLine="1140"/>
        <w:jc w:val="left"/>
        <w:rPr>
          <w:rFonts w:ascii="Times New Roman;sans-serif" w:hAnsi="Times New Roman;sans-serif"/>
          <w:b w:val="false"/>
          <w:i/>
          <w:color w:val="000000"/>
          <w:sz w:val="20"/>
        </w:rPr>
      </w:pPr>
      <w:r>
        <w:rPr>
          <w:rFonts w:ascii="Times New Roman;sans-serif" w:hAnsi="Times New Roman;sans-serif"/>
          <w:b w:val="false"/>
          <w:i/>
          <w:color w:val="000000"/>
          <w:sz w:val="20"/>
        </w:rPr>
        <w:t>James Martell</w:t>
      </w:r>
    </w:p>
    <w:p>
      <w:pPr>
        <w:pStyle w:val="TextBody"/>
        <w:bidi w:val="0"/>
        <w:spacing w:lineRule="auto" w:line="288" w:before="0" w:after="0"/>
        <w:ind w:left="0" w:right="0" w:firstLine="1140"/>
        <w:jc w:val="left"/>
        <w:rPr>
          <w:rFonts w:ascii="Times New Roman;sans-serif" w:hAnsi="Times New Roman;sans-serif"/>
          <w:b w:val="false"/>
          <w:i/>
          <w:color w:val="000000"/>
          <w:sz w:val="20"/>
        </w:rPr>
      </w:pPr>
      <w:r>
        <w:rPr>
          <w:rFonts w:ascii="Times New Roman;sans-serif" w:hAnsi="Times New Roman;sans-serif"/>
          <w:b w:val="false"/>
          <w:i/>
          <w:color w:val="000000"/>
          <w:sz w:val="20"/>
        </w:rPr>
        <w:t>Kevin M. Fogarty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“Audit Committee Report” is not “Soliciting Material,” and is not deemed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bookmarkStart w:id="7" w:name="i3361e6fd901a46cda1ffc102cae12adf_118515"/>
      <w:bookmarkEnd w:id="7"/>
      <w:r>
        <w:rPr>
          <w:rFonts w:ascii="Times New Roman;sans-serif" w:hAnsi="Times New Roman;sans-serif"/>
          <w:b/>
          <w:color w:val="000000"/>
          <w:sz w:val="20"/>
        </w:rPr>
        <w:t>EXECUTIVE OFFICERS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officers 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before="0" w:after="0"/>
        <w:jc w:val="left"/>
        <w:rPr/>
      </w:pPr>
      <w:r>
        <w:rPr/>
      </w:r>
    </w:p>
    <w:tbl>
      <w:tblPr>
        <w:tblW w:w="6790" w:type="dxa"/>
        <w:jc w:val="left"/>
        <w:tblInd w:w="0" w:type="dxa"/>
        <w:tblLayout w:type="fixed"/>
        <w:tblCellMar>
          <w:top w:w="28" w:type="dxa"/>
          <w:left w:w="28" w:type="dxa"/>
          <w:bottom w:w="28" w:type="dxa"/>
          <w:right w:w="28" w:type="dxa"/>
        </w:tblCellMar>
      </w:tblPr>
      <w:tblGrid>
        <w:gridCol w:w="184"/>
        <w:gridCol w:w="162"/>
        <w:gridCol w:w="162"/>
        <w:gridCol w:w="162"/>
        <w:gridCol w:w="162"/>
        <w:gridCol w:w="162"/>
        <w:gridCol w:w="162"/>
        <w:gridCol w:w="162"/>
        <w:gridCol w:w="162"/>
        <w:gridCol w:w="109"/>
        <w:gridCol w:w="109"/>
        <w:gridCol w:w="109"/>
        <w:gridCol w:w="109"/>
        <w:gridCol w:w="109"/>
        <w:gridCol w:w="109"/>
        <w:gridCol w:w="109"/>
        <w:gridCol w:w="109"/>
        <w:gridCol w:w="109"/>
        <w:gridCol w:w="258"/>
        <w:gridCol w:w="258"/>
        <w:gridCol w:w="258"/>
        <w:gridCol w:w="258"/>
        <w:gridCol w:w="258"/>
        <w:gridCol w:w="258"/>
        <w:gridCol w:w="258"/>
        <w:gridCol w:w="258"/>
        <w:gridCol w:w="258"/>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9"/>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 with OPAL</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r>
      <w:tr>
        <w:trPr/>
        <w:tc>
          <w:tcPr>
            <w:tcW w:w="148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148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14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148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Kazi Hasan</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14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Darrell Birck</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148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14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Unger</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Adam Comora</w:t>
      </w:r>
      <w:r>
        <w:rPr>
          <w:color w:val="000000"/>
        </w:rPr>
        <w:t xml:space="preserve"> </w:t>
      </w:r>
      <w:r>
        <w:rPr>
          <w:rFonts w:ascii="Times New Roman;sans-serif" w:hAnsi="Times New Roman;sans-serif"/>
          <w:b w:val="false"/>
          <w:color w:val="000000"/>
          <w:sz w:val="20"/>
        </w:rPr>
        <w:t>has served as Co-Chief Executive Officer of the Company since it was formed in December 2020. From February 2011 until January 1, 2022, Mr. Comora was with Fortistar, a privately-owned investment firm that provides capital to build, grow and manage companies that address complex sustainability challenges, where among other positions he served as President and Chief Executive Officer of TruStar Energy (now the dispensing and monetization segment of OPAL Fuels). Prior to joining Fortistar, Mr. Comora was a partner at EnTrust Capital, an asset management firm based in New York City from 1998 to 2011 where he was an integral part of the investment team managing long only equities, a long/short strategy, and a fund of funds. While at EnTrust, assets under management grew from $1 billion to $6 billion. Prior to EnTrust, Mr. Comora was an Analyst and Associate at JP Morgan Investment Bank from 1994 to 1998. Mr. Comora received his Bachelor of Arts in Economics and Government from Cornell University.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Jonathan Maurer</w:t>
      </w:r>
      <w:r>
        <w:rPr>
          <w:color w:val="000000"/>
        </w:rPr>
        <w:t xml:space="preserve"> </w:t>
      </w:r>
      <w:r>
        <w:rPr>
          <w:rFonts w:ascii="Times New Roman;sans-serif" w:hAnsi="Times New Roman;sans-serif"/>
          <w:b w:val="false"/>
          <w:color w:val="000000"/>
          <w:sz w:val="20"/>
        </w:rPr>
        <w:t>has served as the Co-Chief Executive Officer of the Company since it was formed in December 2020. Previously, Mr. Maurer worked for over thirty years at our parent company, Fortistar, a privately-owned investment firm that provides capital to build, grow and manage companies that address complex sustainability challenges. There he was Managing Director and Co-Head of Fortistar’s Investment Team and led all management and investment activities associated with Fortistar’s renewable natural gas, landfill gas to power, and biomass energy investments. Mr. Maurer also served as a member of Fortistar’s management and investment committees. Prior to Fortistar, Mr. Maurer was a commercial banker with JP Morgan Chase &amp; Co. Mr. Maurer has an MBA from Columbia Business School and a Bachelor of Arts from St. Lawrence University.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John Coghlin</w:t>
      </w:r>
      <w:r>
        <w:rPr>
          <w:color w:val="000000"/>
        </w:rPr>
        <w:t xml:space="preserve"> </w:t>
      </w:r>
      <w:r>
        <w:rPr>
          <w:rFonts w:ascii="Times New Roman;sans-serif" w:hAnsi="Times New Roman;sans-serif"/>
          <w:b w:val="false"/>
          <w:color w:val="000000"/>
          <w:sz w:val="20"/>
        </w:rPr>
        <w:t>has served as General Counsel of the Company since June 2021. From 2014 until May 2021, Mr. Coghlin served as Senior Vice President and General Counsel of Colt Defense LLC, a manufacturing firm based in West Hartford, Connecticut. From 2007 to 2014, he served as the Chief Operating Officer and General Counsel at Healthcor Group, a global registered investment advisor. Prior to Healthcor, Mr. Coghlin served as Senior Vice President and General Counsel of the Operations Division of Citizens Financial Group. He began his career as an associate with the law firm of Rogers &amp; Wells (currently known as Clifford Chance). Mr. Coghlin received his Juris Doctorate from Boston College School of Law and his Bachelor of Arts from Tufts University.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Kazi Hasan</w:t>
      </w:r>
      <w:r>
        <w:rPr>
          <w:color w:val="000000"/>
        </w:rPr>
        <w:t xml:space="preserve"> </w:t>
      </w:r>
      <w:r>
        <w:rPr>
          <w:rFonts w:ascii="Times New Roman;sans-serif" w:hAnsi="Times New Roman;sans-serif"/>
          <w:b w:val="false"/>
          <w:color w:val="000000"/>
          <w:sz w:val="20"/>
        </w:rPr>
        <w:t>has served as Chief Financial Officer of the Company since February 2025. Prior to joining the Company, Mr. Hasan served from January to July 2024 as a Senior Advisor at Fluence Energy, Inc. (Nasdaq: FLNC), and from 2018 to 2024 as Executive Vice President and Chief Financial Officer for Puget Sound Energy and Cleco, energy utilities in Washington and Louisiana, respectively. Prior to these roles, Mr. Hasan spent more than two decades with AES (NYSE: AES) in senior global and regional executive roles, including Global Chief Risk Officer. Mr. Hasan has also previously served on the boards of directors of various public and private companies. Mr. Hasan is a Chartered Financial Analyst and holds an Engineering degree and multiple Masters degrees in Business Administration and Leadership.</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Darrell Birck</w:t>
      </w:r>
      <w:r>
        <w:rPr>
          <w:color w:val="000000"/>
        </w:rPr>
        <w:t xml:space="preserve"> </w:t>
      </w:r>
      <w:r>
        <w:rPr>
          <w:rFonts w:ascii="Times New Roman;sans-serif" w:hAnsi="Times New Roman;sans-serif"/>
          <w:b w:val="false"/>
          <w:color w:val="000000"/>
          <w:sz w:val="20"/>
        </w:rPr>
        <w:t>has served as Executive Vice President of the Company since December 2024. Prior to joining the Company, Mr. Birck served for over a decade at Koch Industries, including as Senior Vice President for Project Operations at DEPCOM Power, a leading solar energy solutions provider. Before DEPCOM, Mr. Birck was a Senior Director of Operations at Georgia Pacific Corrugated, one of the world’s leading manufacturers of tissue, pulp, packaging, and building products, and Vice President of Operations for Biofuels &amp; Ingredients at Flint Hill Resources, overseeing eight biorefineries. Mr. Birck previously spent 19 years with Cytec Solvay Group, leading operations at chemical manufacturing facilities.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Scott Edelbach</w:t>
      </w:r>
      <w:r>
        <w:rPr>
          <w:color w:val="000000"/>
        </w:rPr>
        <w:t xml:space="preserve"> </w:t>
      </w:r>
      <w:r>
        <w:rPr>
          <w:rFonts w:ascii="Times New Roman;sans-serif" w:hAnsi="Times New Roman;sans-serif"/>
          <w:b w:val="false"/>
          <w:color w:val="000000"/>
          <w:sz w:val="20"/>
        </w:rPr>
        <w:t>has served as Executive Vice President of the Company since December 2020. Mr. Edelbach was a founder of TruStar Energy which was formed in 2009. Prior to joining TruStar Energy, Mr. Edelbach worked at Oshkosh Truck Corporation for 18 years where his last position was Vice President of the Refuse Division. At Oshkosh Truck Corporation, Mr. Edelbach led the company to become the first major original equipment manufacturer in the U.S. to build and integrate natural gas fuel systems into large class 8 trucks. He was part of the development teams creating heavy duty electric hybrid chassis and utility bodies, such as garbage trucks and concrete mixers, that were to be used for commercial application nationally and in European markets. Mr. Edelbach received his Bachelor’s in Business Management from Southwestern University.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David Unger</w:t>
      </w:r>
      <w:r>
        <w:rPr>
          <w:color w:val="000000"/>
        </w:rPr>
        <w:t xml:space="preserve"> </w:t>
      </w:r>
      <w:r>
        <w:rPr>
          <w:rFonts w:ascii="Times New Roman;sans-serif" w:hAnsi="Times New Roman;sans-serif"/>
          <w:b w:val="false"/>
          <w:color w:val="000000"/>
          <w:sz w:val="20"/>
        </w:rPr>
        <w:t>has served as Executive Vice President of the Company since December 2020. Mr. Unger served at Fortistar from February 2018 until January 1, 2022, where he served as a Senior Vice President. Mr. Unger previously worked for Waste Management, Inc. for 23 years and developed their renewable natural gas (RNG) and compressed natural gas (CNG) monetization lines of business. Mr. Unger has developed over 70 renewable energy facilities, including RNG, landfill gas (LFG) to electricity, and solar. Mr. Unger managed Waste Management’s California CNG truck assets, monetizing both internally produced RNG and third-party sourced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officers are elected annually and serve at the discretion of the Board of Directors. Except as described elsewhere in this proxy statement, there are no family relationships among any of our executive officers and directors. There have been no material proceedings to which any director, executive officer or affiliate of the Company, any owner of record or beneficially of more than five percent of any class of voting securities of the Company, or any associate of any such director, executive officer, affiliate of the Company, or security holder is a party adverse to the Company or any of its subsidiaries or has a material interest adverse to the Company or any of its subsidiaries. There are no arrangements or understandings with another person pursuant to which any of our executive officers or directors were selected as an executive officer or director. None of our current directors or executive officers have been, during the past 10 years, involved in any legal proceedings required to be disclosed pursuant to Item 401(f) of Regulation S-K.</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bookmarkStart w:id="8" w:name="i3361e6fd901a46cda1ffc102cae12adf_118516"/>
      <w:bookmarkEnd w:id="8"/>
      <w:r>
        <w:rPr>
          <w:rFonts w:ascii="Times New Roman;sans-serif" w:hAnsi="Times New Roman;sans-serif"/>
          <w:b/>
          <w:color w:val="000000"/>
          <w:sz w:val="20"/>
        </w:rPr>
        <w:t>EXECUTIVE COMPENSATION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following section describes our compensation program for 2024 and the compensation of our Co-Chief Executive Officers and other two most highly compensated executive officers (collectively, the “</w:t>
      </w:r>
      <w:r>
        <w:rPr>
          <w:rFonts w:ascii="Times New Roman;sans-serif" w:hAnsi="Times New Roman;sans-serif"/>
          <w:b/>
          <w:i/>
          <w:color w:val="000000"/>
          <w:sz w:val="20"/>
        </w:rPr>
        <w:t>Named Executive</w:t>
      </w:r>
      <w:r>
        <w:rPr>
          <w:color w:val="000000"/>
        </w:rPr>
        <w:t> </w:t>
      </w:r>
      <w:r>
        <w:rPr>
          <w:rFonts w:ascii="Times New Roman;sans-serif" w:hAnsi="Times New Roman;sans-serif"/>
          <w:b/>
          <w:i/>
          <w:color w:val="000000"/>
          <w:sz w:val="20"/>
        </w:rPr>
        <w:t>Officers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NEOs</w:t>
      </w:r>
      <w:r>
        <w:rPr>
          <w:color w:val="000000"/>
        </w:rPr>
        <w:t>”</w:t>
      </w:r>
      <w:r>
        <w:rPr>
          <w:rFonts w:ascii="Times New Roman;sans-serif" w:hAnsi="Times New Roman;sans-serif"/>
          <w:b w:val="false"/>
          <w:color w:val="000000"/>
          <w:sz w:val="20"/>
        </w:rPr>
        <w:t>) during 2024. For 2024, the following individuals were our Named Executive Officers (each a “</w:t>
      </w:r>
      <w:r>
        <w:rPr>
          <w:rFonts w:ascii="Times New Roman;sans-serif" w:hAnsi="Times New Roman;sans-serif"/>
          <w:b/>
          <w:i/>
          <w:color w:val="000000"/>
          <w:sz w:val="20"/>
        </w:rPr>
        <w:t>Named Executive Officer</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NEO</w:t>
      </w:r>
      <w:r>
        <w:rPr>
          <w:color w:val="000000"/>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Adam Comora, Co-Chief Executive Officer</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Jonathan Maurer, Co-Chief Executive Officer</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John Coghlin, General Counsel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Dave Unger, Executive Vice President</w:t>
      </w:r>
    </w:p>
    <w:p>
      <w:pPr>
        <w:pStyle w:val="TextBody"/>
        <w:bidi w:val="0"/>
        <w:spacing w:before="0" w:after="0"/>
        <w:ind w:left="0" w:right="0" w:hanging="360"/>
        <w:jc w:val="both"/>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Detailed information on the compensation for our NEOs is presented in the following tables and accompanying narrative.</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SUMMARY COMPENSATION TABLE </w:t>
      </w:r>
    </w:p>
    <w:p>
      <w:pPr>
        <w:pStyle w:val="TextBody"/>
        <w:bidi w:val="0"/>
        <w:spacing w:before="0" w:after="0"/>
        <w:jc w:val="center"/>
        <w:rPr/>
      </w:pPr>
      <w:r>
        <w:rPr/>
      </w:r>
    </w:p>
    <w:tbl>
      <w:tblPr>
        <w:tblW w:w="13072" w:type="dxa"/>
        <w:jc w:val="left"/>
        <w:tblInd w:w="0" w:type="dxa"/>
        <w:tblLayout w:type="fixed"/>
        <w:tblCellMar>
          <w:top w:w="28" w:type="dxa"/>
          <w:left w:w="28" w:type="dxa"/>
          <w:bottom w:w="28" w:type="dxa"/>
          <w:right w:w="28" w:type="dxa"/>
        </w:tblCellMar>
      </w:tblPr>
      <w:tblGrid>
        <w:gridCol w:w="448"/>
        <w:gridCol w:w="248"/>
        <w:gridCol w:w="250"/>
        <w:gridCol w:w="109"/>
        <w:gridCol w:w="109"/>
        <w:gridCol w:w="109"/>
        <w:gridCol w:w="174"/>
        <w:gridCol w:w="174"/>
        <w:gridCol w:w="178"/>
        <w:gridCol w:w="109"/>
        <w:gridCol w:w="109"/>
        <w:gridCol w:w="109"/>
        <w:gridCol w:w="260"/>
        <w:gridCol w:w="260"/>
        <w:gridCol w:w="261"/>
        <w:gridCol w:w="109"/>
        <w:gridCol w:w="109"/>
        <w:gridCol w:w="109"/>
        <w:gridCol w:w="109"/>
        <w:gridCol w:w="109"/>
        <w:gridCol w:w="109"/>
        <w:gridCol w:w="260"/>
        <w:gridCol w:w="260"/>
        <w:gridCol w:w="261"/>
        <w:gridCol w:w="109"/>
        <w:gridCol w:w="109"/>
        <w:gridCol w:w="109"/>
        <w:gridCol w:w="109"/>
        <w:gridCol w:w="109"/>
        <w:gridCol w:w="109"/>
        <w:gridCol w:w="312"/>
        <w:gridCol w:w="312"/>
        <w:gridCol w:w="307"/>
        <w:gridCol w:w="110"/>
        <w:gridCol w:w="110"/>
        <w:gridCol w:w="111"/>
        <w:gridCol w:w="109"/>
        <w:gridCol w:w="109"/>
        <w:gridCol w:w="109"/>
        <w:gridCol w:w="287"/>
        <w:gridCol w:w="287"/>
        <w:gridCol w:w="207"/>
        <w:gridCol w:w="110"/>
        <w:gridCol w:w="110"/>
        <w:gridCol w:w="111"/>
        <w:gridCol w:w="182"/>
        <w:gridCol w:w="182"/>
        <w:gridCol w:w="182"/>
        <w:gridCol w:w="182"/>
        <w:gridCol w:w="182"/>
        <w:gridCol w:w="186"/>
        <w:gridCol w:w="109"/>
        <w:gridCol w:w="109"/>
        <w:gridCol w:w="109"/>
        <w:gridCol w:w="182"/>
        <w:gridCol w:w="182"/>
        <w:gridCol w:w="182"/>
        <w:gridCol w:w="182"/>
        <w:gridCol w:w="182"/>
        <w:gridCol w:w="186"/>
        <w:gridCol w:w="109"/>
        <w:gridCol w:w="109"/>
        <w:gridCol w:w="109"/>
        <w:gridCol w:w="676"/>
        <w:gridCol w:w="550"/>
        <w:gridCol w:w="327"/>
        <w:gridCol w:w="976"/>
      </w:tblGrid>
      <w:tr>
        <w:trPr/>
        <w:tc>
          <w:tcPr>
            <w:tcW w:w="4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Salary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Bonus ($)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 ($)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 ($) (4)</w:t>
            </w:r>
          </w:p>
        </w:tc>
        <w:tc>
          <w:tcPr>
            <w:tcW w:w="109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 equity incentive plan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Nonqualified deferred compensation earnings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compensation ($)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 Co-Chief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591,808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w:t>
            </w:r>
          </w:p>
        </w:tc>
        <w:tc>
          <w:tcPr>
            <w:tcW w:w="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w:t>
            </w:r>
          </w:p>
        </w:tc>
        <w:tc>
          <w:tcPr>
            <w:tcW w:w="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3,006,808</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568,269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422,000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1,200,011 </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300,004 </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2,490,284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 Co-Chief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591,808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w:t>
            </w:r>
          </w:p>
        </w:tc>
        <w:tc>
          <w:tcPr>
            <w:tcW w:w="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w:t>
            </w:r>
          </w:p>
        </w:tc>
        <w:tc>
          <w:tcPr>
            <w:tcW w:w="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24,502</w:t>
            </w:r>
          </w:p>
        </w:tc>
        <w:tc>
          <w:tcPr>
            <w:tcW w:w="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3,031,310</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568,269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422,000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1,200,011 </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300,004 </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26,971 </w:t>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2,517,255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Unger, Executive Vice 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385,962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560,000</w:t>
            </w:r>
          </w:p>
        </w:tc>
        <w:tc>
          <w:tcPr>
            <w:tcW w:w="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w:t>
            </w:r>
          </w:p>
        </w:tc>
        <w:tc>
          <w:tcPr>
            <w:tcW w:w="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21,918</w:t>
            </w:r>
          </w:p>
        </w:tc>
        <w:tc>
          <w:tcPr>
            <w:tcW w:w="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1,285,880</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367,502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162,000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1,800,016 </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75,002 </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23,700 </w:t>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2,428,220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 General Counsel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411,692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1,360,000</w:t>
            </w:r>
          </w:p>
        </w:tc>
        <w:tc>
          <w:tcPr>
            <w:tcW w:w="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w:t>
            </w:r>
          </w:p>
        </w:tc>
        <w:tc>
          <w:tcPr>
            <w:tcW w:w="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9,908</w:t>
            </w:r>
          </w:p>
        </w:tc>
        <w:tc>
          <w:tcPr>
            <w:tcW w:w="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2,169,600</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390,308 </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140,000 </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785,017 </w:t>
            </w:r>
          </w:p>
        </w:tc>
        <w:tc>
          <w:tcPr>
            <w:tcW w:w="3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140,000 </w:t>
            </w:r>
          </w:p>
        </w:tc>
        <w:tc>
          <w:tcPr>
            <w:tcW w:w="3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11,920 </w:t>
            </w:r>
          </w:p>
        </w:tc>
        <w:tc>
          <w:tcPr>
            <w:tcW w:w="55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1,467,245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04"/>
        <w:gridCol w:w="2796"/>
        <w:gridCol w:w="39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39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cash discretionary bonuses paid under the STIP to NEOs in 2024 and 2023. Please see additional information below in the section “Narrative Disclosure to the Summary Compensation Table”.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2023 and March 31, 2024, the Company granted time-based restricted stock units convertible into Class A common stock to all NEOs. The amounts shown above reflect the aggregate grant date fair value of such awards computed in accordance with the FASB’s ASC Topic 718. The assumptions used in calculating these amounts are incorporated herein by reference to Note 17. Stock based compensation, to the Company’s consolidated financial statements, set forth in our Annual Report on Form 10-K for the year ended December 31,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2023 and March 31, 2024, the Company granted performance-based restricted stock unit awards, convertible into Class A common stock, to all NEOs. The amounts shown above reflect the aggregate grant date fair value of such PRSU awards computed in accordance with the FASB’s ASC Topic 718. The assumptions used in calculating these amounts are incorporated herein by reference to Note 17. Stock based compensation, to the Company’s consolidated financial statements, set forth in our Annual Report on Form 10-K for the year ended December 31, 2024. For each PRSU, the table above sets forth both the grant date fair value assuming the most probable outcome of performance conditions, and the table below sets forth the grant date fair value assuming the maximum award is achieved (which is calculated as the maximum number of shares with respect to which payment could be achieved, multiplied by the grant date closing price) are presented.</w:t>
            </w:r>
          </w:p>
        </w:tc>
      </w:tr>
    </w:tbl>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502"/>
        <w:gridCol w:w="425"/>
        <w:gridCol w:w="430"/>
        <w:gridCol w:w="109"/>
        <w:gridCol w:w="109"/>
        <w:gridCol w:w="109"/>
        <w:gridCol w:w="414"/>
        <w:gridCol w:w="411"/>
        <w:gridCol w:w="414"/>
        <w:gridCol w:w="109"/>
        <w:gridCol w:w="109"/>
        <w:gridCol w:w="109"/>
        <w:gridCol w:w="630"/>
        <w:gridCol w:w="567"/>
        <w:gridCol w:w="567"/>
        <w:gridCol w:w="567"/>
        <w:gridCol w:w="567"/>
        <w:gridCol w:w="571"/>
        <w:gridCol w:w="141"/>
        <w:gridCol w:w="141"/>
        <w:gridCol w:w="141"/>
        <w:gridCol w:w="536"/>
        <w:gridCol w:w="475"/>
        <w:gridCol w:w="460"/>
        <w:gridCol w:w="460"/>
        <w:gridCol w:w="460"/>
        <w:gridCol w:w="672"/>
      </w:tblGrid>
      <w:tr>
        <w:trPr/>
        <w:tc>
          <w:tcPr>
            <w:tcW w:w="50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5" w:type="dxa"/>
            <w:gridSpan w:val="1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Grant Date Fair Value ($)</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Assuming Most Probable Outcome is Achieved</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Assuming Maximum Value is Achieved</w:t>
            </w:r>
          </w:p>
        </w:tc>
      </w:tr>
      <w:tr>
        <w:trPr/>
        <w:tc>
          <w:tcPr>
            <w:tcW w:w="1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600,001</w:t>
            </w:r>
          </w:p>
        </w:tc>
        <w:tc>
          <w:tcPr>
            <w:tcW w:w="1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1,200,002</w:t>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450,004</w:t>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900,008</w:t>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600,001</w:t>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1,200,002</w:t>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450,004</w:t>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900,008</w:t>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Unger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210,001</w:t>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420,002</w:t>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112,503</w:t>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225,006</w:t>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210,001</w:t>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420,002 </w:t>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210,006</w:t>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420,012</w:t>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2023 and March 31, 2024, the Company granted time-based stock options exercisable for Class A common stock to all NEOs at exercise prices of $6.97and $3.39, respectively, representing the closing price on the applicable date of grant. The amounts shown above reflect the aggregate grant date fair value of such awards computed in accordance with the FASB’s ASC Topic 718. The assumptions used in calculating these amounts are incorporated herein by reference to Note 17. Stock based compensation, to the Company’s consolidated financial statements, set forth in our Annual Report on Form 10-K for the year ended December 31, 2024.</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100" w:after="1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amounts shown in this column represent matching contributions under the terms of our 401(k) plan paid by us on behalf of each NEO.</w:t>
            </w:r>
          </w:p>
        </w:tc>
      </w:tr>
    </w:tbl>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Narrative Disclosure to the Summary Compensation Table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2024 fiscal year, our compensation program consisted primarily of the following elements: base salary, short-term annual incentive awards, long-term equity incentives and benefit and perquisite programs.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Base Salary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Short-Term Incentive Plan (“STIP”) </w:t>
      </w:r>
    </w:p>
    <w:p>
      <w:pPr>
        <w:pStyle w:val="TextBody"/>
        <w:bidi w:val="0"/>
        <w:spacing w:before="0" w:after="0"/>
        <w:jc w:val="left"/>
        <w:rPr/>
      </w:pPr>
      <w:r>
        <w:rPr/>
      </w:r>
    </w:p>
    <w:p>
      <w:pPr>
        <w:pStyle w:val="TextBody"/>
        <w:bidi w:val="0"/>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STIP program for NEOs and other executive officers includes eligibility for annual cash performance bonuses. The payout targets are tied to achievement of certain corporate metrics (“Corporate Metrics”) and strategic individual performance objectives. Additionally, the payouts are also subject to safety performance of the Company. The threshold, target and maximum payouts for Corporate Metrics are established using a scale ranging from 0% to 200%. The Compensation Committee maintains discretion to review extraordinary items for adjustments, including but not limited to renewable identification number ("RIN") pricing, investment tax credit ("ITC") timing and any other force majeure events. In the event of a participant’s termination (other than a termination for cause or resignation without good reason) following a change in control, as defined in the STIP, such participant will be entitled to receive a prorated portion of the bonus payment. </w:t>
      </w:r>
    </w:p>
    <w:p>
      <w:pPr>
        <w:pStyle w:val="TextBody"/>
        <w:bidi w:val="0"/>
        <w:spacing w:before="0" w:after="0"/>
        <w:ind w:left="0" w:right="0" w:firstLine="89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performance measures selected by the Compensation Committee for 2024, a description of and the payout opportunity associated with each performance measure as well as the relative weighting of each performance measure among our NEOs.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10"/>
        <w:gridCol w:w="840"/>
        <w:gridCol w:w="843"/>
        <w:gridCol w:w="326"/>
        <w:gridCol w:w="326"/>
        <w:gridCol w:w="326"/>
        <w:gridCol w:w="484"/>
        <w:gridCol w:w="451"/>
        <w:gridCol w:w="338"/>
        <w:gridCol w:w="326"/>
        <w:gridCol w:w="326"/>
        <w:gridCol w:w="326"/>
        <w:gridCol w:w="599"/>
        <w:gridCol w:w="499"/>
        <w:gridCol w:w="472"/>
        <w:gridCol w:w="326"/>
        <w:gridCol w:w="326"/>
        <w:gridCol w:w="326"/>
        <w:gridCol w:w="596"/>
        <w:gridCol w:w="536"/>
        <w:gridCol w:w="603"/>
      </w:tblGrid>
      <w:tr>
        <w:trPr/>
        <w:tc>
          <w:tcPr>
            <w:tcW w:w="10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Performance Measure</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of Payout</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Payout Opportunity</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Range of Weighting </w:t>
            </w:r>
            <w:r>
              <w:rPr>
                <w:rFonts w:ascii="Times New Roman;sans-serif" w:hAnsi="Times New Roman;sans-serif"/>
                <w:b/>
                <w:color w:val="000000"/>
                <w:sz w:val="13"/>
              </w:rPr>
              <w:t>(1)</w:t>
            </w:r>
          </w:p>
        </w:tc>
      </w:tr>
      <w:tr>
        <w:trPr/>
        <w:tc>
          <w:tcPr>
            <w:tcW w:w="26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Corporate Metrics:</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2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5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7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892"/>
              <w:jc w:val="center"/>
              <w:rPr>
                <w:rFonts w:ascii="Times New Roman;sans-serif" w:hAnsi="Times New Roman;sans-serif"/>
                <w:b w:val="false"/>
                <w:color w:val="000000"/>
                <w:sz w:val="20"/>
              </w:rPr>
            </w:pPr>
            <w:r>
              <w:rPr>
                <w:rFonts w:ascii="Times New Roman;sans-serif" w:hAnsi="Times New Roman;sans-serif"/>
                <w:b w:val="false"/>
                <w:color w:val="000000"/>
                <w:sz w:val="20"/>
              </w:rPr>
              <w:t>70% - 80%</w:t>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Adjusted EBITDA ($ millions) </w:t>
            </w:r>
            <w:r>
              <w:rPr>
                <w:rFonts w:ascii="Times New Roman;sans-serif" w:hAnsi="Times New Roman;sans-serif"/>
                <w:b w:val="false"/>
                <w:color w:val="000000"/>
                <w:sz w:val="13"/>
              </w:rPr>
              <w:t>(2)</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center"/>
              <w:rPr>
                <w:rFonts w:ascii="Times New Roman;sans-serif" w:hAnsi="Times New Roman;sans-serif"/>
                <w:b w:val="false"/>
                <w:color w:val="000000"/>
                <w:sz w:val="20"/>
              </w:rPr>
            </w:pPr>
            <w:r>
              <w:rPr>
                <w:rFonts w:ascii="Times New Roman;sans-serif" w:hAnsi="Times New Roman;sans-serif"/>
                <w:b w:val="false"/>
                <w:color w:val="000000"/>
                <w:sz w:val="20"/>
              </w:rPr>
              <w:t>0 - 200%</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RNG Production (MMBtus)</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5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center"/>
              <w:rPr>
                <w:rFonts w:ascii="Times New Roman;sans-serif" w:hAnsi="Times New Roman;sans-serif"/>
                <w:b w:val="false"/>
                <w:color w:val="000000"/>
                <w:sz w:val="20"/>
              </w:rPr>
            </w:pPr>
            <w:r>
              <w:rPr>
                <w:rFonts w:ascii="Times New Roman;sans-serif" w:hAnsi="Times New Roman;sans-serif"/>
                <w:b w:val="false"/>
                <w:color w:val="000000"/>
                <w:sz w:val="20"/>
              </w:rPr>
              <w:t>0 - 200%</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RNG Design Capacity Placed in Construction (MMBtus)</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center"/>
              <w:rPr>
                <w:rFonts w:ascii="Times New Roman;sans-serif" w:hAnsi="Times New Roman;sans-serif"/>
                <w:b w:val="false"/>
                <w:color w:val="000000"/>
                <w:sz w:val="20"/>
              </w:rPr>
            </w:pPr>
            <w:r>
              <w:rPr>
                <w:rFonts w:ascii="Times New Roman;sans-serif" w:hAnsi="Times New Roman;sans-serif"/>
                <w:b w:val="false"/>
                <w:color w:val="000000"/>
                <w:sz w:val="20"/>
              </w:rPr>
              <w:t>0 - 200%</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Transportation Fuel Contracts (GGEs)</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5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center"/>
              <w:rPr>
                <w:rFonts w:ascii="Times New Roman;sans-serif" w:hAnsi="Times New Roman;sans-serif"/>
                <w:b w:val="false"/>
                <w:color w:val="000000"/>
                <w:sz w:val="20"/>
              </w:rPr>
            </w:pPr>
            <w:r>
              <w:rPr>
                <w:rFonts w:ascii="Times New Roman;sans-serif" w:hAnsi="Times New Roman;sans-serif"/>
                <w:b w:val="false"/>
                <w:color w:val="000000"/>
                <w:sz w:val="20"/>
              </w:rPr>
              <w:t>0 - 200%</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Strategic/Personal Objectives</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center"/>
              <w:rPr>
                <w:rFonts w:ascii="Times New Roman;sans-serif" w:hAnsi="Times New Roman;sans-serif"/>
                <w:b w:val="false"/>
                <w:color w:val="000000"/>
                <w:sz w:val="20"/>
              </w:rPr>
            </w:pPr>
            <w:r>
              <w:rPr>
                <w:rFonts w:ascii="Times New Roman;sans-serif" w:hAnsi="Times New Roman;sans-serif"/>
                <w:b w:val="false"/>
                <w:color w:val="000000"/>
                <w:sz w:val="20"/>
              </w:rPr>
              <w:t>20% - 30%</w:t>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Safety Modifier </w:t>
            </w:r>
            <w:r>
              <w:rPr>
                <w:rFonts w:ascii="Times New Roman;sans-serif" w:hAnsi="Times New Roman;sans-serif"/>
                <w:b/>
                <w:color w:val="000000"/>
                <w:sz w:val="13"/>
              </w:rPr>
              <w:t>(3)</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center"/>
              <w:rPr>
                <w:rFonts w:ascii="Times New Roman;sans-serif" w:hAnsi="Times New Roman;sans-serif"/>
                <w:b w:val="false"/>
                <w:color w:val="000000"/>
                <w:sz w:val="20"/>
              </w:rPr>
            </w:pPr>
            <w:r>
              <w:rPr>
                <w:rFonts w:ascii="Times New Roman;sans-serif" w:hAnsi="Times New Roman;sans-serif"/>
                <w:b w:val="false"/>
                <w:color w:val="000000"/>
                <w:sz w:val="20"/>
              </w:rPr>
              <w:t>+/- 10%</w:t>
            </w:r>
          </w:p>
        </w:tc>
      </w:tr>
    </w:tbl>
    <w:p>
      <w:pPr>
        <w:pStyle w:val="TextBody"/>
        <w:bidi w:val="0"/>
        <w:spacing w:before="0" w:after="0"/>
        <w:ind w:left="0" w:right="0" w:firstLine="892"/>
        <w:jc w:val="both"/>
        <w:rPr/>
      </w:pPr>
      <w:r>
        <w:rPr/>
      </w:r>
    </w:p>
    <w:p>
      <w:pPr>
        <w:pStyle w:val="TextBody"/>
        <w:bidi w:val="0"/>
        <w:spacing w:lineRule="auto" w:line="288" w:before="0" w:after="0"/>
        <w:ind w:left="0" w:right="0" w:firstLine="892"/>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Range of Weighting varies based on the position for all NEOs. </w:t>
      </w:r>
    </w:p>
    <w:p>
      <w:pPr>
        <w:pStyle w:val="TextBody"/>
        <w:bidi w:val="0"/>
        <w:spacing w:before="0" w:after="0"/>
        <w:ind w:left="0" w:right="0" w:firstLine="892"/>
        <w:jc w:val="both"/>
        <w:rPr/>
      </w:pPr>
      <w:r>
        <w:rPr/>
      </w:r>
    </w:p>
    <w:p>
      <w:pPr>
        <w:pStyle w:val="TextBody"/>
        <w:bidi w:val="0"/>
        <w:spacing w:lineRule="auto" w:line="288" w:before="0" w:after="0"/>
        <w:ind w:left="0" w:right="0" w:firstLine="892"/>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Adjusted EBITDA is a non-GAAP measure that adjusts net income for (i) interest and financing expense, net, (ii) income taxes, (iii) loss on debt extinguishment, (iv) net (income) loss attributable to non-controlling interests, (v) depreciation, amortization and accretion expense, (vi) adjustments to reflect Adjusted EBITDA from equity method investments, (vii) loss on warrant exchange, (viii) unrealized (gain) loss on derivative instruments, (ix) non-cash charges, (x) one-time non-recurring expenses, (xi) major maintenance on renewable power and (xii) gain on deconsolidation of variable interest entities (“VIEs”).</w:t>
      </w:r>
    </w:p>
    <w:p>
      <w:pPr>
        <w:pStyle w:val="TextBody"/>
        <w:bidi w:val="0"/>
        <w:spacing w:lineRule="auto" w:line="288" w:before="0" w:after="0"/>
        <w:ind w:left="0" w:right="0" w:firstLine="892"/>
        <w:jc w:val="both"/>
        <w:rPr>
          <w:color w:val="000000"/>
        </w:rPr>
      </w:pPr>
      <w:r>
        <w:rPr>
          <w:color w:val="000000"/>
        </w:rPr>
        <w:t> </w:t>
      </w:r>
    </w:p>
    <w:p>
      <w:pPr>
        <w:pStyle w:val="TextBody"/>
        <w:bidi w:val="0"/>
        <w:spacing w:lineRule="auto" w:line="288" w:before="0" w:after="0"/>
        <w:ind w:left="0" w:right="0" w:firstLine="892"/>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Payouts are subject to a modifier of up to +/- 10% based on safety performance of the Company.</w:t>
      </w:r>
    </w:p>
    <w:p>
      <w:pPr>
        <w:pStyle w:val="TextBody"/>
        <w:bidi w:val="0"/>
        <w:spacing w:before="0" w:after="0"/>
        <w:ind w:left="0" w:right="0" w:firstLine="892"/>
        <w:jc w:val="both"/>
        <w:rPr/>
      </w:pPr>
      <w:r>
        <w:rPr/>
      </w:r>
    </w:p>
    <w:p>
      <w:pPr>
        <w:pStyle w:val="TextBody"/>
        <w:bidi w:val="0"/>
        <w:spacing w:lineRule="auto" w:line="288" w:before="0" w:after="0"/>
        <w:ind w:left="0" w:right="0" w:firstLine="892"/>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review of the Corporate Metrics achieved and NEOs’ performance by our Compensation Committee, our Board awarded the NEOs annual bonuses in the amounts set forth in the Summary Compensation Table above. The target annual bonuses for NEOs for 2024 were as follows: 100% of base salary for Mr. Comora and Mr. Maurer, and 60% of base salary for Mr. Unger and Mr. Coghlin. Payouts of annual bonuses for NEOs for 2024 were as follows: 69% of target for Mr. Comora and Mr. Maurer, 76% of target for Mr. Unger, and 99% of target for Mr. Coghlin.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Long-Term Incentives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2022 Omnibus Equity Incentive Plan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the 2022 Omnibus Equity Incentive Plan which was approved by our shareholders on July 21, 2022. The Compensation Committee believes that the effective use of long-term, stock-based incentive compensation is integral to the Company’s success and is vital to its ability to achieve strong performance in the future and, therefore, delivers a portion of each executive’s incentive compensation in the form of equity. These awards are intended to align the interests of our executives with those of our shareholders, enhance the personal stake of executive officers in the growth and success of the Company, provide an incentive for the executive officers’ continued service at the Company, and provide an opportunity for executives to increase their stock ownership levels.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2024</w:t>
      </w:r>
    </w:p>
    <w:p>
      <w:pPr>
        <w:pStyle w:val="TextBody"/>
        <w:bidi w:val="0"/>
        <w:spacing w:before="0" w:after="0"/>
        <w:jc w:val="both"/>
        <w:rPr/>
      </w:pPr>
      <w:r>
        <w:rPr/>
      </w:r>
    </w:p>
    <w:p>
      <w:pPr>
        <w:pStyle w:val="TextBody"/>
        <w:bidi w:val="0"/>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2024, the Company awarded time-based RSUs payable in shares of Class A common stock to certain eligible group of employees including its NEOs. All the RSUs vest in three equal installments on each of the first three anniversaries of the applicable vesting commencement date. Upon the occurrence of a termination by reason of the grantee’s disability or termination without cause, such RSUs shall vest with respect to the number of RSUs that would have vested upon the next applicable vesting date, had the grantee remained an employee or service provider. Notwithstanding the foregoing, upon the occurrence of a grantee’s termination without cause or resignation for good reason, in connection with, or within 24 months following, the consummation of a change in control, any unvested portion of the RSUs shall accelerate and vest in full. Upon the occurrence of a termination by reason of the grantee’s death, the RSUs shall accelerate and vest in full.</w:t>
      </w:r>
    </w:p>
    <w:p>
      <w:pPr>
        <w:pStyle w:val="TextBody"/>
        <w:bidi w:val="0"/>
        <w:spacing w:before="0" w:after="0"/>
        <w:ind w:left="0" w:right="0" w:firstLine="892"/>
        <w:jc w:val="both"/>
        <w:rPr/>
      </w:pPr>
      <w:r>
        <w:rPr/>
      </w:r>
    </w:p>
    <w:p>
      <w:pPr>
        <w:pStyle w:val="TextBody"/>
        <w:bidi w:val="0"/>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2024, the Company awarded stock options exercisable for Class A common stock to certain eligible group of employees including its NEOs. All of the stock options vest in three equal annual installments on each of the first three anniversaries of the applicable vesting commencement date. Upon the occurrence of a termination by reason of the grantee’s disability or termination without cause, such options shall vest with respect to the number of shares that would have vested upon the next applicable vesting date, had the optionee remained an employee or service provider. Notwithstanding the foregoing, upon the occurrence of a grantee’s termination without cause or resignation for good reason, in connection with, or within 24 months following, the consummation of a change in control transaction, any unvested portion of the options shall accelerate and vest in full. Upon the occurrence of a termination by reason of the grantee’s death, the options shall accelerate and vest in full.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On March 31, 2024, the Company awarded PRSUs payable in shares of Class A common Stock upon the achievement of certain performance criteria as part of its LTIP to certain eligible group of employees including its NEOs. The applicable performance period for such PRSU awards is January 1, 2024 to December 31, 2026, and all such PRSUs are scheduled to vest on March 31, 2027; provided, however, that the PRSUs may earlier vest in the event of (i) the grantee’s death; (ii) the grantee’s termination without cause or resignation for good reason within 24 months of a change in control transaction (a “Change in Control Termination”); or (iii) a termination by reason of the grantee’s disability or termination without cause (which does not occur in connection with a change in control transaction) (such termination, a “Termination Event”). Upon the occurrence of a Termination Event, a grantee shall vest with respect to a pro rata portion of the target PRSUs based on the number of full calendar months during which the grantee performed services during the applicable performance period. In the event of a Change in Control Termination, a grantee shall vest with respect to the greater of (A) the target PRSUs, or (B) if greater, the number of PRSUs determined based upon the satisfaction of the applicable performance criteria as of the date of the Change in Control Termination. In the event of a grantee’s death, the grantee shall vest with respect to the target PRSUs. Notwithstanding the foregoing, upon the occurrence of a Termination Event, Change in Control Termination, or the grantee’s death after the end of the applicable performance period, but before the vesting date, the grantee shall vest with respect to the actual number of PRSUs determined based on the satisfaction of the applicable performance criteria for such performance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performance targets and the payout percentage for each of the criteria for PRSUs. </w:t>
      </w:r>
    </w:p>
    <w:p>
      <w:pPr>
        <w:pStyle w:val="TextBody"/>
        <w:bidi w:val="0"/>
        <w:spacing w:before="0" w:after="0"/>
        <w:jc w:val="left"/>
        <w:rPr/>
      </w:pPr>
      <w:r>
        <w:rPr/>
      </w:r>
    </w:p>
    <w:p>
      <w:pPr>
        <w:pStyle w:val="TextBody"/>
        <w:bidi w:val="0"/>
        <w:spacing w:before="0" w:after="0"/>
        <w:ind w:left="0" w:right="0" w:firstLine="89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before="0" w:after="0"/>
        <w:jc w:val="left"/>
        <w:rPr/>
      </w:pPr>
      <w:r>
        <w:rPr/>
      </w:r>
    </w:p>
    <w:tbl>
      <w:tblPr>
        <w:tblW w:w="12601" w:type="dxa"/>
        <w:jc w:val="left"/>
        <w:tblInd w:w="0" w:type="dxa"/>
        <w:tblLayout w:type="fixed"/>
        <w:tblCellMar>
          <w:top w:w="28" w:type="dxa"/>
          <w:left w:w="28" w:type="dxa"/>
          <w:bottom w:w="28" w:type="dxa"/>
          <w:right w:w="28" w:type="dxa"/>
        </w:tblCellMar>
      </w:tblPr>
      <w:tblGrid>
        <w:gridCol w:w="446"/>
        <w:gridCol w:w="392"/>
        <w:gridCol w:w="393"/>
        <w:gridCol w:w="326"/>
        <w:gridCol w:w="326"/>
        <w:gridCol w:w="326"/>
        <w:gridCol w:w="402"/>
        <w:gridCol w:w="402"/>
        <w:gridCol w:w="404"/>
        <w:gridCol w:w="386"/>
        <w:gridCol w:w="386"/>
        <w:gridCol w:w="391"/>
        <w:gridCol w:w="326"/>
        <w:gridCol w:w="326"/>
        <w:gridCol w:w="326"/>
        <w:gridCol w:w="367"/>
        <w:gridCol w:w="367"/>
        <w:gridCol w:w="369"/>
        <w:gridCol w:w="487"/>
        <w:gridCol w:w="487"/>
        <w:gridCol w:w="489"/>
        <w:gridCol w:w="326"/>
        <w:gridCol w:w="326"/>
        <w:gridCol w:w="326"/>
        <w:gridCol w:w="326"/>
        <w:gridCol w:w="326"/>
        <w:gridCol w:w="326"/>
        <w:gridCol w:w="437"/>
        <w:gridCol w:w="437"/>
        <w:gridCol w:w="439"/>
        <w:gridCol w:w="351"/>
        <w:gridCol w:w="351"/>
        <w:gridCol w:w="506"/>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Performance Metric</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3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Weighting</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3544"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521" w:type="dxa"/>
            <w:gridSpan w:val="6"/>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Payout %</w:t>
            </w:r>
          </w:p>
        </w:tc>
      </w:tr>
      <w:tr>
        <w:trPr/>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Adjusted EBITDA + ITC Proceeds (millions) </w:t>
            </w:r>
            <w:r>
              <w:rPr>
                <w:rFonts w:ascii="Times New Roman;sans-serif" w:hAnsi="Times New Roman;sans-serif"/>
                <w:b w:val="false"/>
                <w:color w:val="000000"/>
                <w:sz w:val="13"/>
              </w:rPr>
              <w:t>(1)</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2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50 </w:t>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3544" w:type="dxa"/>
            <w:gridSpan w:val="9"/>
            <w:tcBorders>
              <w:top w:val="single" w:sz="8" w:space="0" w:color="000000"/>
            </w:tcBorders>
            <w:shd w:fill="FFFFFF" w:val="clear"/>
            <w:tcMar>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521" w:type="dxa"/>
            <w:gridSpan w:val="6"/>
            <w:tcBorders>
              <w:top w:val="single" w:sz="8" w:space="0" w:color="000000"/>
            </w:tcBorders>
            <w:shd w:fill="FFFFFF" w:val="clear"/>
            <w:tcMar>
              <w:left w:w="0" w:type="dxa"/>
              <w:bottom w:w="0" w:type="dxa"/>
              <w:right w:w="0" w:type="dxa"/>
            </w:tcMar>
            <w:vAlign w:val="center"/>
          </w:tcPr>
          <w:p>
            <w:pPr>
              <w:pStyle w:val="TableContents"/>
              <w:bidi w:val="0"/>
              <w:spacing w:before="0" w:after="0"/>
              <w:ind w:left="0" w:right="0" w:firstLine="892"/>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Maximum</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371" w:type="dxa"/>
            <w:gridSpan w:val="6"/>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681.3 </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righ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200 </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Target</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371" w:type="dxa"/>
            <w:gridSpan w:val="6"/>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545.0 </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righ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100 </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Threshold </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371" w:type="dxa"/>
            <w:gridSpan w:val="6"/>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408.8 </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righ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50 </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RNG projects placed into construction (millions MMBtus)</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50 </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3544" w:type="dxa"/>
            <w:gridSpan w:val="9"/>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521" w:type="dxa"/>
            <w:gridSpan w:val="6"/>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Maximum</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371" w:type="dxa"/>
            <w:gridSpan w:val="6"/>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566"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7.5 </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righ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200 </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Target</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371" w:type="dxa"/>
            <w:gridSpan w:val="6"/>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566" w:type="dxa"/>
            <w:gridSpan w:val="6"/>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6.0 </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righ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100 </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Threshold</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371" w:type="dxa"/>
            <w:gridSpan w:val="6"/>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566"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4.5 </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righ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50 </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892"/>
        <w:jc w:val="both"/>
        <w:rPr/>
      </w:pPr>
      <w:r>
        <w:rPr/>
      </w:r>
    </w:p>
    <w:p>
      <w:pPr>
        <w:pStyle w:val="TextBody"/>
        <w:bidi w:val="0"/>
        <w:spacing w:lineRule="auto" w:line="288" w:before="0" w:after="0"/>
        <w:ind w:left="0" w:right="0" w:firstLine="892"/>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Adjusted EBITDA is a non-GAAP measure that adjusts net income for (i) interest and financing expense, net, (ii) income taxes, (iii) loss on debt extinguishment, (iv) net (income) loss attributable to non-controlling interests, (v) depreciation, amortization and accretion expense, (vi) adjustments to reflect Adjusted EBITDA from equity method investments, (vii) loss on warrant exchange, (viii) unrealized (gain) loss on derivative instruments, (ix) non-cash charges, (x) one-time non-recurring expenses, (xi) major maintenance on renewable power and (xii) gain on deconsolidation of VIEs. For the avoidance of doubt, the performance targets set forth above also include net proceeds from the sale of ITC tax credits.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2023, the Company implemented a market-based long-term incentive program (“LTIP”). This program consisted of a combination of time-based restricted stock units (“RSUs”), performance restricted stock units (“PRSUs”), and stock options. The value granted to each NEO was primarily intended to bring our executives to within a reasonable range of the competitive market for similar positions. This assessment was conducted by our independent compensation consultant. The Compensation Committee also considered individual performance of each NEO when determining grant size.</w:t>
      </w:r>
    </w:p>
    <w:p>
      <w:pPr>
        <w:pStyle w:val="TextBody"/>
        <w:bidi w:val="0"/>
        <w:spacing w:before="0" w:after="0"/>
        <w:jc w:val="both"/>
        <w:rPr/>
      </w:pPr>
      <w:r>
        <w:rPr/>
      </w:r>
    </w:p>
    <w:p>
      <w:pPr>
        <w:pStyle w:val="TextBody"/>
        <w:bidi w:val="0"/>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2023, the Company awarded time-based RSUs payable in shares of Class A common stock to certain eligible group of employees including its NEOs. All the RSUs vest in three equal installments on each of the first three anniversaries of the applicable vesting commencement date. Upon the occurrence of a termination by reason of the grantee’s disability or termination without cause, such RSUs shall vest with respect to the number of RSUs that would have vested upon the next applicable vesting date, had the grantee remained an employee or service provider. Notwithstanding the foregoing, upon the occurrence of a grantee’s termination without cause or resignation for good reason, in connection with or within 24 months following the consummation of a change in control, any unvested portion of the RSUs shall accelerate and vest in full. Upon the occurrence of a termination by reason of the grantee’s death, the RSUs shall accelerate and vest in full.</w:t>
      </w:r>
    </w:p>
    <w:p>
      <w:pPr>
        <w:pStyle w:val="TextBody"/>
        <w:bidi w:val="0"/>
        <w:spacing w:before="0" w:after="0"/>
        <w:ind w:left="0" w:right="0" w:firstLine="892"/>
        <w:jc w:val="both"/>
        <w:rPr/>
      </w:pPr>
      <w:r>
        <w:rPr/>
      </w:r>
    </w:p>
    <w:p>
      <w:pPr>
        <w:pStyle w:val="TextBody"/>
        <w:bidi w:val="0"/>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the Company awarded stock options exercisable for Class A common stock to certain eligible group of employees including its NEOs. All of the stock options vest in three equal annual installments on each of the first three anniversaries of the applicable vesting commencement date. Upon the occurrence of a termination by reason of the grantee’s disability or termination without cause, such options shall vest with respect to the number of shares that would have vested upon the next applicable vesting date, had the optionee remained an employee or service provider. Notwithstanding the foregoing, upon the occurrence of a grantee’s termination without cause or resignation for good reason, in connection with or within 24 months following the consummation of a change in control transaction, any unvested portion of the options shall accelerate and vest in full. Upon the occurrence of a termination by reason of the grantee’s death, the options shall accelerate and vest in full. </w:t>
      </w:r>
    </w:p>
    <w:p>
      <w:pPr>
        <w:pStyle w:val="TextBody"/>
        <w:bidi w:val="0"/>
        <w:spacing w:before="0" w:after="0"/>
        <w:ind w:left="0" w:right="0" w:firstLine="892"/>
        <w:jc w:val="both"/>
        <w:rPr/>
      </w:pPr>
      <w:r>
        <w:rPr/>
      </w:r>
    </w:p>
    <w:p>
      <w:pPr>
        <w:pStyle w:val="TextBody"/>
        <w:bidi w:val="0"/>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the Company awarded PRSUs payable in shares of Class A common Stock upon the achievement of certain performance criteria as part of its LTIP to certain eligible group of employees including its NEOs. The applicable performance period for such PRSU awards is January 1, 2023 to December 31, 2025, and all such PRSUs are scheduled to vest on March 31, 2026; provided, however, that the PRSUs may earlier vest in the event of (i) the grantee’s death; (ii) the grantee’s termination without cause or resignation for good reason within 24 months of a change in control transaction (a “Change in Control Termination”); or (iii) a termination by reason of the grantee’s disability or termination without cause (which does not occur in connection with a change in control transaction) (such termination, a “Termination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Event”). Upon the occurrence of a Termination Event, a grantee shall vest with respect to a pro rata portion of the target PRSUs based on the number of full calendar months during which the grantee performed services during the applicable performance period. In the event of a Change in Control Termination, a grantee shall vest with respect to the greater of (A) the target PRSUs, or (B) if greater, the number of PRSUs determined based upon the satisfaction of the applicable performance criteria as of the date of the Change in Control Termination. In the event of a grantee’s death, the grantee shall vest with respect to the target PRSUs. Notwithstanding the foregoing, upon the occurrence of a Termination Event, Change in Control Termination, or the grantee’s death after the end of the applicable performance period, but before the vesting date, the grantee shall vest with respect to the actual number of PRSUs determined based on the satisfaction of the applicable performance criteria for such performance period.</w:t>
      </w:r>
    </w:p>
    <w:p>
      <w:pPr>
        <w:pStyle w:val="TextBody"/>
        <w:bidi w:val="0"/>
        <w:spacing w:before="0" w:after="0"/>
        <w:ind w:left="0" w:right="0" w:firstLine="892"/>
        <w:jc w:val="both"/>
        <w:rPr/>
      </w:pPr>
      <w:r>
        <w:rPr/>
      </w:r>
    </w:p>
    <w:p>
      <w:pPr>
        <w:pStyle w:val="TextBody"/>
        <w:bidi w:val="0"/>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performance targets and the payout percentage for each of the criteria for PRSUs. </w:t>
      </w:r>
    </w:p>
    <w:p>
      <w:pPr>
        <w:pStyle w:val="TextBody"/>
        <w:bidi w:val="0"/>
        <w:spacing w:before="0" w:after="0"/>
        <w:jc w:val="left"/>
        <w:rPr/>
      </w:pPr>
      <w:r>
        <w:rPr/>
      </w:r>
    </w:p>
    <w:p>
      <w:pPr>
        <w:pStyle w:val="TextBody"/>
        <w:bidi w:val="0"/>
        <w:spacing w:before="0" w:after="0"/>
        <w:ind w:left="0" w:right="0" w:firstLine="892"/>
        <w:jc w:val="both"/>
        <w:rPr/>
      </w:pPr>
      <w:r>
        <w:rPr/>
      </w:r>
    </w:p>
    <w:tbl>
      <w:tblPr>
        <w:tblW w:w="12601" w:type="dxa"/>
        <w:jc w:val="left"/>
        <w:tblInd w:w="0" w:type="dxa"/>
        <w:tblLayout w:type="fixed"/>
        <w:tblCellMar>
          <w:top w:w="28" w:type="dxa"/>
          <w:left w:w="28" w:type="dxa"/>
          <w:bottom w:w="28" w:type="dxa"/>
          <w:right w:w="28" w:type="dxa"/>
        </w:tblCellMar>
      </w:tblPr>
      <w:tblGrid>
        <w:gridCol w:w="446"/>
        <w:gridCol w:w="392"/>
        <w:gridCol w:w="393"/>
        <w:gridCol w:w="326"/>
        <w:gridCol w:w="326"/>
        <w:gridCol w:w="326"/>
        <w:gridCol w:w="402"/>
        <w:gridCol w:w="402"/>
        <w:gridCol w:w="404"/>
        <w:gridCol w:w="386"/>
        <w:gridCol w:w="386"/>
        <w:gridCol w:w="391"/>
        <w:gridCol w:w="326"/>
        <w:gridCol w:w="326"/>
        <w:gridCol w:w="326"/>
        <w:gridCol w:w="367"/>
        <w:gridCol w:w="367"/>
        <w:gridCol w:w="369"/>
        <w:gridCol w:w="487"/>
        <w:gridCol w:w="487"/>
        <w:gridCol w:w="489"/>
        <w:gridCol w:w="326"/>
        <w:gridCol w:w="326"/>
        <w:gridCol w:w="326"/>
        <w:gridCol w:w="326"/>
        <w:gridCol w:w="326"/>
        <w:gridCol w:w="326"/>
        <w:gridCol w:w="437"/>
        <w:gridCol w:w="437"/>
        <w:gridCol w:w="439"/>
        <w:gridCol w:w="351"/>
        <w:gridCol w:w="351"/>
        <w:gridCol w:w="506"/>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Performance Metric</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3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Weighting</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3544"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521" w:type="dxa"/>
            <w:gridSpan w:val="6"/>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Payout %</w:t>
            </w:r>
          </w:p>
        </w:tc>
      </w:tr>
      <w:tr>
        <w:trPr/>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Adjusted EBITDA (millions) </w:t>
            </w:r>
            <w:r>
              <w:rPr>
                <w:rFonts w:ascii="Times New Roman;sans-serif" w:hAnsi="Times New Roman;sans-serif"/>
                <w:b w:val="false"/>
                <w:color w:val="000000"/>
                <w:sz w:val="13"/>
              </w:rPr>
              <w:t>(1)</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2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50 </w:t>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3544" w:type="dxa"/>
            <w:gridSpan w:val="9"/>
            <w:tcBorders>
              <w:top w:val="single" w:sz="8" w:space="0" w:color="000000"/>
            </w:tcBorders>
            <w:shd w:fill="FFFFFF" w:val="clear"/>
            <w:tcMar>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521" w:type="dxa"/>
            <w:gridSpan w:val="6"/>
            <w:tcBorders>
              <w:top w:val="single" w:sz="8" w:space="0" w:color="000000"/>
            </w:tcBorders>
            <w:shd w:fill="FFFFFF" w:val="clear"/>
            <w:tcMar>
              <w:left w:w="0" w:type="dxa"/>
              <w:bottom w:w="0" w:type="dxa"/>
              <w:right w:w="0" w:type="dxa"/>
            </w:tcMar>
            <w:vAlign w:val="center"/>
          </w:tcPr>
          <w:p>
            <w:pPr>
              <w:pStyle w:val="TableContents"/>
              <w:bidi w:val="0"/>
              <w:spacing w:before="0" w:after="0"/>
              <w:ind w:left="0" w:right="0" w:firstLine="892"/>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Maximum</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371" w:type="dxa"/>
            <w:gridSpan w:val="6"/>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645.6 </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righ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200 </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Target</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371" w:type="dxa"/>
            <w:gridSpan w:val="6"/>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516.5 </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righ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100 </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Threshold </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371" w:type="dxa"/>
            <w:gridSpan w:val="6"/>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309.9 </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righ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RNG projects placed into construction (millions MMBtus)</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50 </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3544" w:type="dxa"/>
            <w:gridSpan w:val="9"/>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521" w:type="dxa"/>
            <w:gridSpan w:val="6"/>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Maximum</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371" w:type="dxa"/>
            <w:gridSpan w:val="6"/>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566"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7.5 </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righ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200 </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Target</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371" w:type="dxa"/>
            <w:gridSpan w:val="6"/>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566" w:type="dxa"/>
            <w:gridSpan w:val="6"/>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6.0 </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right"/>
              <w:rPr/>
            </w:pPr>
            <w:r>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100 </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Threshold</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371" w:type="dxa"/>
            <w:gridSpan w:val="6"/>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2566"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4.8 </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right"/>
              <w:rPr/>
            </w:pPr>
            <w:r>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892"/>
              <w:jc w:val="left"/>
              <w:rPr/>
            </w:pPr>
            <w:r>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50 </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92"/>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892"/>
        <w:jc w:val="both"/>
        <w:rPr/>
      </w:pPr>
      <w:r>
        <w:rPr/>
      </w:r>
    </w:p>
    <w:p>
      <w:pPr>
        <w:pStyle w:val="TextBody"/>
        <w:bidi w:val="0"/>
        <w:spacing w:lineRule="auto" w:line="288" w:before="0" w:after="0"/>
        <w:ind w:left="0" w:right="0" w:firstLine="892"/>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Adjusted EBITDA is a non-GAAP measure that adjusts net income for (i) interest and financing expense, net, (ii) income taxes, (iii) loss on debt extinguishment, (iv) net (income) loss attributable to non-controlling interests, (v) depreciation, amortization and accretion expense, (vi) adjustments to reflect Adjusted EBITDA from equity method investments, (vii) loss on warrant exchange, (viii) unrealized (gain) loss on derivative instruments, (ix) non-cash charges, (x) one-time non-recurring expenses, (xi) major maintenance on renewable power and (xii) gain on deconsolidation of VIEs. For the avoidance of doubt, the Adjusted EBITDA performance targets set forth above are also intended to include net proceeds from the sale of ITC tax credits.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Benefits</w:t>
      </w:r>
    </w:p>
    <w:p>
      <w:pPr>
        <w:pStyle w:val="TextBody"/>
        <w:bidi w:val="0"/>
        <w:spacing w:before="0" w:after="0"/>
        <w:jc w:val="left"/>
        <w:rPr/>
      </w:pPr>
      <w:r>
        <w:rPr/>
      </w:r>
    </w:p>
    <w:p>
      <w:pPr>
        <w:pStyle w:val="TextBody"/>
        <w:bidi w:val="0"/>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401(k) Savings Plan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all qualifying full-time employees with the opportunity to participate in our tax-qualified 401(k) savings plan. Our named executive officers participate in this plan on the same basis as our other full-time employees.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Employment Agreements; Payments upon Change in Control or Termination</w:t>
      </w:r>
    </w:p>
    <w:p>
      <w:pPr>
        <w:pStyle w:val="TextBody"/>
        <w:bidi w:val="0"/>
        <w:spacing w:before="0" w:after="0"/>
        <w:jc w:val="left"/>
        <w:rPr/>
      </w:pPr>
      <w:r>
        <w:rPr/>
      </w:r>
    </w:p>
    <w:p>
      <w:pPr>
        <w:pStyle w:val="TextBody"/>
        <w:bidi w:val="0"/>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No NEO of the Company is a party to an employment agreement. Further, no NEOs are entitled to compensation upon a change in control or termination, provided, however, that upon a change in control of OPAL Fuels LLC (“Opco”), a wholly owned subsidiary of the Company, each NEO shall be entitled to payment with respect to such NEO’s Parent Equity Awards (as defined below), and upon a Change in Control Termination, PRSUs shall vest as described above, in each case, in the amounts set forth in the table entitled “Outstanding Equity Awards at Fiscal Year End” (assuming such change in control occurred on December 31, 2024, and other conditions described in the footnotes to such table are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892"/>
        <w:jc w:val="both"/>
        <w:rPr/>
      </w:pPr>
      <w:r>
        <w:rPr/>
      </w:r>
    </w:p>
    <w:p>
      <w:pPr>
        <w:pStyle w:val="TextBody"/>
        <w:bidi w:val="0"/>
        <w:spacing w:lineRule="auto" w:line="288" w:before="0" w:after="0"/>
        <w:ind w:left="0" w:right="0" w:firstLine="892"/>
        <w:jc w:val="both"/>
        <w:rPr>
          <w:color w:val="000000"/>
        </w:rPr>
      </w:pPr>
      <w:r>
        <w:rPr>
          <w:color w:val="000000"/>
        </w:rPr>
        <w:t>“</w:t>
      </w:r>
      <w:r>
        <w:rPr>
          <w:rFonts w:ascii="Times New Roman;sans-serif" w:hAnsi="Times New Roman;sans-serif"/>
          <w:b w:val="false"/>
          <w:color w:val="000000"/>
          <w:sz w:val="20"/>
        </w:rPr>
        <w:t>Parent Equity Awards” refer to awards granted prior to the Business Combination by Fortistar (through one of its feeder entities) to certain of the Company’s executives, comprised of units intended to be treated as “profits interests” for U.S. federal income tax purposes, with such profits interest awards tracking the performance of the applicable predecessor companies of the Company. Participants were entitled to participate in pro rata distributions from such predecessors of Opco during their employment. Effective as of December 1, 2020, the Parent Equity Awards were restructured to track the performance of the Company.</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OUTSTANDING EQUITY AWARDS AT FISCAL YEAR-END</w:t>
      </w:r>
    </w:p>
    <w:p>
      <w:pPr>
        <w:pStyle w:val="TextBody"/>
        <w:bidi w:val="0"/>
        <w:spacing w:before="0" w:after="0"/>
        <w:jc w:val="left"/>
        <w:rPr/>
      </w:pPr>
      <w:r>
        <w:rPr/>
      </w:r>
    </w:p>
    <w:tbl>
      <w:tblPr>
        <w:tblW w:w="13366" w:type="dxa"/>
        <w:jc w:val="left"/>
        <w:tblInd w:w="0" w:type="dxa"/>
        <w:tblLayout w:type="fixed"/>
        <w:tblCellMar>
          <w:top w:w="28" w:type="dxa"/>
          <w:left w:w="28" w:type="dxa"/>
          <w:bottom w:w="28" w:type="dxa"/>
          <w:right w:w="28" w:type="dxa"/>
        </w:tblCellMar>
      </w:tblPr>
      <w:tblGrid>
        <w:gridCol w:w="358"/>
        <w:gridCol w:w="248"/>
        <w:gridCol w:w="250"/>
        <w:gridCol w:w="109"/>
        <w:gridCol w:w="109"/>
        <w:gridCol w:w="109"/>
        <w:gridCol w:w="185"/>
        <w:gridCol w:w="185"/>
        <w:gridCol w:w="186"/>
        <w:gridCol w:w="109"/>
        <w:gridCol w:w="109"/>
        <w:gridCol w:w="109"/>
        <w:gridCol w:w="325"/>
        <w:gridCol w:w="325"/>
        <w:gridCol w:w="326"/>
        <w:gridCol w:w="109"/>
        <w:gridCol w:w="109"/>
        <w:gridCol w:w="109"/>
        <w:gridCol w:w="411"/>
        <w:gridCol w:w="185"/>
        <w:gridCol w:w="185"/>
        <w:gridCol w:w="185"/>
        <w:gridCol w:w="185"/>
        <w:gridCol w:w="186"/>
        <w:gridCol w:w="109"/>
        <w:gridCol w:w="109"/>
        <w:gridCol w:w="109"/>
        <w:gridCol w:w="211"/>
        <w:gridCol w:w="184"/>
        <w:gridCol w:w="109"/>
        <w:gridCol w:w="219"/>
        <w:gridCol w:w="138"/>
        <w:gridCol w:w="109"/>
        <w:gridCol w:w="109"/>
        <w:gridCol w:w="109"/>
        <w:gridCol w:w="109"/>
        <w:gridCol w:w="109"/>
        <w:gridCol w:w="109"/>
        <w:gridCol w:w="109"/>
        <w:gridCol w:w="147"/>
        <w:gridCol w:w="147"/>
        <w:gridCol w:w="147"/>
        <w:gridCol w:w="147"/>
        <w:gridCol w:w="147"/>
        <w:gridCol w:w="151"/>
        <w:gridCol w:w="109"/>
        <w:gridCol w:w="109"/>
        <w:gridCol w:w="109"/>
        <w:gridCol w:w="446"/>
        <w:gridCol w:w="115"/>
        <w:gridCol w:w="115"/>
        <w:gridCol w:w="115"/>
        <w:gridCol w:w="115"/>
        <w:gridCol w:w="116"/>
        <w:gridCol w:w="109"/>
        <w:gridCol w:w="109"/>
        <w:gridCol w:w="109"/>
        <w:gridCol w:w="668"/>
        <w:gridCol w:w="109"/>
        <w:gridCol w:w="109"/>
        <w:gridCol w:w="109"/>
        <w:gridCol w:w="109"/>
        <w:gridCol w:w="109"/>
        <w:gridCol w:w="327"/>
        <w:gridCol w:w="676"/>
        <w:gridCol w:w="406"/>
        <w:gridCol w:w="327"/>
        <w:gridCol w:w="499"/>
        <w:gridCol w:w="327"/>
        <w:gridCol w:w="372"/>
      </w:tblGrid>
      <w:tr>
        <w:trPr/>
        <w:tc>
          <w:tcPr>
            <w:tcW w:w="3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7" w:type="dxa"/>
            <w:gridSpan w:val="3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24"/>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9"/>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and Principal Position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(b)</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Underlying Unexercised Options Exercisable (#) (c)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Underlying Unexercised Options Unexercisable (#) (d)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Exercise Price ($) (e)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Expiration Date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or Units of Stock That Have Not Vested (#) (g)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Value of Shares or Units of Stock That Have not Vested ($) (h) (1)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Incentive Plan Awards: Number of Unearned Shares, Units or Other Rights That Have Not Vested (#) (i)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Equity Incentive Plan Awards: Market or Payout Value of Unearned Shares, Units or Other Rights That Have Not Vested ($) (j) (1) </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201,613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60,484 </w:t>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205041 </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117,648</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03/31/2034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71,737</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25,825</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38,023 </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6.97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07/24/2020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0.06 </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260,517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08/04/2020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0.06 </w:t>
            </w:r>
          </w:p>
        </w:tc>
        <w:tc>
          <w:tcPr>
            <w:tcW w:w="3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260,517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 (3)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201,613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$683,468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60,484 </w:t>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205041 </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117,648</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71,737</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25,825</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38,023 </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6.97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07/24/2020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0.04 </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173,711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08/04/2020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0.04 </w:t>
            </w:r>
          </w:p>
        </w:tc>
        <w:tc>
          <w:tcPr>
            <w:tcW w:w="3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173,711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 (8)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231,856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$785,992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21,170 </w:t>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71765 </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41,177</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03/31/2034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49,618</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12,052</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$ 40,856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17,744 </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6.97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Unger (10)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70,565 </w:t>
            </w:r>
          </w:p>
        </w:tc>
        <w:tc>
          <w:tcPr>
            <w:tcW w:w="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$239,215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21,170 </w:t>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71765 </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41,177</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03/31/2034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6,456</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$ 21,887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9,506 </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6.97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07/24/2020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0.03 </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135,188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08/04/2020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0.02 </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108,995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510" w:type="dxa"/>
            <w:gridSpan w:val="81"/>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dollar amounts shown in columns (h) and (j) are determined by multiplying the number of shares or units (other than Parent Equity Awards as described in footnotes below) in columns (g) and (i), by $3.39, the closing share price of the Company’s Class A common stock on December 31, 2024, the last trading day of the Company’s fiscal year. The PRSUs shown in Column (i) are the unvested PRSUs granted which are based on the achievement of threshold performance goals. </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0" w:type="dxa"/>
            <w:gridSpan w:val="8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510" w:type="dxa"/>
            <w:gridSpan w:val="81"/>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value of Parent Equity Awards (as defined above) shown in column (h) represents the value of the Profits Portion (as defined in footnote 5 below) assuming that (i) all of the equity or assets of Opco were sold for fair market value on December 31, 2024, (ii) the proceeds of such sale were distributed to the equity holders of Opco (which, in turn distributed such amounts to their owners), and (iii) Fortistar received full repayment of its capital contributed to Opco.</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0" w:type="dxa"/>
            <w:gridSpan w:val="8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1"/>
        <w:gridCol w:w="124"/>
        <w:gridCol w:w="126"/>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261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14" w:type="dxa"/>
            <w:gridSpan w:val="81"/>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2024, the Company granted 201,613 RSUs and an option to purchase 117,648 shares of Class A common stock to the recipient, which each vest in three equal installments on March 31, 2025, March 31, 2026 and March 31, 2027, subject to acceleration of vesting as described above. The Company granted 120,968 PRSUs which represent achievement of target performance goals for the measurement period between January 1, 2024 to December 31, 2026, and which fully vest on March 31, 2027, subject to acceleration of vesting as described above. All the outstanding awards are subject to continued employment with the Company on the applicable vesting date (as further described above).</w:t>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4" w:type="dxa"/>
            <w:gridSpan w:val="8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14" w:type="dxa"/>
            <w:gridSpan w:val="81"/>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2023, the Company granted 107,605 RSUs and an option to purchase 57,035 shares of Class A common stock to the recipient, which vest in three equal installments on March 31, 2024, March 31, 2025 and March 31, 2026, subject to acceleration of vesting as described above. The Company granted 64,563 PRSUs which represent achievement of target performance goals for the measurement period between January 1, 2023 to December 31, 2025, and which fully vest on March 31, 2026, subject to acceleration of vesting as described above. All the outstanding awards are subject to continued employment with the Company on the applicable vesting date (as further described above).</w:t>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4" w:type="dxa"/>
            <w:gridSpan w:val="8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14" w:type="dxa"/>
            <w:gridSpan w:val="81"/>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awards (as further described above) entitle recipients to indirectly receive a percentage of the profits (“Profits Portion”) received by Fortistar from its investment in Opco, after the repayment of the capital contributed to Opco by Fortistar. The number set forth in the “Number of Shares or Units of Stock That Have Not Vested” column represents, as of December 31, 2024, a percentage of Opco which is approximately equal to such Profits Portion.</w:t>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4" w:type="dxa"/>
            <w:gridSpan w:val="8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814" w:type="dxa"/>
            <w:gridSpan w:val="81"/>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July 24, 2020, and which vests ratably on each of the first five (5) anniversaries of the date of grant.</w:t>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4" w:type="dxa"/>
            <w:gridSpan w:val="8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814" w:type="dxa"/>
            <w:gridSpan w:val="81"/>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August 4, 2020, and which vests ratably on each of the first five (5) anniversaries of the date of grant.</w:t>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4" w:type="dxa"/>
            <w:gridSpan w:val="8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814" w:type="dxa"/>
            <w:gridSpan w:val="81"/>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2024, the Company granted 231,856 RSUs and an option to purchase 41,177 shares of Class A common stock to the recipient. A total of 161,291 RSUs vest on March 31, 2027 and the remaining 70,565 RSUs vest in three equal annual installments on March 31, 2025, March 31, 2026 and March 31, 2027, subject to acceleration of vesting as described above. The option to purchase 41,177 shares of Class A common stock vests in three equal annual installments on March 31, 2025, March 31, 2026 and March 31, 2027, subject to acceleration of vesting as described above. The Company granted 42,339 PRSUs which represent achievement of target performance goals for the measurement period between January 1, 2024 to December 31, 2026, vest 100% on March 31, 2027, subject to acceleration of vesting as described above. All the outstanding awards are subject to continued employment with the Company on applicable vesting date.</w:t>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4" w:type="dxa"/>
            <w:gridSpan w:val="8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814" w:type="dxa"/>
            <w:gridSpan w:val="8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31, 2023, the Company granted 82,498 RSUs and an option to purchase 26,616 shares of Class A common stock to the recipient, out of which 32,282 RSUs vest in two equal annual installments on March 31, 2024 and March 31, 2025 and 50,216 RSUs vest in three equal annual installments on March 31, 2024, March 31, 2025 and March 31, 2026, subject to acceleration of vesting as described above. The option to purchase 26,616 shares of Class A common stock vest in three equal annual installments on March 31, 2024, March 31, 2025 and March 31, 2026, subject to acceleration of vesting as described above. The Company granted 30,130 PRSUs which represent achievement of target performance goals for the measurement period between January 1, 2023 to December 31, 2025, vest 100% on March 31, 2026, subject to acceleration of vesting as described above. All the outstanding awards are subject to continued employment with the Company on applicable vesting date.</w:t>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4" w:type="dxa"/>
            <w:gridSpan w:val="8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14" w:type="dxa"/>
            <w:gridSpan w:val="8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31, 2024, the Company granted 70,565 RSUs and an option to purchase 41,177 shares of Class A common stock to the recipient, which each vest in three equal installments on March 31, 2025, March 31, 2026 and March 31, 2027, subject to acceleration of vesting as described above. The Company granted 42,339 PRSUs which represent achievement of target performance goals for the measurement period between January 1, 2024 to December 31, 2026, and vest 100% on March 31, 2027, subject to acceleration of vesting as described above. All the outstanding awards are subject to continued employment with the Company on applicable vesting date.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1"/>
        <w:gridCol w:w="124"/>
        <w:gridCol w:w="126"/>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261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4" w:type="dxa"/>
            <w:gridSpan w:val="8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814" w:type="dxa"/>
            <w:gridSpan w:val="81"/>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2023, the Company granted 242,111 RSUs and an option to purchase 14,259 shares of Class A common stock to the recipient, which vest in three equal installments on March 31, 2024, March 31, 2025 and March 31, 2026, subject to acceleration of vesting as described above. The Company granted 16,141 PRSUs which represent achievement of target performance goals for the measurement period between January 1, 2023 to December 31, 2025, and vest 100% on March 31, 2026, subject to acceleration of vesting as described above. All the outstanding awards are subject to continued employment with the Company on applicable vesting date.</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bookmarkStart w:id="9" w:name="i3361e6fd901a46cda1ffc102cae12adf_118511"/>
      <w:bookmarkEnd w:id="9"/>
      <w:r>
        <w:rPr>
          <w:rFonts w:ascii="Times New Roman;sans-serif" w:hAnsi="Times New Roman;sans-serif"/>
          <w:b/>
          <w:color w:val="000000"/>
          <w:sz w:val="20"/>
        </w:rPr>
        <w:t>Director Compensation Table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Director Compensation Table sets forth the compensation of our directors for the fiscal year ending December 31, 2024.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37"/>
        <w:gridCol w:w="384"/>
        <w:gridCol w:w="389"/>
        <w:gridCol w:w="515"/>
        <w:gridCol w:w="515"/>
        <w:gridCol w:w="483"/>
        <w:gridCol w:w="476"/>
        <w:gridCol w:w="297"/>
        <w:gridCol w:w="232"/>
        <w:gridCol w:w="268"/>
        <w:gridCol w:w="268"/>
        <w:gridCol w:w="270"/>
        <w:gridCol w:w="504"/>
        <w:gridCol w:w="504"/>
        <w:gridCol w:w="505"/>
        <w:gridCol w:w="294"/>
        <w:gridCol w:w="294"/>
        <w:gridCol w:w="243"/>
        <w:gridCol w:w="268"/>
        <w:gridCol w:w="268"/>
        <w:gridCol w:w="270"/>
        <w:gridCol w:w="553"/>
        <w:gridCol w:w="553"/>
        <w:gridCol w:w="557"/>
        <w:gridCol w:w="249"/>
        <w:gridCol w:w="249"/>
        <w:gridCol w:w="360"/>
      </w:tblGrid>
      <w:tr>
        <w:trPr/>
        <w:tc>
          <w:tcPr>
            <w:tcW w:w="43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51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Fee earned or paid in cash ($) (1)</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234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 awards ($) (2)</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25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30"/>
              <w:jc w:val="left"/>
              <w:rPr>
                <w:rFonts w:ascii="Times New Roman;sans-serif" w:hAnsi="Times New Roman;sans-serif"/>
                <w:b w:val="false"/>
                <w:color w:val="000000"/>
                <w:sz w:val="20"/>
              </w:rPr>
            </w:pPr>
            <w:r>
              <w:rPr>
                <w:rFonts w:ascii="Times New Roman;sans-serif" w:hAnsi="Times New Roman;sans-serif"/>
                <w:b w:val="false"/>
                <w:color w:val="000000"/>
                <w:sz w:val="20"/>
              </w:rPr>
              <w:t>Mark Comora, Chairman</w:t>
            </w:r>
          </w:p>
        </w:tc>
        <w:tc>
          <w:tcPr>
            <w:tcW w:w="15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75,000 </w:t>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ind w:left="0" w:right="0" w:firstLine="720"/>
              <w:jc w:val="right"/>
              <w:rPr/>
            </w:pPr>
            <w:r>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5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135,000 </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ind w:left="0" w:right="0" w:firstLine="720"/>
              <w:jc w:val="right"/>
              <w:rPr/>
            </w:pPr>
            <w:r>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6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210,000 </w:t>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ind w:left="0" w:right="0" w:firstLine="720"/>
              <w:jc w:val="right"/>
              <w:rPr/>
            </w:pPr>
            <w:r>
              <w:rPr/>
            </w:r>
          </w:p>
        </w:tc>
      </w:tr>
      <w:tr>
        <w:trPr/>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0"/>
              <w:jc w:val="left"/>
              <w:rPr>
                <w:rFonts w:ascii="Times New Roman;sans-serif" w:hAnsi="Times New Roman;sans-serif"/>
                <w:b w:val="false"/>
                <w:color w:val="000000"/>
                <w:sz w:val="20"/>
              </w:rPr>
            </w:pPr>
            <w:r>
              <w:rPr>
                <w:rFonts w:ascii="Times New Roman;sans-serif" w:hAnsi="Times New Roman;sans-serif"/>
                <w:b w:val="false"/>
                <w:color w:val="000000"/>
                <w:sz w:val="20"/>
              </w:rPr>
              <w:t>Betsy Battle</w:t>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60,000 </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135,000 </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195,000 </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r>
      <w:tr>
        <w:trPr/>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0"/>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60,000 </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135,000 </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195,000 </w:t>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r>
      <w:tr>
        <w:trPr/>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0"/>
              <w:jc w:val="left"/>
              <w:rPr>
                <w:rFonts w:ascii="Times New Roman;sans-serif" w:hAnsi="Times New Roman;sans-serif"/>
                <w:b w:val="false"/>
                <w:color w:val="000000"/>
                <w:sz w:val="20"/>
              </w:rPr>
            </w:pPr>
            <w:r>
              <w:rPr>
                <w:rFonts w:ascii="Times New Roman;sans-serif" w:hAnsi="Times New Roman;sans-serif"/>
                <w:b w:val="false"/>
                <w:color w:val="000000"/>
                <w:sz w:val="20"/>
              </w:rPr>
              <w:t>Kevin Fogarty</w:t>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85,000 </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135,000 </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220,000 </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r>
      <w:tr>
        <w:trPr/>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James Martell </w:t>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75,000 </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135,000 </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210,000 </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r>
      <w:tr>
        <w:trPr/>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0"/>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70,000 </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135,000 </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205,000 </w:t>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r>
      <w:tr>
        <w:trPr/>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0"/>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90,000 </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135,000 </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225,000 </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20"/>
              <w:jc w:val="right"/>
              <w:rPr/>
            </w:pPr>
            <w:r>
              <w:rPr/>
            </w:r>
          </w:p>
        </w:tc>
      </w:tr>
      <w:tr>
        <w:trPr/>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51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515,000 </w:t>
            </w:r>
          </w:p>
        </w:tc>
        <w:tc>
          <w:tcPr>
            <w:tcW w:w="100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0"/>
              <w:ind w:left="0" w:right="0" w:firstLine="720"/>
              <w:jc w:val="right"/>
              <w:rPr/>
            </w:pPr>
            <w:r>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51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945,000 </w:t>
            </w:r>
          </w:p>
        </w:tc>
        <w:tc>
          <w:tcPr>
            <w:tcW w:w="83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0"/>
              <w:ind w:left="0" w:right="0" w:firstLine="720"/>
              <w:jc w:val="right"/>
              <w:rPr/>
            </w:pPr>
            <w:r>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6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1,460,000 </w:t>
            </w:r>
          </w:p>
        </w:tc>
        <w:tc>
          <w:tcPr>
            <w:tcW w:w="85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0"/>
              <w:ind w:left="0" w:right="0" w:firstLine="720"/>
              <w:jc w:val="right"/>
              <w:rPr/>
            </w:pPr>
            <w:r>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shown in this column are the fees earned for the year for our Directors which includes a base fee of $60,000 as well as additional fees of $15,000 and $10,000, respectively, for participation in the Audit and Compensation Committees, respectively, and an additional $5,000 payment for chairing a committee.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 xml:space="preserve">On March 31, 2024, the Company granted 27,218 time-based RSUs convertible into Class A common stock to each of the non-employee directors which vest 100% on March 31, 2025. The amounts shown above reflect the aggregate grant date fair value of such awards computed in accordance with the FASB’s ASC Topic 718. The assumptions used in calculating these amounts are incorporated herein by reference to Note 17. </w:t>
            </w:r>
            <w:r>
              <w:rPr>
                <w:rFonts w:ascii="Times New Roman;sans-serif" w:hAnsi="Times New Roman;sans-serif"/>
                <w:b w:val="false"/>
                <w:i/>
                <w:color w:val="000000"/>
                <w:sz w:val="20"/>
              </w:rPr>
              <w:t>Stock based compensation</w:t>
            </w:r>
            <w:r>
              <w:rPr>
                <w:rFonts w:ascii="Times New Roman;sans-serif" w:hAnsi="Times New Roman;sans-serif"/>
                <w:b w:val="false"/>
                <w:color w:val="000000"/>
                <w:sz w:val="20"/>
              </w:rPr>
              <w:t xml:space="preserve">, to the Company’s consolidated financial statements, set forth in our Annual Report on Form 10-K for the year ended December 31, 2024. Other than these RSUs, our non-employee directors hold no other equity incentive awards. </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Narrative to Director Compensation Table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non-employee directors are paid as members of our Board, and, if applicable, as members of any committee of our Board, certain annual retainers as determined by our Board.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2024 non-employee director compensation policy is summarized as follows: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non-employee director shall be entitled to an annual cash retainer in the amount of $60,000. For each committee of our Board upon which a non-employee director serves as a member, he or she shall be entitled to receive an additional cash retainer in the amount of $10,000 (or $15,000 in the case of the Audit Committee). For each committee upon which a non-employee director serves as both a member and a chairperson, such director shall be entitled to receive an additional payment in the amount of $5,000.</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an annual basis, each non-employee director shall be entitled to receive an equity award in the form of RSUs of OPAL Fuels. The number of shares subject to such awards shall be determined by dividing $130,000 by the Fair Market Value (as defined in our 2022 Omnibus Equity Incentive Plan (or its successor plan)) of our common stock on the date of grant of such award.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non-employee director will also be reimbursed for reasonable travel and other business expenses incurred in connection with attending meetings of our Board and its committees.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Company Policies and Practices Related to the Grant of Certain Equity Awards Close in Time to the Release of Material Nonpublic Information </w:t>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last granted a stock option on April 8, 2025. The Company does not grant stock options or similar awards to Section 16 Insiders, most SVPs, and other Vice Presidents and above who directly report to the CEO in anticipation of the release of material nonpublic information that is likely to result in changes to the price of the Company’s stock, such as a significant positive or negative earnings announcement, or time the public release of such information based on stock option grant dates. In addition, the Company does not grant stock options or similar awards during the four business days prior to or the one business day following the filing of our periodic reports or the filing or furnishing of a Current Report on Form 8-K that discloses material nonpublic information. These restrictions do not apply to RSUs or other types of equity awards that do not include an exercise price related to the market price of the Company’s stock on the date of grant. The Company grants annual retention stock options pursuant to the long-term incentive plan to certain employees during the March Compensation Committee meeting each year. The Company’s Co-CEOs also have the authority to grant stock options to newly-hired service providers pursuant to the Delegated Authority Grants.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executive officers would not be permitted to choose the grant date for any stock option grants.</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bookmarkStart w:id="10" w:name="i3361e6fd901a46cda1ffc102cae12adf_118517"/>
      <w:bookmarkEnd w:id="10"/>
      <w:r>
        <w:rPr>
          <w:rFonts w:ascii="Times New Roman;sans-serif" w:hAnsi="Times New Roman;sans-serif"/>
          <w:b/>
          <w:color w:val="000000"/>
          <w:sz w:val="20"/>
        </w:rPr>
        <w:t>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one active equity compensation plan, our Equity Incentive Plan. The Equity Incentive Plan provides for the grant of stock options (incentive and non-qualified), stock awards (including RSUs and PRSUs), stock appreciation rights and cash awards. We have reserved an aggregate 19,811,726 shares of common stock for issuance under our Equity Incentive Plan, plus an annual increase on the first day of each calendar year during the 10-year term of the Equity Incentive Plan, equal to the lesser of (i) five percent (5%) of the shares of our Class A common stock, Class B common stock, Class C common stock and Class D common stock outstanding (on an as-converted basis) on the final day of the immediately preceding calendar year and (ii) such lesser number of shares as determined by our Board, subject to adjustment for stock dividends, reorganizations, or other changes in our capital structure. Shares underlying any portion of an award that is cancelled, terminates, expires, or lapses for any reason are generally returned to the available pool under the Equity Incentive Plan. Shares attributable to (a) shares of common stock upon the exercise of incentive stock options that are subsequently forfeited or repurchased, or (b) awards transferred under any award transfer program, shall not again be available for grant under the Equity Incentive Plan.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number of shares of common stock subject to outstanding options, RSUs, PRSUs, warrants and other convertible securities into share rights, the weighted-average exercise price of outstanding options, and the number of shares remaining available for future award grants as of December 31, 2024.</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12"/>
        <w:gridCol w:w="624"/>
        <w:gridCol w:w="556"/>
        <w:gridCol w:w="109"/>
        <w:gridCol w:w="109"/>
        <w:gridCol w:w="109"/>
        <w:gridCol w:w="901"/>
        <w:gridCol w:w="901"/>
        <w:gridCol w:w="903"/>
        <w:gridCol w:w="703"/>
        <w:gridCol w:w="703"/>
        <w:gridCol w:w="705"/>
        <w:gridCol w:w="927"/>
        <w:gridCol w:w="927"/>
        <w:gridCol w:w="1316"/>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 Number of securities to be issued upon exercise of outstanding restricted stock units, options, warrants and rights (1)</w:t>
            </w:r>
          </w:p>
        </w:tc>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 Weighted-average exercise price of outstanding options, warrants and rights</w:t>
            </w:r>
          </w:p>
        </w:tc>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 Number of securities remaining for future issuance under equity compensation plans (excluding securities reflected in Column (A)) (2)</w:t>
            </w:r>
          </w:p>
        </w:tc>
      </w:tr>
      <w:tr>
        <w:trPr/>
        <w:tc>
          <w:tcPr>
            <w:tcW w:w="1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 approved by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3,029,076</w:t>
            </w:r>
          </w:p>
        </w:tc>
        <w:tc>
          <w:tcPr>
            <w:tcW w:w="2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3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42,494,256</w:t>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00"/>
        <w:gridCol w:w="2873"/>
        <w:gridCol w:w="40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3,029,076 shares subject to outstanding stock options, RSUs and PRSUs under the Equity Incentive Plan. The weighted average exercise price in column (B) does not take RSUs and PRSUs into account.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19,811,726 shares of Class A common stock originally reserved for issuance under the Equity Incentive Plan, plus annual increases on the first day of each calendar year during the initial ten-year term of the Plan, less shares previously issued and outstanding. </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known to the Company regarding the beneficial ownership of our Class A common stock, Class B common stock and Class D common stock by:</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a.each person who is the beneficial owner of more than 5% of the outstanding shares of our Class A common stock, Class B common stock or Class D common stock;</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b.each of the Company’s named executive officers, directors and director nominees; and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c.all of the Company’s executive officers and directors as a group.</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RSUs, within 60 days of the Record Date.</w:t>
      </w:r>
    </w:p>
    <w:p>
      <w:pPr>
        <w:pStyle w:val="TextBody"/>
        <w:bidi w:val="0"/>
        <w:spacing w:before="0" w:after="0"/>
        <w:jc w:val="left"/>
        <w:rPr/>
      </w:pPr>
      <w:r>
        <w:rPr/>
      </w:r>
    </w:p>
    <w:p>
      <w:pPr>
        <w:pStyle w:val="TextBody"/>
        <w:bidi w:val="0"/>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in the footnotes below and subject to applicable community property laws and similar laws, the Company believes that each person listed above has sole voting and investment power with respect to such shares.</w:t>
      </w:r>
    </w:p>
    <w:p>
      <w:pPr>
        <w:pStyle w:val="TextBody"/>
        <w:bidi w:val="0"/>
        <w:spacing w:before="0" w:after="0"/>
        <w:ind w:left="0" w:right="0" w:firstLine="892"/>
        <w:jc w:val="both"/>
        <w:rPr/>
      </w:pPr>
      <w:r>
        <w:rPr/>
      </w:r>
    </w:p>
    <w:p>
      <w:pPr>
        <w:pStyle w:val="TextBody"/>
        <w:bidi w:val="0"/>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The beneficial ownership of our common stock is based on 28,835,811 shares of our Class A common stock issued and outstanding, 121,500,000 shares of Class B common stock and 22,899,037 shares of our Class D common stock issued and outstanding as of the Record Date. When computing the number of shares of common stock beneficially owned and the percentage ownership of a person, we include shares of common stock underlying securities held by that person that are convertible or exercisable or will become convertible or exercisable within 60 days of the Record Date, but we do not include those shares of common stock underlying such securities when computing the percentage ownership of any other person.</w:t>
      </w:r>
    </w:p>
    <w:p>
      <w:pPr>
        <w:pStyle w:val="TextBody"/>
        <w:bidi w:val="0"/>
        <w:spacing w:before="0" w:after="0"/>
        <w:ind w:left="0" w:right="0" w:firstLine="892"/>
        <w:jc w:val="both"/>
        <w:rPr/>
      </w:pPr>
      <w:r>
        <w:rPr/>
      </w:r>
    </w:p>
    <w:p>
      <w:pPr>
        <w:pStyle w:val="TextBody"/>
        <w:bidi w:val="0"/>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our Class A common stock and Class B common stock is entitled to one vote per share and each share of our Class D common stock is entitled to five votes per share. On April 22, 2025, Fortistar, through its subsidiary OPAL Holdco, converted 50,000,000 shares of Class D common stock of the Company held by it for an equal number of shares of newly issued Class B common stock. As a result, on the Record Date, there were 264,830,996 votes eligible to be cast, consisting of (i) 28,835,811 votes for our Class A common stock, (ii) 121,500,000 votes for our Class B common stock and (iii) 114,495,185 votes for our Class D common stock.</w:t>
      </w:r>
    </w:p>
    <w:p>
      <w:pPr>
        <w:pStyle w:val="TextBody"/>
        <w:bidi w:val="0"/>
        <w:spacing w:before="0" w:after="0"/>
        <w:ind w:left="0" w:right="0" w:firstLine="892"/>
        <w:jc w:val="both"/>
        <w:rPr/>
      </w:pPr>
      <w:r>
        <w:rPr/>
      </w:r>
    </w:p>
    <w:tbl>
      <w:tblPr>
        <w:tblW w:w="10828" w:type="dxa"/>
        <w:jc w:val="left"/>
        <w:tblInd w:w="0" w:type="dxa"/>
        <w:tblLayout w:type="fixed"/>
        <w:tblCellMar>
          <w:top w:w="28" w:type="dxa"/>
          <w:left w:w="28" w:type="dxa"/>
          <w:bottom w:w="28" w:type="dxa"/>
          <w:right w:w="28" w:type="dxa"/>
        </w:tblCellMar>
      </w:tblPr>
      <w:tblGrid>
        <w:gridCol w:w="513"/>
        <w:gridCol w:w="134"/>
        <w:gridCol w:w="134"/>
        <w:gridCol w:w="134"/>
        <w:gridCol w:w="134"/>
        <w:gridCol w:w="137"/>
        <w:gridCol w:w="109"/>
        <w:gridCol w:w="109"/>
        <w:gridCol w:w="109"/>
        <w:gridCol w:w="666"/>
        <w:gridCol w:w="310"/>
        <w:gridCol w:w="311"/>
        <w:gridCol w:w="109"/>
        <w:gridCol w:w="109"/>
        <w:gridCol w:w="109"/>
        <w:gridCol w:w="304"/>
        <w:gridCol w:w="207"/>
        <w:gridCol w:w="517"/>
        <w:gridCol w:w="109"/>
        <w:gridCol w:w="109"/>
        <w:gridCol w:w="109"/>
        <w:gridCol w:w="520"/>
        <w:gridCol w:w="310"/>
        <w:gridCol w:w="311"/>
        <w:gridCol w:w="109"/>
        <w:gridCol w:w="109"/>
        <w:gridCol w:w="109"/>
        <w:gridCol w:w="259"/>
        <w:gridCol w:w="207"/>
        <w:gridCol w:w="517"/>
        <w:gridCol w:w="109"/>
        <w:gridCol w:w="109"/>
        <w:gridCol w:w="109"/>
        <w:gridCol w:w="415"/>
        <w:gridCol w:w="310"/>
        <w:gridCol w:w="311"/>
        <w:gridCol w:w="109"/>
        <w:gridCol w:w="109"/>
        <w:gridCol w:w="109"/>
        <w:gridCol w:w="259"/>
        <w:gridCol w:w="207"/>
        <w:gridCol w:w="517"/>
        <w:gridCol w:w="109"/>
        <w:gridCol w:w="109"/>
        <w:gridCol w:w="109"/>
        <w:gridCol w:w="380"/>
        <w:gridCol w:w="131"/>
        <w:gridCol w:w="384"/>
      </w:tblGrid>
      <w:tr>
        <w:trPr/>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1186" w:type="dxa"/>
            <w:gridSpan w:val="6"/>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6"/>
              </w:rPr>
              <w:t>Name and Address of Beneficial Owners</w:t>
            </w:r>
            <w:r>
              <w:rPr>
                <w:color w:val="000000"/>
              </w:rPr>
              <w:t xml:space="preserve"> </w:t>
            </w:r>
            <w:r>
              <w:rPr>
                <w:rFonts w:ascii="Times New Roman;sans-serif" w:hAnsi="Times New Roman;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Class A common stock beneficially owned (1 vote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Class A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Class B common stock beneficially owned (1 vote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Class B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Class D common stock beneficially owned (5 votes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Class D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Voting Power</w:t>
            </w:r>
          </w:p>
        </w:tc>
      </w:tr>
      <w:tr>
        <w:trPr/>
        <w:tc>
          <w:tcPr>
            <w:tcW w:w="1186"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Directors and Named 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Mark Comora, Chairman </w:t>
            </w: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937,312 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22,899,037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Battle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Scott Dols </w:t>
            </w: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Kevin M. Fogarty</w:t>
            </w:r>
            <w:r>
              <w:rPr>
                <w:color w:val="000000"/>
              </w:rPr>
              <w:t xml:space="preserve"> </w:t>
            </w:r>
            <w:r>
              <w:rPr>
                <w:rFonts w:ascii="Times New Roman;sans-serif" w:hAnsi="Times New Roman;sans-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Martell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86,712 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Adam Comora </w:t>
            </w:r>
            <w:r>
              <w:rPr>
                <w:rFonts w:ascii="Times New Roman;sans-serif" w:hAnsi="Times New Roman;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213,930 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Jonathan Maurer</w:t>
            </w:r>
            <w:r>
              <w:rPr>
                <w:color w:val="000000"/>
              </w:rPr>
              <w:t xml:space="preserve"> </w:t>
            </w:r>
            <w:r>
              <w:rPr>
                <w:rFonts w:ascii="Times New Roman;sans-serif" w:hAnsi="Times New Roman;sans-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John Coghlin </w:t>
            </w:r>
            <w:r>
              <w:rPr>
                <w:rFonts w:ascii="Times New Roman;sans-serif" w:hAnsi="Times New Roman;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David Unger </w:t>
            </w:r>
            <w:r>
              <w:rPr>
                <w:rFonts w:ascii="Times New Roman;sans-serif" w:hAnsi="Times New Roman;sans-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147,208 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directors and executive officers as a group (15 persons)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2,111,462 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22,899,037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Five Percent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Mark Comora, Chairman </w:t>
            </w:r>
            <w:r>
              <w:rPr>
                <w:rFonts w:ascii="Times New Roman;sans-serif" w:hAnsi="Times New Roman;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937,312 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22,899,037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Daniel R. Revers </w:t>
            </w:r>
            <w:r>
              <w:rPr>
                <w:rFonts w:ascii="Times New Roman;sans-serif" w:hAnsi="Times New Roman;sans-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2,395,848 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Ares Management Corporation </w:t>
            </w:r>
            <w:r>
              <w:rPr>
                <w:rFonts w:ascii="Times New Roman;sans-serif" w:hAnsi="Times New Roman;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3,059,533 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Mendocino Capital LLC </w:t>
            </w:r>
            <w:r>
              <w:rPr>
                <w:rFonts w:ascii="Times New Roman;sans-serif" w:hAnsi="Times New Roman;sans-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2,158,547 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Entities affiliated with Electron Capital Partners LLC </w:t>
            </w:r>
            <w:r>
              <w:rPr>
                <w:rFonts w:ascii="Times New Roman;sans-serif" w:hAnsi="Times New Roman;sans-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Nyera II Limited </w:t>
            </w: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Zimmer Partners, LP </w:t>
            </w: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2,021,934 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Barclays Bank PLC </w:t>
            </w:r>
            <w:r>
              <w:rPr>
                <w:rFonts w:ascii="Times New Roman;sans-serif" w:hAnsi="Times New Roman;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1,943,715 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7"/>
        <w:gridCol w:w="234"/>
        <w:gridCol w:w="234"/>
        <w:gridCol w:w="363"/>
        <w:gridCol w:w="302"/>
        <w:gridCol w:w="308"/>
        <w:gridCol w:w="161"/>
        <w:gridCol w:w="161"/>
        <w:gridCol w:w="161"/>
        <w:gridCol w:w="723"/>
        <w:gridCol w:w="723"/>
        <w:gridCol w:w="161"/>
        <w:gridCol w:w="161"/>
        <w:gridCol w:w="161"/>
        <w:gridCol w:w="161"/>
        <w:gridCol w:w="300"/>
        <w:gridCol w:w="300"/>
        <w:gridCol w:w="401"/>
        <w:gridCol w:w="161"/>
        <w:gridCol w:w="161"/>
        <w:gridCol w:w="161"/>
        <w:gridCol w:w="161"/>
        <w:gridCol w:w="161"/>
        <w:gridCol w:w="161"/>
        <w:gridCol w:w="161"/>
        <w:gridCol w:w="161"/>
        <w:gridCol w:w="161"/>
        <w:gridCol w:w="161"/>
        <w:gridCol w:w="161"/>
        <w:gridCol w:w="161"/>
        <w:gridCol w:w="161"/>
        <w:gridCol w:w="161"/>
        <w:gridCol w:w="161"/>
        <w:gridCol w:w="161"/>
        <w:gridCol w:w="161"/>
        <w:gridCol w:w="161"/>
        <w:gridCol w:w="161"/>
        <w:gridCol w:w="161"/>
        <w:gridCol w:w="161"/>
        <w:gridCol w:w="161"/>
        <w:gridCol w:w="161"/>
        <w:gridCol w:w="161"/>
        <w:gridCol w:w="161"/>
        <w:gridCol w:w="161"/>
        <w:gridCol w:w="161"/>
        <w:gridCol w:w="161"/>
        <w:gridCol w:w="161"/>
        <w:gridCol w:w="254"/>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70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Invesco Ltd </w:t>
            </w:r>
            <w:r>
              <w:rPr>
                <w:rFonts w:ascii="Times New Roman;sans-serif" w:hAnsi="Times New Roman;sans-serif"/>
                <w:b w:val="false"/>
                <w:color w:val="000000"/>
                <w:sz w:val="16"/>
              </w:rPr>
              <w:t>(16)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1,446,536 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Represents less than 1%</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470"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noted, the business address of each of the directors and officers is One North Lexington Avenue, 14th Floor, White Plains, New York 10601.</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470"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Consists of (i) 121,500,000 shares of Class B common stock owned of record by OPAL Holdco, (ii) 20,877,450 shares of Class D common stock owned of record by OPAL Holdco, (iii) 2,021,587 shares of Class D common stock owned of record by Hillman RNG Investments, LLC ("Hillman") (iv) 56,712 shares of Class A common stock owned directly and (v) 880,600 shares of Class A common stock owned by Fortistar. OPAL Holdco owns of record 100% of the issued and outstanding shares of Class B common stock as of the date of this table.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“Certain Relationships and Related Party Transactions - Hillman Restructuring”. Shares of Class B and Class D common stock may be converted into shares of Class A common stock. The business address of each of Mr. Comora, OPAL Holdco, Hillman and Fortistar is One North Lexington Avenue, 14th Floor, White Plains, New York 10601.</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470"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Consists of (i) 56,712 shares of Class A common stock held directly, (ii) 34,823 shares of Class A common stock held indirectly by the Scott V. Dols Irrevocable Trust and (iii) 7,601 shares of Class A common stock held indirectly by the Vicky N. Dols Irrevocable Trust.</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470"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Consists of (i) 56,712 shares of Class A common stock held directly by Mr. Fogarty and (ii) 50,000 shares of Class A common stock held indirectly by GBBH Family Limited Partnership.</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470"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Consists of (i) 136,691 shares of Class A common stock, (ii) 38,023 shares of Class A common stock issuable upon the exercise of stock options at an exercise price of $6.97, and (iii) 39,216 shares of Class A common stock issuable upon the exercise of stock options at an exercise price of $5.02.</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470"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Consists of (i) 151,716 shares of Class A common stock, (ii) 38,023 shares of Class A common stock issuable upon the exercise of stock options at an exercise price of $6.97, and (iii) 39,216 shares of Class A common stock issuable upon the exercise of stock options at an exercise price of $5.02.</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470"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Consists of (i) 72,480 shares of Class A common stock, (ii) 17,744 shares of Class A common stock issuable upon the exercise of stock options at an exercise price of $6.97, and (iii) 13,726 shares of Class A common stock issuable upon the exercise of stock options at an exercise price of $5.02.</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470"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Consists of (i) 123,976 shares of Class A common stock, (ii) 9,506 shares of Class A common stock issuable upon the exercise of stock options at an exercise price of $6.97, and (iii) 13,726 shares of Class A common stock issuable upon the exercise of stock options at an exercise price of $5.02.</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470"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According to the Schedule 13D/A filed on December 19, 2023. Consists of (i) 1,395,135 shares of Class A common stock held directly by ArcLight CTC Holdings II, L.P. (“Sponsor”), (ii) 619,731 shares of Class A common stock held directly by Daniel R. Revers, (iii) 322,227 shares of Class A common stock held directly by ACHP B, L.P., and (iv) 58,755 shares of Class A common stock held directly by ACTC Holdings GP II, LLC. Mr. Revers has shared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Mr. Revers holds sole voting and dispositive power of the shares held directly by Mr. Revers, ACHP B, L.P., and ACTC Holdings GP II, LLC. The business address of Sponsor and Mr. Revers is 200 Clarendon Street, 55th Floor, Boston, Massachusetts 02116.</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2"/>
        <w:gridCol w:w="125"/>
        <w:gridCol w:w="127"/>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307"/>
      </w:tblGrid>
      <w:tr>
        <w:trPr/>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11"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According to the Schedule 13G filed on August 1, 2022. Ares Partners Holdco LLC is the sole member of each of Ares Voting LLC and Ares Management GP LLC, which are respectively the holders of the Class B and Class C common stock of Ares Management Corporation, which common stock allows them, collectively, to generally have the majority of the votes on any matter submitted to the stockholders of Ares Management Corporation if certain conditions are met. Ares Management Corporation is the sole member of Ares Holdco LLC, which is the general partner of Ares Management Holdings L.P., which is the sole member of Ares Management LLC, which is the sole member of Ares Capital Management LLC, which is the manager of Ares Capital Corporation, which is the sole member of ARCC Beacon LLC. Accordingly, each of the foregoing entities may be deemed to share beneficial ownership of the securities held of record by ARCC Beacon LLC, but each disclaims any such beneficial ownership. The business address of Ares Management Corporation is c/o Ares Management LLC, 2000 Avenue of the Stars, 12th Floor, Los Angeles, CA 90067.</w:t>
            </w:r>
          </w:p>
        </w:tc>
      </w:tr>
      <w:tr>
        <w:trPr/>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1"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811"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According to the Schedule 13D/A filed on January 5, 2024. Mendocino Capital, LLC (“Mendocino”), a wholly owned subsidiary of NextEra Energy, Inc. (“NextEra”), and NextEra have shared voting and dispositive power with respect to the reported securities. The business address of Mendocino and NextEra is 700 Universe Boulevard, Juno Beach, Florida 33408.</w:t>
            </w:r>
          </w:p>
        </w:tc>
      </w:tr>
      <w:tr>
        <w:trPr/>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1"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811"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According to the Schedule 13G/A filed on February 14, 2024. Consists of (i) 1,060,088 shares of Class A common stock held by Electron Global Master Fund L.P. (“EGMF”) and Electron GP LLC, (ii) 695,913 shares of Class A common stock held by Electron Infrastructure Master Fund L.P. (“EIMF”) and Electron Infrastructure GP, LLC, and (iii) 43,999 shares of Class A common stock held by several accounts managed by Electron Capital Partners, LLC, an investment advisor (“Electron”). Ran Zhou is the managing member of Electron, which serves as the investment manager to each of EGMF, EIMF, and several managed accounts. Electron and Mr. Zhou may be deemed to beneficially own such shares. The parties hold shared voting and dispositive power over such shares The business address of the parties is 10 East 53rd Street, 19th Floor, New York, New York 10022. The reporting person is an investment advisor.</w:t>
            </w:r>
          </w:p>
        </w:tc>
      </w:tr>
      <w:tr>
        <w:trPr/>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1"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811"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Consists of 1,500,000 shares of Class A common stock. Benjamin Wasem, Pantelitsa Georgiade and Vasiliki Papalli (the “Nyera Principals”) each has voting and investment discretion with respect to the securities held Nyera II Limited (“Nyera”),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tc>
      </w:tr>
      <w:tr>
        <w:trPr/>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1"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9811"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According to Schedule 13G/A, filed on November 12, 2024. Consists of 2,021,934 shares of Class A common stock held by Zimmer Partners, LP, Zimmer Financial Services Group LLC, Zimmer Partners GP, LLC, and Stuart J. Zimmer (the “Zimmer Parties”), a registered investment advisor firm. The business address of the Zimmer Parties is 9 West 57th Street, 33rd Floor, New York, New York 10019. The Zimmer Parties share voting and dispositive power over such shares of Class A common stock. The reporting persons are investment advisors.</w:t>
            </w:r>
          </w:p>
        </w:tc>
      </w:tr>
      <w:tr>
        <w:trPr/>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1"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9811"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According to Schedule 13G/A, filed on March 21, 2025. Consists of 1,943,715 shares of Class A common stock held by Barclays PLC. The business address of Barclays PLC is 1 Churchill Place, London, E14 5HP, England. The reported shares are held directly by Barclays Bank PLC, a subsidiary of Barclays PLC.</w:t>
            </w:r>
          </w:p>
        </w:tc>
      </w:tr>
      <w:tr>
        <w:trPr/>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1"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9811"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According to Schedule 13G, filed on February 7, 2025. Consists of 1,446,536 shares of Class A common stock held by Invesco Ltd. The business address of Invesco Ltd. is 1331 Spring Street NW, Suite 2500, Atlanta, GA 30309. Invesco Ltd. is an investment adviser and holds the reported securities in its capacity as a parent holding company to its investment advisers. Invesco Ltd. may be deemed to beneficially own the reported shares which are held of record by clients of Invesco Ltd. Invesco Capital Management LLC is a subsidiary of Invesco Ltd. and it advises the Invesco WilderHill Clean Energy ETF which owns the reported shares.</w:t>
            </w:r>
          </w:p>
        </w:tc>
      </w:tr>
      <w:tr>
        <w:trPr/>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1"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bookmarkStart w:id="11" w:name="i3361e6fd901a46cda1ffc102cae12adf_118518"/>
      <w:bookmarkEnd w:id="11"/>
      <w:r>
        <w:rPr>
          <w:rFonts w:ascii="Times New Roman;sans-serif" w:hAnsi="Times New Roman;sans-serif"/>
          <w:b/>
          <w:color w:val="000000"/>
          <w:sz w:val="20"/>
        </w:rPr>
        <w:t>DELINQUENT SECTION 16(a) REPORTS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Section 16(a) of the Exchange Act and the rules thereunder, the Company’s executive officers and directors and persons who beneficially own more than 10% of a registered class of the Company’s equity securities are required to file with the SEC reports of their ownership of, and transactions in, the Company’s common stock. Based solely on a review of copies of such reports furnished to the Company, and written representations that no reports were required, together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known to the Company, the Company believes that during the fiscal year ended December 31, 2024, these persons timely complied with the applicable Section 16(a) requirements.</w:t>
      </w:r>
    </w:p>
    <w:p>
      <w:pPr>
        <w:pStyle w:val="TextBody"/>
        <w:bidi w:val="0"/>
        <w:spacing w:before="0" w:after="0"/>
        <w:jc w:val="left"/>
        <w:rPr/>
      </w:pPr>
      <w:r>
        <w:rPr/>
      </w:r>
    </w:p>
    <w:p>
      <w:pPr>
        <w:pStyle w:val="TextBody"/>
        <w:bidi w:val="0"/>
        <w:spacing w:lineRule="auto" w:line="288" w:before="0" w:after="0"/>
        <w:jc w:val="center"/>
        <w:rPr/>
      </w:pPr>
      <w:bookmarkStart w:id="12" w:name="i3361e6fd901a46cda1ffc102cae12adf_118519"/>
      <w:bookmarkEnd w:id="12"/>
      <w:r>
        <w:rPr>
          <w:rFonts w:ascii="Times New Roman;sans-serif" w:hAnsi="Times New Roman;sans-serif"/>
          <w:b/>
          <w:color w:val="000000"/>
          <w:sz w:val="20"/>
        </w:rPr>
        <w:t>CERTAIN RELATIONSHIPS AND RELATED PARTY</w:t>
      </w:r>
      <w:r>
        <w:rPr>
          <w:color w:val="000000"/>
        </w:rPr>
        <w:t> </w:t>
      </w:r>
      <w:r>
        <w:rPr>
          <w:rFonts w:ascii="Times New Roman;sans-serif" w:hAnsi="Times New Roman;sans-serif"/>
          <w:b/>
          <w:color w:val="000000"/>
          <w:sz w:val="20"/>
        </w:rPr>
        <w:t>TRANSACTIONS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Charter provides for the review, approval and/or ratification of “related party transactions,” which are those transactions required to be disclosed pursuant to Item 404 of Regulation S-K as promulgated by the SEC, by the Audit Committee.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Audit Committee who has an interest in the related party transaction under review by the Audit Committee shall abstain from voting on the approval of the related party transaction, but may, if so requested by the chairman of the Audit Committee, participate in some or all of the Audit Committee’s discussions of the related party transaction. Upon completion of its review of the related party transaction, the Audit Committee may determine to permit or to prohibit the related party transaction.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 Services Agreement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Opco has entered into a Master Services Agreement with CoStar Partners LLC (“CoStar”).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$150,000 per month. This amount may increase in the event Opco requests additional services under the Master Services Agreement. The original term of this Master Services Agreement was thirty-six months from the effective date of June 1, 2021. Following the expiration of the original term, the agreement automatically renews on an annual basis on each anniversary of the agreement unless either party provides 365 days prior written notice.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Administrative Services Agreement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Opco has entered into an Administrative Services Agreement with Fortistar Services 2 LLC (“FS2”). FS2 is controlled, indirectly, by Mr. Mark Comora through entities affiliated with Mr. Comora, including Fortistar and certain of its affiliated entities other than us. Prior to the closing of the Business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 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original term of this agreement was thirty-six months from the effective date of December 31, 2020. Following the expiration of the original term, the agreement automatically renews on an annual basis on each anniversary of the agreement unless either party provides 180 days prior written notice. The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will terminate (i) upon the dissolution of either party; (ii) the expiration of the term where one party has provided notice of non-renewal; or (iii) 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10, 2023, the board of directors of the Company appointed Mr. Scott Contino as Interim CFO. In connection with the appointment, the Company entered into an interim services agreement (“Interim Services Agreement”) with Fortistar in accordance with the terms and conditions of the existing Administrative Services Agreement. Pursuant to the Interim Services Agreement, the Company will pay Fortistar an agreed hourly rate, such that the monthly fee does not exceed $50,000, on a cumulative basis. For the year ended December 31, 2024, the Company paid $600,000 for such services. Mr. Contino resigned as Interim CFO on February 3, 2025, and as principal accounting officer on March 18, 2025.</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Wasatch Resource Recovery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March 17, 2025, Fortistar, through its subsidiary Wasatch RNG LLC (“Wasatch RNG”), acquired all of the limited liability company interests outstanding in Alpro SD, LLC (“Alpro” and such acquired interest, the “Alpro Interest”). Alpro owns a 50% limited liability company interest in Wasatch Resource Recovery, LLC (the “Project” or “Wasatch” and such ownership interest, the “Wasatch Interest”) and a 50% tenancy-in-common interest in certain real estate and operating assets used by Wasatch (the “Project Interest”). As a result of the acquisition, Wasatch RNG has the option to increase the Wasatch Interest and the Project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acquisition, FS2 and Opco entered into an amendment to the Administrative Services Agreement, pursuant to which Opco will provide certain services to Wasatch RNG in exchange for certain agreed upon fees and expense reimbursements. These services include oversight of the plan to improve the operations and productivity of the Project.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Wasatch RNG and Opco entered into an Option Agreement, pursuant to which Wasatch RNG granted an option to Opco to purchase the Alpro Interest. The exercise period of the option commenced upon closing of the acquisition and will terminate on the third anniversary of the closing of the acquisition, or ninety days following a change of control of Opco. The exercise price of the option would be determined such that Wasatch RNG would earn an internal rate of return on its invested capital of 10% percent per year if the option is exercised in the first year, 15% per year if exercised in the second year, and 20% per year if exercised in the third year.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Hillman Restructuring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11, 2020, Hillman, Hillman Power Company LLC (“Hillman Power”), and Customers Bank, among others, entered into a Loan and Guaranty Agreement (the “Customers Loan Agreement”)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and is currently serving in the same capacity with us. Prior to being appointed of Co-Chief Executive Officer of OPAL in 2021, Mr. Maurer served as a Managing Director of Fortistar.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“Pledged Membership Interests”).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Opco and Hillman entered into an Exchange Agreement pursuant to which Hillman transferred the Pledged Membership Interests in exchange for the issuance of equity ownership interests in Opco (collectively, the “OPAL Fuels Membership Interests”) consisting of (i) 14 Common Units (representing 1.4% of the current outstanding common membership interests in Opco) and (ii) 300,000 Series A-1 Preferred Units of Opco, which are redeemable after four years at the option of Hillman for an aggregate redemption price of $30,000,000, plus accrued and unpaid dividends thereon (collectively, the “Exchange”).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Hillman Power, Hillman and Customers Bank entered into a Limited Consent and First Amendment to Loan and Guaranty Agreement (the “Limited Consent”) pursuant to which Customers Bank consented to the Exchange, amended the Customers Loan Agreement and released its security interest in the Pledged Membership Interests (the “Lien”).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Sponsor Letter Agreement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(i) ArcLight Clean Transition Corp. II ("ArcLight"), (ii) Sponsor, (iii) Opco, (iv) each executive officer of ArcLight and (v) 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of the Business Combination,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 pay ArcLight’s transaction expenses to the extent they exceeded $26,000,000 in connection with the Business Combination.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Transactions with NextEra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redeemable preferred non-controlling interests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 The Company recorded paid-in-kind preferred dividend of $0 and $8,421 for the years ended December 31, 2024 and 2023, respectively. As of December 31, 2024 and 2023, there was accrued preferred dividend payable of $0 and $2,013,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and sale agreement for environmental attributes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On November 29, 2021, the Company entered into a purchase and sale agreement with NextEra for the environmental attributes ("EA Sale Agreement")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years ended December 31, 2024 and 2023, the Company earned net revenues after discount and fees of $105,010</w:t>
      </w:r>
      <w:r>
        <w:rPr>
          <w:color w:val="000000"/>
        </w:rPr>
        <w:t xml:space="preserve"> </w:t>
      </w:r>
      <w:r>
        <w:rPr>
          <w:rFonts w:ascii="Times New Roman;sans-serif" w:hAnsi="Times New Roman;sans-serif"/>
          <w:b w:val="false"/>
          <w:color w:val="000000"/>
          <w:sz w:val="20"/>
        </w:rPr>
        <w:t>and $84,537, respectively under this contract which was recorded as part of Revenues - RNG fuel and Fuel Station Services.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Ancillary to the EA Sale Agreement, on March 26, 2025, the Company entered into a NAESB Base Contract with NextEra (together with certain special conditions, a letter agreement, and an RNG addendum, the "NAESB Contract"). In accordance with the NAESB Contract, the Company may enter into transaction confirmations on a periodic basis for the sale of RNG generated by the RNG Fuels business and NextEra may elect to utilize the Company to market such RNG to generate RINs for NextEra. On March 26, 2025, the Company and NextEra entered into such transaction confirmations relating to 255,000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MMBtus of March 2025 production, pursuant to which the Company will receive net proceeds from NextEra for the sale of the RNG based on the agreed upon price less a specified discount, which, among other factors, takes into account the Company's RNG marketing fee.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Commodity swap contracts under ISDA</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Company entered into an ISDA agreement with NextEra in November 2019. Pursuant to the agreement, the Company entered into commodity swap contracts on a periodic basis. The Company records the realized and unrealized gain (loss) on these commodity swap contracts as part of Revenues - Renewable Power. Additionally, the Company has contracts to sell renewable energy credits and capacity to NextEra on multiple Rene</w:t>
      </w:r>
      <w:r>
        <w:rPr>
          <w:rFonts w:ascii="Times New Roman;sans-serif" w:hAnsi="Times New Roman;sans-serif"/>
          <w:b w:val="false"/>
          <w:color w:val="000000"/>
          <w:sz w:val="20"/>
          <w:shd w:fill="FFFFFF" w:val="clear"/>
        </w:rPr>
        <w:t>wable Power facilities at market price. The Company recorded $57 and $2,602 as revenues earned under these contracts fo</w:t>
      </w:r>
      <w:r>
        <w:rPr>
          <w:rFonts w:ascii="Times New Roman;sans-serif" w:hAnsi="Times New Roman;sans-serif"/>
          <w:b w:val="false"/>
          <w:color w:val="000000"/>
          <w:sz w:val="20"/>
        </w:rPr>
        <w:t>r the years ended December 31, 2024 and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shares of Class A common stock for PIPE investment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the Company raised $138,850 in cash net of transaction expenses of $9,700 representing cash received from the closing of the Business Combination and PIPE investment. NextEra subscribed to the PIPE investment and was issued 2,500,000 shares of Class A common stock at $10.00 per share.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Investor Rights Agreement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Opco, Ares, Hillman and the Class B Shareholders (collectively the “OPAL Holders”)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Tax Receivable Agreement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becoming a public company via business combination transaction on July 21, 2022, we entered into a tax receivable agreement (the "Tax Receivable Agreement") with various participants, pursuant to which we are required to pay holders of OPAL Fuels LLC ("Opco") common units,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 the extent characterized as imputed interest), and (ii) tax benefits attributable to the portion of any payments made under the Tax Receivable Agreement treated as imputed interest. The payment obligations under the Tax Receivable Agreement are our obligations and not obligations of Opco.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Payments under the Tax Receivable Agreement will be based on the tax reporting positions that we determine, and the IRS or another tax authority may challenge all or a part of the tax basis increases or other tax attributes subject to 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be approximately $133.0 million depending on Opco’s rate of recovery of the tax basis increases associated with the deemed exchange of the Opco Common Units (other than those held by us). This estimated TRA lump-sum payment is calculated using a discount rate equal to 7.47%, applied against an undiscounted liability of approximately $240.8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 is more likely than not that the deferred tax assets will not be realized in accordance with ASC Topic 740, ‘Income Taxes’.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Finally, because we are a holding company with no operations of its own, our ability to make payments under the Tax Receivable Agreement depends on the ability of Opco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2022, OPAL entered into certain Indemnification Agreements (“Indemnification Agreements”) with each of its directors and executive officers. The Indemnification Agreements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Indemnification Agreements is qualified in its entirety by the full text of the Indemnification Agreements, a copy of each of which has been filed as an exhibit to the Registration Statement on Form S-4 (File No. 333-262583), filed on May 6, 2022.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Sponsor Letter Agreement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connection with the Closing,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were to receive less than $6,800,000 in cash upon the release of the escrow fund established pursuant to the Forward Purchase Agreement (such shortfall amount being referred to as the “Shortfall Amount”), Sponsor shall transfer, pledge or forfeit up to an additional 102,000 shares of Class A common stock currently subject to forfeiture under earn-out provisions as provided in the Sponsor Letter Agreement entered into on December 2, 2021 among OPAL, Sponsor, Opco and certain other persons (with such maximum number of shares pro-rated on a directly proportionate basis based on the size of the Shortfall Amount relative to $6,800,000). In January 2023, the Sponsor forfeited 197,258 shares related to this Sponsor Letter Agreement.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bookmarkStart w:id="13" w:name="i3361e6fd901a46cda1ffc102cae12adf_118520"/>
      <w:bookmarkEnd w:id="13"/>
      <w:r>
        <w:rPr>
          <w:rFonts w:ascii="Times New Roman;sans-serif" w:hAnsi="Times New Roman;sans-serif"/>
          <w:b/>
          <w:color w:val="000000"/>
          <w:sz w:val="20"/>
        </w:rPr>
        <w:t>HOUSEHOLDING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permitted by rules adopted by the SEC, we are delivering a single set of proxy materials including our Annual Report on Form 10-K for the year ended December 31, 2024 and this proxy statement to any household at which two or more stockholders reside if we believe the stockholders are members of the same family, unless otherwise instructed by one or more of the stockholders. We will promptly deliver separate copies of these documents upon the written or oral request of any stockholders at a shared address to which a single copy of the documents was delivered.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your household received a single set of any of these documents, but you would prefer to receive your own copy, or if you share an address with another stockholder and together both of you would like to receive only a single set of these documents, please contact Broadridge and inform them of your request by calling them at (866) 540-7095 or writing them at Householding Department, 51 Mercedes Way, Edgewood, NY 11717. Be sure to include your name, the name of your brokerage firm and your account number with your brokerage firm (if applicable). If you currently share an address with another stockholder but are nonetheless receiving separate copies of the materials, you may request delivery of a single copy in the future by contacting the Broadridge Householding Department at the number or address shown above.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bookmarkStart w:id="14" w:name="i3361e6fd901a46cda1ffc102cae12adf_118521"/>
      <w:bookmarkEnd w:id="14"/>
      <w:r>
        <w:rPr>
          <w:rFonts w:ascii="Times New Roman;sans-serif" w:hAnsi="Times New Roman;sans-serif"/>
          <w:b/>
          <w:color w:val="000000"/>
          <w:sz w:val="20"/>
        </w:rPr>
        <w:t>OTHER MATTERS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copy of our Form 10-K for the year ended December 31, 2024, without exhibits, will be available electronically with this proxy statement. Stockholders are referred to the Form 10-K for financial and other information about the Company.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Physical copies of our Form 10-K for the year ended December 31, 2024 may be obtained without charge by writing to John Coghlin, General Counsel and Corporate Secretary, One North Lexington Ave, White Plains, New York 10601 or by telephone at (914) 705-4000. Exhibits will be furnished upon request. The SEC maintains a web site that contains reports, proxy and information statements and other information regarding registrants that file electronically with the SEC. The address of such site is </w:t>
      </w:r>
      <w:r>
        <w:rPr>
          <w:rFonts w:ascii="Times New Roman;sans-serif" w:hAnsi="Times New Roman;sans-serif"/>
          <w:b w:val="false"/>
          <w:i/>
          <w:color w:val="000000"/>
          <w:sz w:val="20"/>
        </w:rPr>
        <w:t>http://www.sec.gov</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pay for the cost of soliciting proxies. Proxies may be solicited on our behalf by our directors, officers, or employees in person or by telephone, electronic transmission, and facsimile transmission, but such persons will not receive any special compensation for such services. We will reimburse banks, brokers and other custodians, nominees, and fiduciaries for their out-of-pocket costs of sending the proxy materials to our beneficial owners.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the filing of this proxy statement, we are not aware of any matters to be raised at the Meeting other than those referred to in this proxy statement. If other matters are properly presented at the Meeting for consideration, the persons named in the form of proxy will vote the shares they represent in their discretion.</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400800" cy="8334375"/>
            <wp:effectExtent l="0" t="0" r="0" b="0"/>
            <wp:docPr id="4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 descr=""/>
                    <pic:cNvPicPr>
                      <a:picLocks noChangeAspect="1" noChangeArrowheads="1"/>
                    </pic:cNvPicPr>
                  </pic:nvPicPr>
                  <pic:blipFill>
                    <a:blip r:embed="rId2"/>
                    <a:stretch>
                      <a:fillRect/>
                    </a:stretch>
                  </pic:blipFill>
                  <pic:spPr bwMode="auto">
                    <a:xfrm>
                      <a:off x="0" y="0"/>
                      <a:ext cx="6400800" cy="8334375"/>
                    </a:xfrm>
                    <a:prstGeom prst="rect">
                      <a:avLst/>
                    </a:prstGeom>
                  </pic:spPr>
                </pic:pic>
              </a:graphicData>
            </a:graphic>
          </wp:inline>
        </w:drawing>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6400800" cy="8667750"/>
            <wp:effectExtent l="0" t="0" r="0" b="0"/>
            <wp:docPr id="4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 descr=""/>
                    <pic:cNvPicPr>
                      <a:picLocks noChangeAspect="1" noChangeArrowheads="1"/>
                    </pic:cNvPicPr>
                  </pic:nvPicPr>
                  <pic:blipFill>
                    <a:blip r:embed="rId3"/>
                    <a:stretch>
                      <a:fillRect/>
                    </a:stretch>
                  </pic:blipFill>
                  <pic:spPr bwMode="auto">
                    <a:xfrm>
                      <a:off x="0" y="0"/>
                      <a:ext cx="6400800" cy="866775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23100</Words>
  <Characters>121406</Characters>
  <CharactersWithSpaces>143594</CharactersWithSpaces>
  <Paragraphs>1308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