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North Lexington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1450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New York 10601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OPAL Fuels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333-266757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Ann Anthony: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1,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Company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can be no assurance that we will be able to comply with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continued listing standards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Nasdaq, page 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1, and note your risk factor disclosure that if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required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repurchase any shares of its Class A common stock from Meteora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forward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agreement, it may cause the company to fail to satisfy</w:t>
      </w:r>
    </w:p>
    <w:p>
      <w:pPr>
        <w:ind w:left="590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Nasdaq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minimum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 requirements. However, we note that you have not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such risk in</w:t>
      </w:r>
    </w:p>
    <w:p>
      <w:pPr>
        <w:ind w:left="120" w:right="423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summary. If you do not believe that such Ann Anthony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is required in your prospectus summary, please provide your analysis. Refer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Items 105(b) and 503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3, and reissue such comment. The fee table filed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Exhibit 107 does not appear to be consistent with the description of the transactions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registered as set forth on your prospectus cover page. For example, it does not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that the fee table includes the issuance by the registrant of the shares of Class A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underlying the Private Placement Warrants. Please revise.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 Dougherty, Staff Attorney, at (202) 551-3271 or Laura Nicholson,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Counsel, at (202) 551-3584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 Anthony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NameOPAL Fuels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M. Welch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2022-12-09T23:09:19Z</dcterms:created>
  <dcterms:modified xsi:type="dcterms:W3CDTF">2022-12-09T23:09:19Z</dcterms:modified>
</cp:coreProperties>
</file>