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3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September 29, 2025</w:t>
      </w:r>
    </w:p>
    <w:p>
      <w:pPr>
        <w:spacing w:after="0" w:line="26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OPAL Fuels Inc.</w:t>
      </w:r>
    </w:p>
    <w:p>
      <w:pPr>
        <w:spacing w:after="0" w:line="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272" w:lineRule="exact"/>
        <w:rPr>
          <w:sz w:val="24"/>
          <w:szCs w:val="24"/>
          <w:color w:val="auto"/>
        </w:rPr>
      </w:pPr>
    </w:p>
    <w:tbl>
      <w:tblPr>
        <w:tblLayout w:type="fixed"/>
        <w:tblInd w:w="800" w:type="dxa"/>
        <w:tblCellMar>
          <w:top w:w="0" w:type="dxa"/>
          <w:left w:w="0" w:type="dxa"/>
          <w:bottom w:w="0" w:type="dxa"/>
          <w:right w:w="0" w:type="dxa"/>
        </w:tblCellMar>
      </w:tblPr>
      <w:tr>
        <w:trPr>
          <w:trHeight w:val="194"/>
        </w:trPr>
        <w:tc>
          <w:tcPr>
            <w:tcW w:w="3400" w:type="dxa"/>
            <w:vAlign w:val="bottom"/>
          </w:tcPr>
          <w:p>
            <w:pPr>
              <w:jc w:val="center"/>
              <w:ind w:right="582"/>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2960" w:type="dxa"/>
            <w:vAlign w:val="bottom"/>
          </w:tcPr>
          <w:p>
            <w:pPr>
              <w:jc w:val="right"/>
              <w:ind w:right="1042"/>
              <w:spacing w:after="0"/>
              <w:rPr>
                <w:sz w:val="20"/>
                <w:szCs w:val="20"/>
                <w:color w:val="auto"/>
              </w:rPr>
            </w:pPr>
            <w:r>
              <w:rPr>
                <w:rFonts w:ascii="Times New Roman" w:cs="Times New Roman" w:eastAsia="Times New Roman" w:hAnsi="Times New Roman"/>
                <w:sz w:val="16"/>
                <w:szCs w:val="16"/>
                <w:b w:val="1"/>
                <w:bCs w:val="1"/>
                <w:color w:val="auto"/>
              </w:rPr>
              <w:t>001-40272</w:t>
            </w:r>
          </w:p>
        </w:tc>
        <w:tc>
          <w:tcPr>
            <w:tcW w:w="2740" w:type="dxa"/>
            <w:vAlign w:val="bottom"/>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98-1578357</w:t>
            </w:r>
          </w:p>
        </w:tc>
      </w:tr>
      <w:tr>
        <w:trPr>
          <w:trHeight w:val="180"/>
        </w:trPr>
        <w:tc>
          <w:tcPr>
            <w:tcW w:w="3400" w:type="dxa"/>
            <w:vAlign w:val="bottom"/>
          </w:tcPr>
          <w:p>
            <w:pPr>
              <w:jc w:val="center"/>
              <w:ind w:right="582"/>
              <w:spacing w:after="0" w:line="180" w:lineRule="exact"/>
              <w:rPr>
                <w:sz w:val="20"/>
                <w:szCs w:val="20"/>
                <w:color w:val="auto"/>
              </w:rPr>
            </w:pPr>
            <w:r>
              <w:rPr>
                <w:rFonts w:ascii="Times New Roman" w:cs="Times New Roman" w:eastAsia="Times New Roman" w:hAnsi="Times New Roman"/>
                <w:sz w:val="16"/>
                <w:szCs w:val="16"/>
                <w:color w:val="auto"/>
                <w:w w:val="97"/>
              </w:rPr>
              <w:t>(State or other jurisdiction of</w:t>
            </w:r>
          </w:p>
        </w:tc>
        <w:tc>
          <w:tcPr>
            <w:tcW w:w="29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(Commission File Number)</w:t>
            </w:r>
          </w:p>
        </w:tc>
        <w:tc>
          <w:tcPr>
            <w:tcW w:w="2740" w:type="dxa"/>
            <w:vAlign w:val="bottom"/>
          </w:tcPr>
          <w:p>
            <w:pPr>
              <w:jc w:val="center"/>
              <w:ind w:left="502"/>
              <w:spacing w:after="0" w:line="180" w:lineRule="exact"/>
              <w:rPr>
                <w:sz w:val="20"/>
                <w:szCs w:val="20"/>
                <w:color w:val="auto"/>
              </w:rPr>
            </w:pPr>
            <w:r>
              <w:rPr>
                <w:rFonts w:ascii="Times New Roman" w:cs="Times New Roman" w:eastAsia="Times New Roman" w:hAnsi="Times New Roman"/>
                <w:sz w:val="16"/>
                <w:szCs w:val="16"/>
                <w:color w:val="auto"/>
                <w:w w:val="97"/>
              </w:rPr>
              <w:t>(IRS Employer Identification No.)</w:t>
            </w:r>
          </w:p>
        </w:tc>
      </w:tr>
      <w:tr>
        <w:trPr>
          <w:trHeight w:val="203"/>
        </w:trPr>
        <w:tc>
          <w:tcPr>
            <w:tcW w:w="3400" w:type="dxa"/>
            <w:vAlign w:val="bottom"/>
          </w:tcPr>
          <w:p>
            <w:pPr>
              <w:jc w:val="center"/>
              <w:ind w:right="582"/>
              <w:spacing w:after="0"/>
              <w:rPr>
                <w:sz w:val="20"/>
                <w:szCs w:val="20"/>
                <w:color w:val="auto"/>
              </w:rPr>
            </w:pPr>
            <w:r>
              <w:rPr>
                <w:rFonts w:ascii="Times New Roman" w:cs="Times New Roman" w:eastAsia="Times New Roman" w:hAnsi="Times New Roman"/>
                <w:sz w:val="16"/>
                <w:szCs w:val="16"/>
                <w:color w:val="auto"/>
                <w:w w:val="98"/>
              </w:rPr>
              <w:t>incorporation)</w:t>
            </w:r>
          </w:p>
        </w:tc>
        <w:tc>
          <w:tcPr>
            <w:tcW w:w="296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00" w:type="dxa"/>
            <w:vAlign w:val="bottom"/>
          </w:tcPr>
          <w:p>
            <w:pPr>
              <w:jc w:val="center"/>
              <w:ind w:right="582"/>
              <w:spacing w:after="0"/>
              <w:rPr>
                <w:sz w:val="20"/>
                <w:szCs w:val="20"/>
                <w:color w:val="auto"/>
              </w:rPr>
            </w:pPr>
            <w:r>
              <w:rPr>
                <w:rFonts w:ascii="Times New Roman" w:cs="Times New Roman" w:eastAsia="Times New Roman" w:hAnsi="Times New Roman"/>
                <w:sz w:val="16"/>
                <w:szCs w:val="16"/>
                <w:b w:val="1"/>
                <w:bCs w:val="1"/>
                <w:color w:val="auto"/>
                <w:w w:val="97"/>
              </w:rPr>
              <w:t>One North Lexington Avenue</w:t>
            </w:r>
            <w:r>
              <w:rPr>
                <w:rFonts w:ascii="Arial" w:cs="Arial" w:eastAsia="Arial" w:hAnsi="Arial"/>
                <w:sz w:val="16"/>
                <w:szCs w:val="16"/>
                <w:b w:val="1"/>
                <w:bCs w:val="1"/>
                <w:color w:val="auto"/>
                <w:w w:val="97"/>
              </w:rPr>
              <w:t>,</w:t>
            </w:r>
            <w:r>
              <w:rPr>
                <w:rFonts w:ascii="Times New Roman" w:cs="Times New Roman" w:eastAsia="Times New Roman" w:hAnsi="Times New Roman"/>
                <w:sz w:val="16"/>
                <w:szCs w:val="16"/>
                <w:b w:val="1"/>
                <w:bCs w:val="1"/>
                <w:color w:val="auto"/>
                <w:w w:val="97"/>
              </w:rPr>
              <w:t xml:space="preserve"> Suite 1450</w:t>
            </w:r>
          </w:p>
        </w:tc>
        <w:tc>
          <w:tcPr>
            <w:tcW w:w="296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5"/>
        </w:trPr>
        <w:tc>
          <w:tcPr>
            <w:tcW w:w="3400" w:type="dxa"/>
            <w:vAlign w:val="bottom"/>
          </w:tcPr>
          <w:p>
            <w:pPr>
              <w:jc w:val="center"/>
              <w:ind w:right="582"/>
              <w:spacing w:after="0"/>
              <w:rPr>
                <w:sz w:val="20"/>
                <w:szCs w:val="20"/>
                <w:color w:val="auto"/>
              </w:rPr>
            </w:pPr>
            <w:r>
              <w:rPr>
                <w:rFonts w:ascii="Times New Roman" w:cs="Times New Roman" w:eastAsia="Times New Roman" w:hAnsi="Times New Roman"/>
                <w:sz w:val="16"/>
                <w:szCs w:val="16"/>
                <w:b w:val="1"/>
                <w:bCs w:val="1"/>
                <w:color w:val="auto"/>
                <w:w w:val="97"/>
              </w:rPr>
              <w:t>White Plains, New York</w:t>
            </w:r>
          </w:p>
        </w:tc>
        <w:tc>
          <w:tcPr>
            <w:tcW w:w="2960" w:type="dxa"/>
            <w:vAlign w:val="bottom"/>
          </w:tcPr>
          <w:p>
            <w:pPr>
              <w:spacing w:after="0"/>
              <w:rPr>
                <w:sz w:val="17"/>
                <w:szCs w:val="17"/>
                <w:color w:val="auto"/>
              </w:rPr>
            </w:pPr>
          </w:p>
        </w:tc>
        <w:tc>
          <w:tcPr>
            <w:tcW w:w="2740" w:type="dxa"/>
            <w:vAlign w:val="bottom"/>
          </w:tcPr>
          <w:p>
            <w:pPr>
              <w:jc w:val="right"/>
              <w:ind w:right="822"/>
              <w:spacing w:after="0"/>
              <w:rPr>
                <w:sz w:val="20"/>
                <w:szCs w:val="20"/>
                <w:color w:val="auto"/>
              </w:rPr>
            </w:pPr>
            <w:r>
              <w:rPr>
                <w:rFonts w:ascii="Times New Roman" w:cs="Times New Roman" w:eastAsia="Times New Roman" w:hAnsi="Times New Roman"/>
                <w:sz w:val="16"/>
                <w:szCs w:val="16"/>
                <w:b w:val="1"/>
                <w:bCs w:val="1"/>
                <w:color w:val="auto"/>
              </w:rPr>
              <w:t>10601</w:t>
            </w:r>
          </w:p>
        </w:tc>
      </w:tr>
      <w:tr>
        <w:trPr>
          <w:trHeight w:val="240"/>
        </w:trPr>
        <w:tc>
          <w:tcPr>
            <w:tcW w:w="3400" w:type="dxa"/>
            <w:vAlign w:val="bottom"/>
          </w:tcPr>
          <w:p>
            <w:pPr>
              <w:jc w:val="center"/>
              <w:ind w:right="562"/>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2960" w:type="dxa"/>
            <w:vAlign w:val="bottom"/>
          </w:tcPr>
          <w:p>
            <w:pPr>
              <w:spacing w:after="0"/>
              <w:rPr>
                <w:sz w:val="20"/>
                <w:szCs w:val="20"/>
                <w:color w:val="auto"/>
              </w:rPr>
            </w:pPr>
          </w:p>
        </w:tc>
        <w:tc>
          <w:tcPr>
            <w:tcW w:w="274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6"/>
              </w:rPr>
              <w:t>(Zip Code)</w:t>
            </w:r>
          </w:p>
        </w:tc>
      </w:tr>
    </w:tbl>
    <w:p>
      <w:pPr>
        <w:spacing w:after="0" w:line="2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(914) 705-4000</w:t>
      </w:r>
    </w:p>
    <w:p>
      <w:pPr>
        <w:spacing w:after="0" w:line="2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9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95" w:lineRule="exact"/>
        <w:rPr>
          <w:sz w:val="24"/>
          <w:szCs w:val="24"/>
          <w:color w:val="auto"/>
        </w:rPr>
      </w:pPr>
    </w:p>
    <w:p>
      <w:pPr>
        <w:ind w:left="660" w:hanging="408"/>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rPr>
      </w:pPr>
    </w:p>
    <w:p>
      <w:pPr>
        <w:ind w:left="660" w:hanging="408"/>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4" w:lineRule="exact"/>
        <w:rPr>
          <w:rFonts w:ascii="MS PGothic" w:cs="MS PGothic" w:eastAsia="MS PGothic" w:hAnsi="MS PGothic"/>
          <w:sz w:val="16"/>
          <w:szCs w:val="16"/>
          <w:color w:val="auto"/>
        </w:rPr>
      </w:pPr>
    </w:p>
    <w:p>
      <w:pPr>
        <w:ind w:left="660" w:hanging="408"/>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4" w:lineRule="exact"/>
        <w:rPr>
          <w:rFonts w:ascii="MS PGothic" w:cs="MS PGothic" w:eastAsia="MS PGothic" w:hAnsi="MS PGothic"/>
          <w:sz w:val="16"/>
          <w:szCs w:val="16"/>
          <w:color w:val="auto"/>
        </w:rPr>
      </w:pPr>
    </w:p>
    <w:p>
      <w:pPr>
        <w:ind w:left="660" w:hanging="408"/>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6" w:lineRule="exact"/>
        <w:rPr>
          <w:sz w:val="24"/>
          <w:szCs w:val="24"/>
          <w:color w:val="auto"/>
        </w:rPr>
      </w:pPr>
    </w:p>
    <w:tbl>
      <w:tblPr>
        <w:tblLayout w:type="fixed"/>
        <w:tblInd w:w="40" w:type="dxa"/>
        <w:tblCellMar>
          <w:top w:w="0" w:type="dxa"/>
          <w:left w:w="0" w:type="dxa"/>
          <w:bottom w:w="0" w:type="dxa"/>
          <w:right w:w="0" w:type="dxa"/>
        </w:tblCellMar>
      </w:tblPr>
      <w:tr>
        <w:trPr>
          <w:trHeight w:val="203"/>
        </w:trPr>
        <w:tc>
          <w:tcPr>
            <w:tcW w:w="4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1440" w:type="dxa"/>
            <w:vAlign w:val="bottom"/>
          </w:tcPr>
          <w:p>
            <w:pPr>
              <w:spacing w:after="0"/>
              <w:rPr>
                <w:sz w:val="16"/>
                <w:szCs w:val="16"/>
                <w:color w:val="auto"/>
              </w:rPr>
            </w:pPr>
          </w:p>
        </w:tc>
        <w:tc>
          <w:tcPr>
            <w:tcW w:w="3140" w:type="dxa"/>
            <w:vAlign w:val="bottom"/>
            <w:gridSpan w:val="2"/>
          </w:tcPr>
          <w:p>
            <w:pPr>
              <w:jc w:val="center"/>
              <w:ind w:right="1980"/>
              <w:spacing w:after="0" w:line="175" w:lineRule="exact"/>
              <w:rPr>
                <w:sz w:val="20"/>
                <w:szCs w:val="20"/>
                <w:color w:val="auto"/>
              </w:rPr>
            </w:pPr>
            <w:r>
              <w:rPr>
                <w:rFonts w:ascii="Times New Roman" w:cs="Times New Roman" w:eastAsia="Times New Roman" w:hAnsi="Times New Roman"/>
                <w:sz w:val="16"/>
                <w:szCs w:val="16"/>
                <w:b w:val="1"/>
                <w:bCs w:val="1"/>
                <w:color w:val="auto"/>
                <w:w w:val="96"/>
              </w:rPr>
              <w:t>Title of each class</w:t>
            </w:r>
          </w:p>
        </w:tc>
        <w:tc>
          <w:tcPr>
            <w:tcW w:w="2420" w:type="dxa"/>
            <w:vAlign w:val="bottom"/>
            <w:gridSpan w:val="2"/>
          </w:tcPr>
          <w:p>
            <w:pPr>
              <w:jc w:val="center"/>
              <w:ind w:right="1140"/>
              <w:spacing w:after="0" w:line="175" w:lineRule="exact"/>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290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7"/>
              </w:rPr>
              <w:t>Name of each exchange on which registered</w:t>
            </w:r>
          </w:p>
        </w:tc>
      </w:tr>
      <w:tr>
        <w:trPr>
          <w:trHeight w:val="24"/>
        </w:trPr>
        <w:tc>
          <w:tcPr>
            <w:tcW w:w="14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9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2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58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color w:val="auto"/>
                <w:w w:val="97"/>
              </w:rPr>
              <w:t>Class A common stock, par value $0.0001 per share</w:t>
            </w:r>
          </w:p>
        </w:tc>
        <w:tc>
          <w:tcPr>
            <w:tcW w:w="2420" w:type="dxa"/>
            <w:vAlign w:val="bottom"/>
            <w:gridSpan w:val="2"/>
          </w:tcPr>
          <w:p>
            <w:pPr>
              <w:jc w:val="center"/>
              <w:ind w:right="1140"/>
              <w:spacing w:after="0"/>
              <w:rPr>
                <w:sz w:val="20"/>
                <w:szCs w:val="20"/>
                <w:color w:val="auto"/>
              </w:rPr>
            </w:pPr>
            <w:r>
              <w:rPr>
                <w:rFonts w:ascii="Times New Roman" w:cs="Times New Roman" w:eastAsia="Times New Roman" w:hAnsi="Times New Roman"/>
                <w:sz w:val="16"/>
                <w:szCs w:val="16"/>
                <w:color w:val="auto"/>
                <w:w w:val="95"/>
              </w:rPr>
              <w:t>OPAL</w:t>
            </w:r>
          </w:p>
        </w:tc>
        <w:tc>
          <w:tcPr>
            <w:tcW w:w="29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bl>
    <w:p>
      <w:pPr>
        <w:spacing w:after="0" w:line="181" w:lineRule="exact"/>
        <w:rPr>
          <w:sz w:val="24"/>
          <w:szCs w:val="24"/>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610235</wp:posOffset>
            </wp:positionV>
            <wp:extent cx="673290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 w:name="page2"/>
    <w:bookmarkEnd w:id="1"/>
    <w:p>
      <w:pPr>
        <w:spacing w:after="0" w:line="65" w:lineRule="exact"/>
        <w:rPr>
          <w:sz w:val="20"/>
          <w:szCs w:val="20"/>
          <w:color w:val="auto"/>
        </w:rPr>
      </w:pPr>
    </w:p>
    <w:p>
      <w:pPr>
        <w:spacing w:after="0" w:line="201"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724535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 w:name="page3"/>
    <w:bookmarkEnd w:id="2"/>
    <w:p>
      <w:pPr>
        <w:spacing w:after="0" w:line="255" w:lineRule="exact"/>
        <w:rPr>
          <w:sz w:val="20"/>
          <w:szCs w:val="20"/>
          <w:color w:val="auto"/>
        </w:rPr>
      </w:pPr>
    </w:p>
    <w:p>
      <w:pPr>
        <w:ind w:left="1140" w:right="1800" w:hanging="1127"/>
        <w:spacing w:after="0" w:line="246" w:lineRule="auto"/>
        <w:tabs>
          <w:tab w:leader="none" w:pos="1120" w:val="left"/>
        </w:tabs>
        <w:rPr>
          <w:sz w:val="20"/>
          <w:szCs w:val="20"/>
          <w:color w:val="auto"/>
        </w:rPr>
      </w:pPr>
      <w:r>
        <w:rPr>
          <w:rFonts w:ascii="Times New Roman" w:cs="Times New Roman" w:eastAsia="Times New Roman" w:hAnsi="Times New Roman"/>
          <w:sz w:val="16"/>
          <w:szCs w:val="16"/>
          <w:b w:val="1"/>
          <w:bCs w:val="1"/>
          <w:color w:val="auto"/>
        </w:rPr>
        <w:t>Item 5.02.</w:t>
      </w:r>
      <w:r>
        <w:rPr>
          <w:sz w:val="20"/>
          <w:szCs w:val="20"/>
          <w:color w:val="auto"/>
        </w:rPr>
        <w:tab/>
      </w:r>
      <w:r>
        <w:rPr>
          <w:rFonts w:ascii="Times New Roman" w:cs="Times New Roman" w:eastAsia="Times New Roman" w:hAnsi="Times New Roman"/>
          <w:sz w:val="16"/>
          <w:szCs w:val="16"/>
          <w:b w:val="1"/>
          <w:bCs w:val="1"/>
          <w:color w:val="auto"/>
        </w:rPr>
        <w:t>Departure of Directors or Certain Officers; Election of Directors; Appointment of Certain Officers; Compensatory Arrangements of Certain Officers.</w:t>
      </w:r>
    </w:p>
    <w:p>
      <w:pPr>
        <w:spacing w:after="0" w:line="213"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On September 29, 2025, the board of directors (the “Board”) of OPAL Fuels Inc. (the “Company”) appointed Mr. Lance Moll to join the Board effective as of October 1, 2025.</w:t>
      </w:r>
    </w:p>
    <w:p>
      <w:pPr>
        <w:spacing w:after="0" w:line="119"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Mr. Moll, age 55, is a veteran executive with more than 33 years at FedEx Corporation (NYSE: FDX), culminating as President and Chief Executive Officer of FedEx Freight. Beyond his service with FedEx, Mr. Moll has participated in industry and community initiatives and has served on the boards of the Arkansas Trucking Association, American Trucking Associations (ATA) Trucking Cares Foundation, Southern Reins Center for Equine Therapy, and US Chamber of Commerce Foundation.</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Mr. Moll will receive compensation for his service as a non -employee member of the Board pursuant to the Company’s director compensation policy, which is described in the Company’s Proxy Statement filed with the Securities and Exchange Commission on April 25, 2025.</w:t>
      </w:r>
    </w:p>
    <w:p>
      <w:pPr>
        <w:spacing w:after="0" w:line="11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Because Mr. Moll was not a director in April 2025 and did not receive an equity award at such time (as were granted to the Company’s other non-employee directors), in connection with his appointment, Mr. Moll will receive an award of $67,500 in restricted stock units of the Company, based on the closing share price of the Company’s common stock on October 1, 2025. This amount was determined by multiplying $135,000 (which is the amount of the awards granted to the Company’s non-employee directors in April, 2025) by a fraction, the numerator of which equals the number of days between (1) October 1, 2025, the date on which Mr. Moll will commence service and (2) March 31, 2026, and the denominator of which is 365. This award will cliff vest on October 1, 2026.</w:t>
      </w:r>
    </w:p>
    <w:p>
      <w:pPr>
        <w:spacing w:after="0" w:line="13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Mr. Moll was not selected as a director pursuant to any arrangements or understandings with the Company or with any other person, and there are no related party transactions between Mr. Moll and the Company that would require disclosure under Item 404(a) of Regulation S-K.</w:t>
      </w:r>
    </w:p>
    <w:p>
      <w:pPr>
        <w:spacing w:after="0" w:line="165"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23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On September 29, 2025, the Company issued a press release announcing the appointment of Mr. Moll to the Board. A copy of the press release is attached hereto as Exhibit 99.1.</w:t>
      </w:r>
    </w:p>
    <w:p>
      <w:pPr>
        <w:spacing w:after="0" w:line="11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The information disclosed under this Item 7.01,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689610</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20" w:type="dxa"/>
            <w:vAlign w:val="bottom"/>
          </w:tcPr>
          <w:p>
            <w:pPr>
              <w:spacing w:after="0"/>
              <w:rPr>
                <w:sz w:val="21"/>
                <w:szCs w:val="21"/>
                <w:color w:val="auto"/>
              </w:rPr>
            </w:pPr>
          </w:p>
        </w:tc>
      </w:tr>
      <w:tr>
        <w:trPr>
          <w:trHeight w:val="204"/>
        </w:trPr>
        <w:tc>
          <w:tcPr>
            <w:tcW w:w="22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FF"/>
            </w:tcBorders>
          </w:tcPr>
          <w:p>
            <w:pPr>
              <w:spacing w:after="0" w:line="204" w:lineRule="exact"/>
              <w:rPr>
                <w:rFonts w:ascii="Times New Roman" w:cs="Times New Roman" w:eastAsia="Times New Roman" w:hAnsi="Times New Roman"/>
                <w:sz w:val="18"/>
                <w:szCs w:val="18"/>
                <w:color w:val="0000FF"/>
                <w:w w:val="99"/>
              </w:rPr>
            </w:pPr>
            <w:hyperlink w:anchor="page1">
              <w:r>
                <w:rPr>
                  <w:rFonts w:ascii="Times New Roman" w:cs="Times New Roman" w:eastAsia="Times New Roman" w:hAnsi="Times New Roman"/>
                  <w:sz w:val="18"/>
                  <w:szCs w:val="18"/>
                  <w:color w:val="0000FF"/>
                  <w:w w:val="99"/>
                </w:rPr>
                <w:t>Press release dated September 29, 2025</w:t>
              </w:r>
            </w:hyperlink>
          </w:p>
        </w:tc>
        <w:tc>
          <w:tcPr>
            <w:tcW w:w="5300" w:type="dxa"/>
            <w:vAlign w:val="bottom"/>
            <w:gridSpan w:val="2"/>
          </w:tcPr>
          <w:p>
            <w:pPr>
              <w:spacing w:after="0"/>
              <w:rPr>
                <w:sz w:val="17"/>
                <w:szCs w:val="17"/>
                <w:color w:val="auto"/>
              </w:rPr>
            </w:pPr>
          </w:p>
        </w:tc>
      </w:tr>
      <w:tr>
        <w:trPr>
          <w:trHeight w:val="28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07"/>
        </w:trPr>
        <w:tc>
          <w:tcPr>
            <w:tcW w:w="22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860" w:type="dxa"/>
            <w:vAlign w:val="bottom"/>
            <w:tcBorders>
              <w:bottom w:val="single" w:sz="8" w:color="EEEEEE"/>
            </w:tcBorders>
          </w:tcPr>
          <w:p>
            <w:pPr>
              <w:spacing w:after="0"/>
              <w:rPr>
                <w:sz w:val="24"/>
                <w:szCs w:val="24"/>
                <w:color w:val="auto"/>
              </w:rPr>
            </w:pPr>
          </w:p>
        </w:tc>
        <w:tc>
          <w:tcPr>
            <w:tcW w:w="428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334"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Arial" w:cs="Arial" w:eastAsia="Arial" w:hAnsi="Arial"/>
          <w:sz w:val="18"/>
          <w:szCs w:val="18"/>
          <w:color w:val="auto"/>
        </w:rPr>
        <w:t>September 29, 2025</w:t>
      </w:r>
    </w:p>
    <w:p>
      <w:pPr>
        <w:spacing w:after="0" w:line="5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01" w:lineRule="exact"/>
        <w:rPr>
          <w:sz w:val="20"/>
          <w:szCs w:val="20"/>
          <w:color w:val="auto"/>
        </w:rPr>
      </w:pPr>
    </w:p>
    <w:tbl>
      <w:tblPr>
        <w:tblLayout w:type="fixed"/>
        <w:tblInd w:w="5460" w:type="dxa"/>
        <w:tblCellMar>
          <w:top w:w="0" w:type="dxa"/>
          <w:left w:w="0" w:type="dxa"/>
          <w:bottom w:w="0" w:type="dxa"/>
          <w:right w:w="0" w:type="dxa"/>
        </w:tblCellMar>
      </w:tblP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Kazi Hasan</w:t>
            </w:r>
          </w:p>
        </w:tc>
        <w:tc>
          <w:tcPr>
            <w:tcW w:w="0" w:type="dxa"/>
            <w:vAlign w:val="bottom"/>
          </w:tcPr>
          <w:p>
            <w:pPr>
              <w:spacing w:after="0"/>
              <w:rPr>
                <w:sz w:val="1"/>
                <w:szCs w:val="1"/>
                <w:color w:val="auto"/>
              </w:rPr>
            </w:pPr>
          </w:p>
        </w:tc>
      </w:tr>
      <w:tr>
        <w:trPr>
          <w:trHeight w:val="26"/>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Name:</w:t>
            </w:r>
          </w:p>
        </w:tc>
        <w:tc>
          <w:tcPr>
            <w:tcW w:w="4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900" w:type="dxa"/>
            <w:vAlign w:val="bottom"/>
            <w:vMerge w:val="continue"/>
          </w:tcPr>
          <w:p>
            <w:pPr>
              <w:spacing w:after="0"/>
              <w:rPr>
                <w:sz w:val="17"/>
                <w:szCs w:val="17"/>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Kazi Hasan</w:t>
            </w:r>
          </w:p>
        </w:tc>
        <w:tc>
          <w:tcPr>
            <w:tcW w:w="0" w:type="dxa"/>
            <w:vAlign w:val="bottom"/>
          </w:tcPr>
          <w:p>
            <w:pPr>
              <w:spacing w:after="0"/>
              <w:rPr>
                <w:sz w:val="1"/>
                <w:szCs w:val="1"/>
                <w:color w:val="auto"/>
              </w:rPr>
            </w:pPr>
          </w:p>
        </w:tc>
      </w:tr>
      <w:tr>
        <w:trPr>
          <w:trHeight w:val="24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bl>
    <w:p>
      <w:pPr>
        <w:sectPr>
          <w:pgSz w:w="11900" w:h="16840" w:orient="portrait"/>
          <w:cols w:equalWidth="0" w:num="1">
            <w:col w:w="10560"/>
          </w:cols>
          <w:pgMar w:left="660" w:top="1419" w:right="68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1608455" cy="419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08455" cy="41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OPAL Fuels Announces Appointment of Lance Moll to its Board of Directors</w:t>
      </w:r>
    </w:p>
    <w:p>
      <w:pPr>
        <w:spacing w:after="0" w:line="22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9"/>
          <w:szCs w:val="19"/>
          <w:color w:val="auto"/>
        </w:rPr>
        <w:t xml:space="preserve">WHITE PLAINS, N.Y. – (September 29, 2025) – </w:t>
      </w:r>
      <w:r>
        <w:rPr>
          <w:rFonts w:ascii="Times New Roman" w:cs="Times New Roman" w:eastAsia="Times New Roman" w:hAnsi="Times New Roman"/>
          <w:sz w:val="19"/>
          <w:szCs w:val="19"/>
          <w:color w:val="0563C1"/>
        </w:rPr>
        <w:t>OPAL Fuels</w:t>
      </w:r>
      <w:r>
        <w:rPr>
          <w:rFonts w:ascii="Times New Roman" w:cs="Times New Roman" w:eastAsia="Times New Roman" w:hAnsi="Times New Roman"/>
          <w:sz w:val="19"/>
          <w:szCs w:val="19"/>
          <w:color w:val="auto"/>
        </w:rPr>
        <w:t xml:space="preserve"> (Nasdaq: OPAL) a leader in the production, marketing, and distribution of renewable and compressed natural gas (RNG and CNG) used as a transportation fuel, today announced the appointment of Lance Moll to its Board of Directors, effective October 1, 2025.</w:t>
      </w:r>
    </w:p>
    <w:p>
      <w:pPr>
        <w:spacing w:after="0" w:line="17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9"/>
          <w:szCs w:val="19"/>
          <w:color w:val="auto"/>
        </w:rPr>
        <w:t>OPAL Fuels’ vertical integration combines the upstream production of RNG and downstream fuel station infrastructure that delivers a scalable, low-cost and lower emission diesel alternative for the heavy-duty transportation sector. With RNG and CNG comprising approximately 2% of the Class 8 trucking fuel market, the industry is poised for significant growth. The appointment of Mr. Moll to the Board brings further expertise to support OPAL Fuels’ leadership in this growth opportunity.</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Lance Moll is a veteran executive with more than 33 years at FedEx, culminating as President and CEO of FedEx Freight, where he led more than 40,000 employees and drove record growth. Under Lance’s leadership, FedEx Freight’s revenue rose 30% and operating income nearly tripled. Lance has also served on the boards of the Arkansas Trucking Association, American Trucking Associations (ATA) Trucking Cares Foundation, Southern Reins Center for Equine Therapy, and US Chamber of Commerce Foundation.</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“RNG and CNG are the most practical solution to displace diesel in heavy-duty transportation. It delivers cost savings for fleets, has lower volatility in pricing, leverages proven truck technology, and is available at scale today,” said Mr. Moll. “I am excited to join the OPAL Fuels Board and contribute my experience across operations, sales, transportation, fleet maintenance, facility services, and safety to help drive adoption and expand the use of renewable and compressed natural gas as a transportation fuel.”</w:t>
      </w:r>
    </w:p>
    <w:p>
      <w:pPr>
        <w:spacing w:after="0" w:line="181" w:lineRule="exact"/>
        <w:rPr>
          <w:sz w:val="20"/>
          <w:szCs w:val="20"/>
          <w:color w:val="auto"/>
        </w:rPr>
      </w:pPr>
    </w:p>
    <w:p>
      <w:pPr>
        <w:jc w:val="both"/>
        <w:ind w:right="40"/>
        <w:spacing w:after="0" w:line="237" w:lineRule="auto"/>
        <w:rPr>
          <w:sz w:val="20"/>
          <w:szCs w:val="20"/>
          <w:color w:val="auto"/>
        </w:rPr>
      </w:pPr>
      <w:r>
        <w:rPr>
          <w:rFonts w:ascii="Times New Roman" w:cs="Times New Roman" w:eastAsia="Times New Roman" w:hAnsi="Times New Roman"/>
          <w:sz w:val="19"/>
          <w:szCs w:val="19"/>
          <w:color w:val="auto"/>
        </w:rPr>
        <w:t>“We are excited to welcome Lance to our Board. He is an incredibly accomplished leader whose deep experience will strengthen OPAL Fuels’ ability to achieve our business priorities and amplify our impact as a market leader,” said Mark Comora, Chairman of OPAL Fuels’ Board of Directors. “Lance’s proven experience in driving strategic growth, advancing operational excellence, and navigating complex markets will be instrumental as we decarbonize fleets in heavy-duty transportation.”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OPAL Fuels</w:t>
      </w:r>
    </w:p>
    <w:p>
      <w:pPr>
        <w:spacing w:after="0" w:line="10"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9"/>
          <w:szCs w:val="19"/>
          <w:color w:val="0563C1"/>
        </w:rPr>
        <w:t xml:space="preserve">OPAL Fuels </w:t>
      </w:r>
      <w:r>
        <w:rPr>
          <w:rFonts w:ascii="Times New Roman" w:cs="Times New Roman" w:eastAsia="Times New Roman" w:hAnsi="Times New Roman"/>
          <w:sz w:val="19"/>
          <w:szCs w:val="19"/>
          <w:color w:val="000000"/>
        </w:rPr>
        <w:t>(Nasdaq: OPAL) is a leader in the capture and conversion of biogas into low carbon intensity RNG and renewable</w:t>
      </w:r>
      <w:r>
        <w:rPr>
          <w:rFonts w:ascii="Times New Roman" w:cs="Times New Roman" w:eastAsia="Times New Roman" w:hAnsi="Times New Roman"/>
          <w:sz w:val="19"/>
          <w:szCs w:val="19"/>
          <w:color w:val="0563C1"/>
        </w:rPr>
        <w:t xml:space="preserve"> </w:t>
      </w:r>
      <w:r>
        <w:rPr>
          <w:rFonts w:ascii="Times New Roman" w:cs="Times New Roman" w:eastAsia="Times New Roman" w:hAnsi="Times New Roman"/>
          <w:sz w:val="19"/>
          <w:szCs w:val="19"/>
          <w:color w:val="000000"/>
        </w:rPr>
        <w:t>electricity. OPAL Fuels is also a leader in the marketing and distribution of RNG to heavy duty trucking and other hard to de-carbonize industrial sectors. For additional information, and to learn more about OPAL Fuels and how it is leading the effort to</w:t>
      </w:r>
    </w:p>
    <w:p>
      <w:pPr>
        <w:sectPr>
          <w:pgSz w:w="11900" w:h="16840" w:orient="portrait"/>
          <w:cols w:equalWidth="0" w:num="1">
            <w:col w:w="10580"/>
          </w:cols>
          <w:pgMar w:left="660" w:top="1440" w:right="660"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capture North America’s harmful methane emissions and decarbonize the economy, please visit </w:t>
      </w:r>
      <w:r>
        <w:rPr>
          <w:rFonts w:ascii="Times New Roman" w:cs="Times New Roman" w:eastAsia="Times New Roman" w:hAnsi="Times New Roman"/>
          <w:sz w:val="19"/>
          <w:szCs w:val="19"/>
          <w:color w:val="0563C1"/>
        </w:rPr>
        <w:t>www.opalfuels.com</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1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 -looking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10-K and quarterly reports on Form 10- Q, and other filings it makes with the Securities and Exchange Commission. Nothing in this communication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Disclaimer</w:t>
      </w:r>
    </w:p>
    <w:p>
      <w:pPr>
        <w:spacing w:after="0" w:line="10"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9"/>
          <w:szCs w:val="19"/>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Contact information</w:t>
      </w:r>
    </w:p>
    <w:p>
      <w:pPr>
        <w:sectPr>
          <w:pgSz w:w="11900" w:h="16840" w:orient="portrait"/>
          <w:cols w:equalWidth="0" w:num="1">
            <w:col w:w="10580"/>
          </w:cols>
          <w:pgMar w:left="660" w:top="1440" w:right="66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Investors</w:t>
      </w:r>
    </w:p>
    <w:p>
      <w:pPr>
        <w:spacing w:after="0" w:line="234" w:lineRule="auto"/>
        <w:rPr>
          <w:sz w:val="20"/>
          <w:szCs w:val="20"/>
          <w:color w:val="auto"/>
        </w:rPr>
      </w:pPr>
      <w:r>
        <w:rPr>
          <w:rFonts w:ascii="Times New Roman" w:cs="Times New Roman" w:eastAsia="Times New Roman" w:hAnsi="Times New Roman"/>
          <w:sz w:val="19"/>
          <w:szCs w:val="19"/>
          <w:color w:val="auto"/>
        </w:rPr>
        <w:t>Todd Firestone</w:t>
      </w:r>
    </w:p>
    <w:p>
      <w:pPr>
        <w:spacing w:after="0" w:line="224" w:lineRule="auto"/>
        <w:rPr>
          <w:sz w:val="20"/>
          <w:szCs w:val="20"/>
          <w:color w:val="auto"/>
        </w:rPr>
      </w:pPr>
      <w:r>
        <w:rPr>
          <w:rFonts w:ascii="Times New Roman" w:cs="Times New Roman" w:eastAsia="Times New Roman" w:hAnsi="Times New Roman"/>
          <w:sz w:val="19"/>
          <w:szCs w:val="19"/>
          <w:color w:val="auto"/>
        </w:rPr>
        <w:t>Vice President, Investor Relations and Corporate Development</w:t>
      </w:r>
    </w:p>
    <w:p>
      <w:pPr>
        <w:spacing w:after="0" w:line="1" w:lineRule="exact"/>
        <w:rPr>
          <w:sz w:val="20"/>
          <w:szCs w:val="20"/>
          <w:color w:val="auto"/>
        </w:rPr>
      </w:pPr>
    </w:p>
    <w:p>
      <w:pPr>
        <w:ind w:right="7840" w:firstLine="6"/>
        <w:spacing w:after="0" w:line="237" w:lineRule="auto"/>
        <w:tabs>
          <w:tab w:leader="none" w:pos="46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705-4001 </w:t>
      </w:r>
      <w:r>
        <w:rPr>
          <w:rFonts w:ascii="Times New Roman" w:cs="Times New Roman" w:eastAsia="Times New Roman" w:hAnsi="Times New Roman"/>
          <w:sz w:val="19"/>
          <w:szCs w:val="19"/>
          <w:color w:val="0563C1"/>
        </w:rPr>
        <w:t>investors@opalfuels.com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Media</w:t>
      </w:r>
    </w:p>
    <w:p>
      <w:pPr>
        <w:spacing w:after="0" w:line="234" w:lineRule="auto"/>
        <w:rPr>
          <w:sz w:val="20"/>
          <w:szCs w:val="20"/>
          <w:color w:val="auto"/>
        </w:rPr>
      </w:pPr>
      <w:r>
        <w:rPr>
          <w:rFonts w:ascii="Times New Roman" w:cs="Times New Roman" w:eastAsia="Times New Roman" w:hAnsi="Times New Roman"/>
          <w:sz w:val="19"/>
          <w:szCs w:val="19"/>
          <w:color w:val="auto"/>
        </w:rPr>
        <w:t>Harrison Feuer</w:t>
      </w:r>
    </w:p>
    <w:p>
      <w:pPr>
        <w:spacing w:after="0" w:line="224" w:lineRule="auto"/>
        <w:rPr>
          <w:sz w:val="20"/>
          <w:szCs w:val="20"/>
          <w:color w:val="auto"/>
        </w:rPr>
      </w:pPr>
      <w:r>
        <w:rPr>
          <w:rFonts w:ascii="Times New Roman" w:cs="Times New Roman" w:eastAsia="Times New Roman" w:hAnsi="Times New Roman"/>
          <w:sz w:val="19"/>
          <w:szCs w:val="19"/>
          <w:color w:val="auto"/>
        </w:rPr>
        <w:t>Senior Director, Communications &amp; Public Policy</w:t>
      </w:r>
    </w:p>
    <w:p>
      <w:pPr>
        <w:spacing w:after="0" w:line="1" w:lineRule="exact"/>
        <w:rPr>
          <w:sz w:val="20"/>
          <w:szCs w:val="20"/>
          <w:color w:val="auto"/>
        </w:rPr>
      </w:pPr>
    </w:p>
    <w:p>
      <w:pPr>
        <w:ind w:right="8040" w:firstLine="6"/>
        <w:spacing w:after="0" w:line="237" w:lineRule="auto"/>
        <w:tabs>
          <w:tab w:leader="none" w:pos="46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721-3723 </w:t>
      </w:r>
      <w:r>
        <w:rPr>
          <w:rFonts w:ascii="Times New Roman" w:cs="Times New Roman" w:eastAsia="Times New Roman" w:hAnsi="Times New Roman"/>
          <w:sz w:val="19"/>
          <w:szCs w:val="19"/>
          <w:color w:val="0563C1"/>
        </w:rPr>
        <w:t>hfeuer@opalfuels.com</w:t>
      </w:r>
    </w:p>
    <w:p>
      <w:pPr>
        <w:sectPr>
          <w:pgSz w:w="11900" w:h="16840" w:orient="portrait"/>
          <w:cols w:equalWidth="0" w:num="1">
            <w:col w:w="9800"/>
          </w:cols>
          <w:pgMar w:left="660" w:top="1440" w:right="1440" w:bottom="1440" w:gutter="0" w:footer="0" w:header="0"/>
        </w:sectPr>
      </w:pPr>
    </w:p>
    <w:bookmarkStart w:id="8" w:name="page9"/>
    <w:bookmarkEnd w:id="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14"/>
    </w:lvl>
  </w:abstractNum>
  <w:abstractNum w:abstractNumId="2">
    <w:nsid w:val="19495CFF"/>
    <w:multiLevelType w:val="hybridMultilevel"/>
    <w:lvl w:ilvl="0">
      <w:lvlJc w:val="left"/>
      <w:lvlText w:val="(%1)"/>
      <w:numFmt w:val="decimal"/>
      <w:start w:val="91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2025-09-30T11:13:39Z</dcterms:created>
  <dcterms:modified xsi:type="dcterms:W3CDTF">2025-09-30T11:13:39Z</dcterms:modified>
</cp:coreProperties>
</file>