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right="43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25, 2024, Mr. Anthony Falbo, chief operating officer of OPAL Fuels Inc. (“OPAL Fuels” or the “Company”), tendered his resignation, to be effective August 2, 2024, in order to pursue another opportunity, and the Company wishes him well with this new endeavor. The Company appreciates Mr. Falbo’s valuable contributions and leadership provided to OPAL Fuels during his tenure.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initiated a search for another qualified individual to fill the role of chief operating officer. The Co-Chief Executive Officers of OPAL Fuels will work with Mr. Falbo and take a more active role in leading the business unit managers to ensure a smooth transition of Mr. Falbo’s responsibilities during the interim period.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strong group of managers and experienced teams across all business units and is confident in the abilities of these managers and teams to carry out the day-to-day operations of OPAL Fuels as usual during this transition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2023, filed on March 15, 2024, as such factors may be updated from time to time in the Company’s periodic filings with the Securities and Exchange Commission (“SEC”), which are accessible on the SEC’s website at www.sec.gov.</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New risks emerge from time to time. It is not possible for the Company’s management to predict all risks, nor can the Company assess the impact of all factors on our business or the extent to which any factor, or combination of factors, may cause actual results to differ materially from those contained in any forward-looking statements it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1,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2024-07-01T15:41:40Z</dcterms:created>
  <dcterms:modified xsi:type="dcterms:W3CDTF">2024-07-01T15:41:40Z</dcterms:modified>
</cp:coreProperties>
</file>