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5658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6584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Maurer Jonathan Gilbert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33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6"/>
          <w:szCs w:val="16"/>
          <w:color w:val="0000FF"/>
        </w:rPr>
        <w:t>WHITE PLAINS NY</w:t>
      </w:r>
      <w:r>
        <w:rPr>
          <w:sz w:val="20"/>
          <w:szCs w:val="20"/>
          <w:color w:val="auto"/>
        </w:rPr>
        <w:tab/>
      </w:r>
      <w:r>
        <w:rPr>
          <w:rFonts w:ascii="Times New Roman" w:cs="Times New Roman" w:eastAsia="Times New Roman" w:hAnsi="Times New Roman"/>
          <w:sz w:val="16"/>
          <w:szCs w:val="16"/>
          <w:color w:val="0000FF"/>
        </w:rPr>
        <w:t>10601</w:t>
      </w:r>
    </w:p>
    <w:p>
      <w:pPr>
        <w:spacing w:after="0" w:line="3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03/31/2024</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Co-Chief Executive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8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420" w:space="4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jc w:val="center"/>
              <w:ind w:left="574"/>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6"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line="126"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03/31/2024</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35,869</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98,832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03/31/2024</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13,032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right"/>
              <w:ind w:right="1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85,800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60"/>
              <w:spacing w:after="0" w:line="126"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6"/>
                <w:szCs w:val="16"/>
                <w:color w:val="0000FF"/>
              </w:rPr>
              <w:t>201,613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201,613</w:t>
            </w:r>
          </w:p>
        </w:tc>
        <w:tc>
          <w:tcPr>
            <w:tcW w:w="4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0000FF"/>
              </w:rPr>
              <w:t>309,218</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color w:val="0000FF"/>
              </w:rPr>
              <w:t>35,869</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2"/>
                <w:szCs w:val="12"/>
                <w:color w:val="auto"/>
              </w:rPr>
            </w:pPr>
          </w:p>
        </w:tc>
        <w:tc>
          <w:tcPr>
            <w:tcW w:w="4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35,869</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0000FF"/>
              </w:rPr>
              <w:t>273,349</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6"/>
                <w:szCs w:val="16"/>
                <w:color w:val="0000FF"/>
              </w:rPr>
              <w:t>117,648</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5.02</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jc w:val="center"/>
              <w:ind w:right="381"/>
              <w:spacing w:after="0" w:line="139"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117,648</w:t>
            </w:r>
          </w:p>
        </w:tc>
        <w:tc>
          <w:tcPr>
            <w:tcW w:w="4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03/31/2034</w:t>
            </w:r>
          </w:p>
        </w:tc>
        <w:tc>
          <w:tcPr>
            <w:tcW w:w="5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117,648</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-2410460</wp:posOffset>
            </wp:positionV>
            <wp:extent cx="28575" cy="2415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155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2" w:lineRule="exact"/>
        <w:rPr>
          <w:rFonts w:ascii="Times New Roman" w:cs="Times New Roman" w:eastAsia="Times New Roman" w:hAnsi="Times New Roman"/>
          <w:sz w:val="13"/>
          <w:szCs w:val="13"/>
          <w:color w:val="008000"/>
        </w:rPr>
      </w:pPr>
    </w:p>
    <w:p>
      <w:pPr>
        <w:ind w:left="40" w:right="14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$5.02 per share, the closing price of Class A common stock on March 28, 2024.</w:t>
      </w:r>
    </w:p>
    <w:p>
      <w:pPr>
        <w:spacing w:after="0" w:line="22" w:lineRule="exact"/>
        <w:rPr>
          <w:rFonts w:ascii="Times New Roman" w:cs="Times New Roman" w:eastAsia="Times New Roman" w:hAnsi="Times New Roman"/>
          <w:sz w:val="13"/>
          <w:szCs w:val="13"/>
          <w:color w:val="008000"/>
        </w:rPr>
      </w:pPr>
    </w:p>
    <w:p>
      <w:pPr>
        <w:ind w:left="40" w:right="140" w:hanging="2"/>
        <w:spacing w:after="0" w:line="283"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restricted stock units ("RSUs") pursuant to the terms under the Issuer's 2022 Omnibus Equity Incentive Plan (the "Plan"), which represent a contingent right to receive one share of common stock for each RSU. 35,869 RSUs vested on March 31, 2024, 103,073 RSUs are scheduled to vest on March 31, 2025, 103,073 RSUs on March 31, 2026 and 67,203 RSUs on March 31, 2027.</w:t>
      </w:r>
    </w:p>
    <w:p>
      <w:pPr>
        <w:ind w:left="40" w:right="28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pursuant to the terms under the Plan at an exercise price of $5.02 per share, which was the closing price per share of the Issuer's Class A common stock on March 28, 2024, as quoted on the Nasdaq Stock Market. The Option vests in three (3) equal installments on each of the following dates: (i) March 31, 2025, (ii) March 31, 2026, and (iii) March 31, 2027, provided, that the Reporting Person continues to provide services to the Issuer through the applicable vesting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John Coghlin as Attorney-in- </w:t>
      </w:r>
      <w:r>
        <w:rPr>
          <w:rFonts w:ascii="Times New Roman" w:cs="Times New Roman" w:eastAsia="Times New Roman" w:hAnsi="Times New Roman"/>
          <w:sz w:val="32"/>
          <w:szCs w:val="32"/>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7035"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2024-04-02T06:31:37Z</dcterms:created>
  <dcterms:modified xsi:type="dcterms:W3CDTF">2024-04-02T06:31:37Z</dcterms:modified>
</cp:coreProperties>
</file>