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23,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1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Class A common stock, par value $0.0001 per share</w:t>
            </w:r>
          </w:p>
        </w:tc>
        <w:tc>
          <w:tcPr>
            <w:tcW w:w="2780" w:type="dxa"/>
            <w:vAlign w:val="bottom"/>
          </w:tcPr>
          <w:p>
            <w:pPr>
              <w:ind w:left="980"/>
              <w:spacing w:after="0"/>
              <w:rPr>
                <w:sz w:val="20"/>
                <w:szCs w:val="20"/>
                <w:color w:val="auto"/>
              </w:rPr>
            </w:pPr>
            <w:r>
              <w:rPr>
                <w:rFonts w:ascii="Arial" w:cs="Arial" w:eastAsia="Arial" w:hAnsi="Arial"/>
                <w:sz w:val="18"/>
                <w:szCs w:val="18"/>
                <w:color w:val="auto"/>
              </w:rPr>
              <w:t>OPAL</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2023, OPAL Fuels Inc. (the “Company”) held its 2023 Annual Meeting of Stockholders (the “Annual Meeting”). As of the close of business on April 24, 2023 (the “Record Date”), there were 27,694,332 shares of Class A common stock outstanding, each share being entitled to one vote, and 144,399,037 shares of Class D common stock outstanding, each share being entitled to five votes (the Class A common stock and Class D common stock, collectively, the “Common Stock”). Accordingly, as of the Record Date, there were 27,694,332 Class A common stock votes and 721,995,185 Class D common stock votes, respectively, available to be cast, for a total of 749,689,517 votes available to be cast. At the Annual Meeting, the holders of 737,659,033 votes of the Common Stock were represented in person or by proxy, constituting a quorum. The following are the voting results for the proposals considered and voted upon at the meeting, each of which were described in the Company’s Definitive Proxy Statement filed with the Securities and Exchange Commission on May 9, 2023.</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1 - Election of seven directors to hold office until the Annual Meeting of Stockholders to be held in 2024 or until each such director’s respective successor is elected and qualified or until each such director’s earlier death, resignation or removal.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Nominee</w:t>
            </w:r>
          </w:p>
        </w:tc>
        <w:tc>
          <w:tcPr>
            <w:tcW w:w="300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rPr>
              <w:t>FOR</w:t>
            </w:r>
          </w:p>
        </w:tc>
        <w:tc>
          <w:tcPr>
            <w:tcW w:w="23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WITHHELD</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Broker Non-Votes</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Mark Comora, Chairman</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731,283,912</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2,291,193</w:t>
            </w:r>
          </w:p>
        </w:tc>
        <w:tc>
          <w:tcPr>
            <w:tcW w:w="2180" w:type="dxa"/>
            <w:vAlign w:val="bottom"/>
          </w:tcPr>
          <w:p>
            <w:pPr>
              <w:jc w:val="right"/>
              <w:spacing w:after="0"/>
              <w:rPr>
                <w:sz w:val="20"/>
                <w:szCs w:val="20"/>
                <w:color w:val="auto"/>
              </w:rPr>
            </w:pPr>
            <w:r>
              <w:rPr>
                <w:rFonts w:ascii="Arial" w:cs="Arial" w:eastAsia="Arial" w:hAnsi="Arial"/>
                <w:sz w:val="18"/>
                <w:szCs w:val="18"/>
                <w:color w:val="auto"/>
              </w:rPr>
              <w:t>4,083,928</w:t>
            </w:r>
          </w:p>
        </w:tc>
      </w:tr>
      <w:tr>
        <w:trPr>
          <w:trHeight w:val="27"/>
        </w:trPr>
        <w:tc>
          <w:tcPr>
            <w:tcW w:w="3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6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Betsy L. Battle</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732,231,052</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1,344,053</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4,083,928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Scott Dols</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732,231,052</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1,344,053</w:t>
            </w:r>
          </w:p>
        </w:tc>
        <w:tc>
          <w:tcPr>
            <w:tcW w:w="2180" w:type="dxa"/>
            <w:vAlign w:val="bottom"/>
          </w:tcPr>
          <w:p>
            <w:pPr>
              <w:jc w:val="right"/>
              <w:spacing w:after="0"/>
              <w:rPr>
                <w:sz w:val="20"/>
                <w:szCs w:val="20"/>
                <w:color w:val="auto"/>
              </w:rPr>
            </w:pPr>
            <w:r>
              <w:rPr>
                <w:rFonts w:ascii="Arial" w:cs="Arial" w:eastAsia="Arial" w:hAnsi="Arial"/>
                <w:sz w:val="18"/>
                <w:szCs w:val="18"/>
                <w:color w:val="auto"/>
              </w:rPr>
              <w:t>4,083,928</w:t>
            </w:r>
          </w:p>
        </w:tc>
      </w:tr>
      <w:tr>
        <w:trPr>
          <w:trHeight w:val="40"/>
        </w:trPr>
        <w:tc>
          <w:tcPr>
            <w:tcW w:w="31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Kevin M. Fogarty</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733,358,460</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216,645</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4,083,928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Marco F.Gatti</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733,358,425</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216,680</w:t>
            </w:r>
          </w:p>
        </w:tc>
        <w:tc>
          <w:tcPr>
            <w:tcW w:w="2180" w:type="dxa"/>
            <w:vAlign w:val="bottom"/>
          </w:tcPr>
          <w:p>
            <w:pPr>
              <w:jc w:val="right"/>
              <w:spacing w:after="0"/>
              <w:rPr>
                <w:sz w:val="20"/>
                <w:szCs w:val="20"/>
                <w:color w:val="auto"/>
              </w:rPr>
            </w:pPr>
            <w:r>
              <w:rPr>
                <w:rFonts w:ascii="Arial" w:cs="Arial" w:eastAsia="Arial" w:hAnsi="Arial"/>
                <w:sz w:val="18"/>
                <w:szCs w:val="18"/>
                <w:color w:val="auto"/>
              </w:rPr>
              <w:t>4,083,928</w:t>
            </w:r>
          </w:p>
        </w:tc>
      </w:tr>
      <w:tr>
        <w:trPr>
          <w:trHeight w:val="40"/>
        </w:trPr>
        <w:tc>
          <w:tcPr>
            <w:tcW w:w="31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Nadeem Nisar</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731,284,260</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2,290,845</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4,083,928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Ashok Vemuri</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733,358,459</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216,646</w:t>
            </w:r>
          </w:p>
        </w:tc>
        <w:tc>
          <w:tcPr>
            <w:tcW w:w="2180" w:type="dxa"/>
            <w:vAlign w:val="bottom"/>
          </w:tcPr>
          <w:p>
            <w:pPr>
              <w:jc w:val="right"/>
              <w:spacing w:after="0"/>
              <w:rPr>
                <w:sz w:val="20"/>
                <w:szCs w:val="20"/>
                <w:color w:val="auto"/>
              </w:rPr>
            </w:pPr>
            <w:r>
              <w:rPr>
                <w:rFonts w:ascii="Arial" w:cs="Arial" w:eastAsia="Arial" w:hAnsi="Arial"/>
                <w:sz w:val="18"/>
                <w:szCs w:val="18"/>
                <w:color w:val="auto"/>
              </w:rPr>
              <w:t>4,083,928</w:t>
            </w:r>
          </w:p>
        </w:tc>
      </w:tr>
    </w:tbl>
    <w:p>
      <w:pPr>
        <w:spacing w:after="0" w:line="200" w:lineRule="exact"/>
        <w:rPr>
          <w:sz w:val="20"/>
          <w:szCs w:val="20"/>
          <w:color w:val="auto"/>
        </w:rPr>
      </w:pPr>
    </w:p>
    <w:p>
      <w:pPr>
        <w:spacing w:after="0" w:line="3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Item 2 - Ratification of the appointment of BDO USA, LLP as the Company’s independent registered public accounting firm for the year ending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FOR</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color w:val="auto"/>
              </w:rPr>
              <w:t>AGAINST</w:t>
            </w:r>
          </w:p>
        </w:tc>
        <w:tc>
          <w:tcPr>
            <w:tcW w:w="262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ABSTENTIONS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0"/>
        </w:trPr>
        <w:tc>
          <w:tcPr>
            <w:tcW w:w="34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737,621,288</w:t>
            </w:r>
          </w:p>
        </w:tc>
        <w:tc>
          <w:tcPr>
            <w:tcW w:w="27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36,195</w:t>
            </w:r>
          </w:p>
        </w:tc>
        <w:tc>
          <w:tcPr>
            <w:tcW w:w="26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1,550</w:t>
            </w:r>
          </w:p>
        </w:tc>
        <w:tc>
          <w:tcPr>
            <w:tcW w:w="240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0</w:t>
            </w:r>
          </w:p>
        </w:tc>
      </w:tr>
      <w:tr>
        <w:trPr>
          <w:trHeight w:val="26"/>
        </w:trPr>
        <w:tc>
          <w:tcPr>
            <w:tcW w:w="34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foregoing votes, the seven director nominees were elected, and the appointment of BDO USA, LLP as the Company’s independent registered public accounting firm for the year ending December 31, 2023 was ratified.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Exhibit Number</w:t>
            </w:r>
          </w:p>
        </w:tc>
        <w:tc>
          <w:tcPr>
            <w:tcW w:w="120" w:type="dxa"/>
            <w:vAlign w:val="bottom"/>
          </w:tcPr>
          <w:p>
            <w:pPr>
              <w:spacing w:after="0"/>
              <w:rPr>
                <w:sz w:val="20"/>
                <w:szCs w:val="20"/>
                <w:color w:val="auto"/>
              </w:rPr>
            </w:pP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93"/>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30"/>
        </w:trPr>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June 23,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46"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Ann Anthony</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ind w:left="40"/>
              <w:spacing w:after="0"/>
              <w:rPr>
                <w:sz w:val="20"/>
                <w:szCs w:val="20"/>
                <w:color w:val="auto"/>
              </w:rPr>
            </w:pPr>
            <w:r>
              <w:rPr>
                <w:rFonts w:ascii="Arial" w:cs="Arial" w:eastAsia="Arial" w:hAnsi="Arial"/>
                <w:sz w:val="18"/>
                <w:szCs w:val="18"/>
                <w:color w:val="auto"/>
              </w:rPr>
              <w:t>Ann Anthony</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2023-06-23T15:16:41Z</dcterms:created>
  <dcterms:modified xsi:type="dcterms:W3CDTF">2023-06-23T15:16:41Z</dcterms:modified>
</cp:coreProperties>
</file>