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930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9309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Edelbach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03/31/2024</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80" w:space="3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03/31/2024</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4,185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11,750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03/31/2024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1,240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w:t>
            </w:r>
          </w:p>
        </w:tc>
        <w:tc>
          <w:tcPr>
            <w:tcW w:w="132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10,510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right"/>
              <w:ind w:right="9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74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18"/>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33,267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33,267</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45,821</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4,185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4,185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41,636</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19,412</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5.02</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6"/>
                <w:szCs w:val="6"/>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19,412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right"/>
              <w:ind w:right="18"/>
              <w:spacing w:after="0" w:line="141" w:lineRule="exact"/>
              <w:rPr>
                <w:sz w:val="20"/>
                <w:szCs w:val="20"/>
                <w:color w:val="auto"/>
              </w:rPr>
            </w:pPr>
            <w:r>
              <w:rPr>
                <w:rFonts w:ascii="Times New Roman" w:cs="Times New Roman" w:eastAsia="Times New Roman" w:hAnsi="Times New Roman"/>
                <w:sz w:val="13"/>
                <w:szCs w:val="13"/>
                <w:color w:val="0000FF"/>
                <w:w w:val="97"/>
              </w:rPr>
              <w:t>03/31/2034</w:t>
            </w:r>
          </w:p>
        </w:tc>
        <w:tc>
          <w:tcPr>
            <w:tcW w:w="6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19,412</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18" w:lineRule="exact"/>
        <w:rPr>
          <w:rFonts w:ascii="Times New Roman" w:cs="Times New Roman" w:eastAsia="Times New Roman" w:hAnsi="Times New Roman"/>
          <w:sz w:val="13"/>
          <w:szCs w:val="13"/>
          <w:color w:val="008000"/>
        </w:rPr>
      </w:pPr>
    </w:p>
    <w:p>
      <w:pPr>
        <w:ind w:left="40" w:right="3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restricted stock units ("RSUs") pursuant to the terms under the Issuer's 2022 Omnibus Equity Incentive Plan (the "Plan"), which represent a contingent right to receive one share of common stock for each RSU. 4,185 RSUs vested on March 31, 2024, 15,274 RSUs are scheduled to vest on March 31, 2025, 15,274 RSUs on March 31, 2026 and 11,088 RSUs on March 31, 2027.</w:t>
      </w:r>
    </w:p>
    <w:p>
      <w:pPr>
        <w:jc w:val="both"/>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following dates: (i) March 31, 2025, (ii) March 31, 2026, and (iii) March 31, 2027, provided, that the Reporting Person continues to provide services to the Issuer through the applicable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067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2024-04-02T06:16:16Z</dcterms:created>
  <dcterms:modified xsi:type="dcterms:W3CDTF">2024-04-02T06:16:16Z</dcterms:modified>
</cp:coreProperties>
</file>