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ArcLight Clean Transition Corp. II</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Boston, MA 02116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14, 2022</w:t>
      </w:r>
    </w:p>
    <w:p>
      <w:pPr>
        <w:sectPr>
          <w:pgSz w:w="11900" w:h="16838" w:orient="portrait"/>
          <w:cols w:equalWidth="0" w:num="1">
            <w:col w:w="11240"/>
          </w:cols>
          <w:pgMar w:left="320" w:top="229"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Kevin Dougherty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Laura Nicholson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Mark Wojciechowski</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John Cannarella</w:t>
      </w:r>
    </w:p>
    <w:p>
      <w:pPr>
        <w:spacing w:after="0" w:line="200" w:lineRule="exact"/>
        <w:rPr>
          <w:sz w:val="24"/>
          <w:szCs w:val="24"/>
          <w:color w:val="auto"/>
        </w:rPr>
      </w:pPr>
    </w:p>
    <w:p>
      <w:pPr>
        <w:sectPr>
          <w:pgSz w:w="11900" w:h="16838" w:orient="portrait"/>
          <w:cols w:equalWidth="0" w:num="2">
            <w:col w:w="740" w:space="400"/>
            <w:col w:w="1010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29" w:right="339" w:bottom="1440" w:gutter="0" w:footer="0" w:header="0"/>
          <w:type w:val="continuous"/>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5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31,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333-262583</w:t>
      </w:r>
    </w:p>
    <w:p>
      <w:pPr>
        <w:spacing w:after="0" w:line="200" w:lineRule="exact"/>
        <w:rPr>
          <w:sz w:val="24"/>
          <w:szCs w:val="24"/>
          <w:color w:val="auto"/>
        </w:rPr>
      </w:pPr>
    </w:p>
    <w:p>
      <w:pPr>
        <w:sectPr>
          <w:pgSz w:w="11900" w:h="16838" w:orient="portrait"/>
          <w:cols w:equalWidth="0" w:num="2">
            <w:col w:w="920" w:space="380"/>
            <w:col w:w="994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responses of ArcLight Clean Transition Corp. II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June 13, 2022, with respect to the Company’s Registration Statement on Form S-4, File No. 333-262583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Concurrently with the submission of this letter, the Company is filing Amendment No. 6 to the Registration Statement on Form S-4 (the “</w:t>
      </w:r>
      <w:r>
        <w:rPr>
          <w:rFonts w:ascii="Arial" w:cs="Arial" w:eastAsia="Arial" w:hAnsi="Arial"/>
          <w:sz w:val="18"/>
          <w:szCs w:val="18"/>
          <w:b w:val="1"/>
          <w:bCs w:val="1"/>
          <w:i w:val="1"/>
          <w:iCs w:val="1"/>
          <w:color w:val="auto"/>
        </w:rPr>
        <w:t>Amendment No. 6</w:t>
      </w:r>
      <w:r>
        <w:rPr>
          <w:rFonts w:ascii="Arial" w:cs="Arial" w:eastAsia="Arial" w:hAnsi="Arial"/>
          <w:sz w:val="18"/>
          <w:szCs w:val="18"/>
          <w:color w:val="auto"/>
        </w:rPr>
        <w:t>”) in response to the Staff’s comments. Capitalized terms used but not otherwise defined herein shall have the meanings ascribed thereto in Amendment No. 6, unless otherwise specified.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5 to Registration Statement on Form S-4 filed May 31,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jc w:val="both"/>
        <w:ind w:left="340" w:hanging="332"/>
        <w:spacing w:after="0" w:line="273"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We note your response to prior comment 11, and your disclosure that ArcLight continues to have customary obligations with respect to use of information and indemnification under the placement agent agreements with the Advisors, the financial advisory agreement with Citigroup Global Markets Inc. and the Underwriting Agreement with Barclays Capital Inc. and Citi, and OPAL Fuels continues to have customary obligations with respect to use of information and indemnification pursuant to the financial advisory agreements with BofA Securities, Inc. and Credit Suisse Securities (USA) LLC. Please disclose all material terms of such indemnification provisions, and discuss the impacts of those obligations on ArcLight and OPAL Fuels in the registration statement.</w:t>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43, 89, 120 and 121.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both"/>
        <w:ind w:firstLine="648"/>
        <w:spacing w:after="0" w:line="263" w:lineRule="auto"/>
        <w:rPr>
          <w:sz w:val="20"/>
          <w:szCs w:val="20"/>
          <w:color w:val="auto"/>
        </w:rPr>
      </w:pPr>
      <w:r>
        <w:rPr>
          <w:rFonts w:ascii="Arial" w:cs="Arial" w:eastAsia="Arial" w:hAnsi="Arial"/>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8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tbl>
      <w:tblPr>
        <w:tblLayout w:type="fixed"/>
        <w:tblInd w:w="720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John F. Erhard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580" w:right="6940" w:hanging="572"/>
        <w:spacing w:after="0" w:line="265"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Marco F. Gatti (ArcLight Clean Transition Corp. II) Julian J. Seiguer (Kirkland &amp; Ellis LLP)</w:t>
      </w:r>
    </w:p>
    <w:p>
      <w:pPr>
        <w:jc w:val="both"/>
        <w:ind w:left="580" w:right="8060"/>
        <w:spacing w:after="0" w:line="265" w:lineRule="auto"/>
        <w:rPr>
          <w:rFonts w:ascii="Arial" w:cs="Arial" w:eastAsia="Arial" w:hAnsi="Arial"/>
          <w:sz w:val="17"/>
          <w:szCs w:val="17"/>
          <w:color w:val="auto"/>
        </w:rPr>
      </w:pPr>
      <w:r>
        <w:rPr>
          <w:rFonts w:ascii="Arial" w:cs="Arial" w:eastAsia="Arial" w:hAnsi="Arial"/>
          <w:sz w:val="17"/>
          <w:szCs w:val="17"/>
          <w:color w:val="auto"/>
        </w:rPr>
        <w:t>Jennifer Wu (Kirkland &amp; Ellis LLP) Noah Allen (Kirkland &amp; Ellis LLP)</w:t>
      </w:r>
    </w:p>
    <w:p>
      <w:pPr>
        <w:ind w:left="580"/>
        <w:spacing w:after="0"/>
        <w:rPr>
          <w:rFonts w:ascii="Arial" w:cs="Arial" w:eastAsia="Arial" w:hAnsi="Arial"/>
          <w:sz w:val="17"/>
          <w:szCs w:val="17"/>
          <w:color w:val="auto"/>
        </w:rPr>
      </w:pPr>
      <w:r>
        <w:rPr>
          <w:rFonts w:ascii="Arial" w:cs="Arial" w:eastAsia="Arial" w:hAnsi="Arial"/>
          <w:sz w:val="18"/>
          <w:szCs w:val="18"/>
          <w:color w:val="auto"/>
        </w:rPr>
        <w:t>John H. Booher (Sheppard, Mullin, Richter &amp; Hampton LLP)</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T. Allen McConnell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2022-08-01T00:20:16Z</dcterms:created>
  <dcterms:modified xsi:type="dcterms:W3CDTF">2022-08-01T00:20:16Z</dcterms:modified>
</cp:coreProperties>
</file>