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8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-234950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-629285</wp:posOffset>
            </wp:positionV>
            <wp:extent cx="58420" cy="6426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3995420</wp:posOffset>
            </wp:positionH>
            <wp:positionV relativeFrom="paragraph">
              <wp:posOffset>-629285</wp:posOffset>
            </wp:positionV>
            <wp:extent cx="58420" cy="6426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2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23495</wp:posOffset>
            </wp:positionV>
            <wp:extent cx="6993255" cy="4672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72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Anthony Ann T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1115, BELVEDERE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OPAL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10/04/2022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5" w:right="620" w:firstLine="5"/>
        <w:spacing w:after="0" w:line="25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9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5" w:space="720"/>
            <w:col w:w="3355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9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80" w:type="dxa"/>
            <w:vAlign w:val="bottom"/>
            <w:gridSpan w:val="7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GARNET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2"/>
              </w:rPr>
              <w:t>PA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19060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VALLEY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7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-2019300</wp:posOffset>
            </wp:positionV>
            <wp:extent cx="29210" cy="2024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4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 w:right="160" w:firstLine="3"/>
        <w:spacing w:after="0" w:line="257" w:lineRule="auto"/>
        <w:tabs>
          <w:tab w:leader="none" w:pos="169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was granted restricted stock units ("RSUs"), which represent a contingent right to receive one share of Common Stock for each RSU. The RSUs vest 100% on October 3, 2023 provided that the Reporting Person remains in continuous service on the vesting date.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John Coghlin as Attorney-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10/04/2022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6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607318" TargetMode="External"/><Relationship Id="rId13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2022-10-04T17:57:15Z</dcterms:created>
  <dcterms:modified xsi:type="dcterms:W3CDTF">2022-10-04T17:57:15Z</dcterms:modified>
</cp:coreProperties>
</file>