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ArcLight Clean Transition Corp.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G0R21B120**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March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100" w:hanging="86"/>
        <w:spacing w:after="0" w:line="283" w:lineRule="auto"/>
        <w:tabs>
          <w:tab w:leader="none" w:pos="102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(Page 1 of 12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36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60" w:lineRule="auto"/>
        <w:rPr>
          <w:sz w:val="20"/>
          <w:szCs w:val="20"/>
          <w:color w:val="auto"/>
        </w:rPr>
      </w:pPr>
      <w:r>
        <w:rPr>
          <w:rFonts w:ascii="Arial" w:cs="Arial" w:eastAsia="Arial" w:hAnsi="Arial"/>
          <w:sz w:val="20"/>
          <w:szCs w:val="20"/>
          <w:color w:val="auto"/>
        </w:rPr>
        <w:t>**The Class A Ordinary Shares have no CUSIP number. The CUSIP number for the units which include the Class A Ordinary Shares is G0R21B120.</w:t>
      </w:r>
    </w:p>
    <w:p>
      <w:pPr>
        <w:spacing w:after="0" w:line="150"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G0R21B120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Arial" w:cs="Arial" w:eastAsia="Arial" w:hAnsi="Arial"/>
                <w:sz w:val="29"/>
                <w:szCs w:val="29"/>
                <w:b w:val="1"/>
                <w:bCs w:val="1"/>
                <w:color w:val="auto"/>
                <w:w w:val="86"/>
              </w:rPr>
              <w:t>1</w:t>
            </w:r>
          </w:p>
        </w:tc>
        <w:tc>
          <w:tcPr>
            <w:tcW w:w="3000" w:type="dxa"/>
            <w:vAlign w:val="bottom"/>
          </w:tcPr>
          <w:p>
            <w:pPr>
              <w:ind w:left="44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3000" w:type="dxa"/>
            <w:vAlign w:val="bottom"/>
            <w:vMerge w:val="restart"/>
          </w:tcPr>
          <w:p>
            <w:pPr>
              <w:ind w:left="760"/>
              <w:spacing w:after="0"/>
              <w:rPr>
                <w:sz w:val="20"/>
                <w:szCs w:val="20"/>
                <w:color w:val="auto"/>
              </w:rPr>
            </w:pPr>
            <w:r>
              <w:rPr>
                <w:rFonts w:ascii="Arial" w:cs="Arial" w:eastAsia="Arial" w:hAnsi="Arial"/>
                <w:sz w:val="20"/>
                <w:szCs w:val="20"/>
                <w:color w:val="auto"/>
                <w:w w:val="87"/>
              </w:rPr>
              <w:t>Adage Capital Partners, L.P.</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2" w:lineRule="auto"/>
        <w:tabs>
          <w:tab w:leader="none" w:pos="182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820" w:hanging="1033"/>
        <w:spacing w:after="0"/>
        <w:tabs>
          <w:tab w:leader="none" w:pos="182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4</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6560" w:type="dxa"/>
            <w:vAlign w:val="bottom"/>
            <w:gridSpan w:val="3"/>
            <w:vMerge w:val="restart"/>
          </w:tcPr>
          <w:p>
            <w:pPr>
              <w:ind w:left="5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6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080" w:type="dxa"/>
            <w:vAlign w:val="bottom"/>
            <w:vMerge w:val="restart"/>
          </w:tcPr>
          <w:p>
            <w:pPr>
              <w:ind w:left="52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460" w:type="dxa"/>
            <w:vAlign w:val="bottom"/>
            <w:vMerge w:val="restart"/>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46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NUMBER OF</w:t>
            </w:r>
          </w:p>
        </w:tc>
        <w:tc>
          <w:tcPr>
            <w:tcW w:w="1080" w:type="dxa"/>
            <w:vAlign w:val="bottom"/>
            <w:vMerge w:val="restart"/>
          </w:tcPr>
          <w:p>
            <w:pPr>
              <w:ind w:left="52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46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93"/>
              <w:spacing w:after="0"/>
              <w:rPr>
                <w:sz w:val="20"/>
                <w:szCs w:val="20"/>
                <w:color w:val="auto"/>
              </w:rPr>
            </w:pPr>
            <w:r>
              <w:rPr>
                <w:rFonts w:ascii="Arial" w:cs="Arial" w:eastAsia="Arial" w:hAnsi="Arial"/>
                <w:sz w:val="16"/>
                <w:szCs w:val="16"/>
                <w:color w:val="auto"/>
                <w:w w:val="94"/>
              </w:rPr>
              <w:t>SHARES</w:t>
            </w:r>
          </w:p>
        </w:tc>
        <w:tc>
          <w:tcPr>
            <w:tcW w:w="10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460" w:type="dxa"/>
            <w:vAlign w:val="bottom"/>
            <w:vMerge w:val="restart"/>
          </w:tcPr>
          <w:p>
            <w:pPr>
              <w:ind w:left="440"/>
              <w:spacing w:after="0"/>
              <w:rPr>
                <w:sz w:val="20"/>
                <w:szCs w:val="20"/>
                <w:color w:val="auto"/>
              </w:rPr>
            </w:pPr>
            <w:r>
              <w:rPr>
                <w:rFonts w:ascii="Arial" w:cs="Arial" w:eastAsia="Arial" w:hAnsi="Arial"/>
                <w:sz w:val="20"/>
                <w:szCs w:val="20"/>
                <w:color w:val="auto"/>
              </w:rPr>
              <w:t>2,250,000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BENEFICIALLY</w:t>
            </w:r>
          </w:p>
        </w:tc>
        <w:tc>
          <w:tcPr>
            <w:tcW w:w="10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OWNED BY</w:t>
            </w:r>
          </w:p>
        </w:tc>
        <w:tc>
          <w:tcPr>
            <w:tcW w:w="1080" w:type="dxa"/>
            <w:vAlign w:val="bottom"/>
            <w:vMerge w:val="restart"/>
          </w:tcPr>
          <w:p>
            <w:pPr>
              <w:ind w:left="52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46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0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46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4"/>
              </w:rPr>
              <w:t>REPORTING</w:t>
            </w:r>
          </w:p>
        </w:tc>
        <w:tc>
          <w:tcPr>
            <w:tcW w:w="10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080" w:type="dxa"/>
            <w:vAlign w:val="bottom"/>
            <w:vMerge w:val="restart"/>
          </w:tcPr>
          <w:p>
            <w:pPr>
              <w:ind w:left="52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46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460" w:type="dxa"/>
            <w:vAlign w:val="bottom"/>
            <w:vMerge w:val="restart"/>
          </w:tcPr>
          <w:p>
            <w:pPr>
              <w:ind w:left="440"/>
              <w:spacing w:after="0"/>
              <w:rPr>
                <w:sz w:val="20"/>
                <w:szCs w:val="20"/>
                <w:color w:val="auto"/>
              </w:rPr>
            </w:pPr>
            <w:r>
              <w:rPr>
                <w:rFonts w:ascii="Arial" w:cs="Arial" w:eastAsia="Arial" w:hAnsi="Arial"/>
                <w:sz w:val="20"/>
                <w:szCs w:val="20"/>
                <w:color w:val="auto"/>
              </w:rPr>
              <w:t>2,250,000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9</w:t>
            </w:r>
          </w:p>
        </w:tc>
        <w:tc>
          <w:tcPr>
            <w:tcW w:w="10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6560" w:type="dxa"/>
            <w:vAlign w:val="bottom"/>
            <w:gridSpan w:val="3"/>
            <w:vMerge w:val="restart"/>
          </w:tcPr>
          <w:p>
            <w:pPr>
              <w:ind w:left="520"/>
              <w:spacing w:after="0"/>
              <w:rPr>
                <w:sz w:val="20"/>
                <w:szCs w:val="20"/>
                <w:color w:val="auto"/>
              </w:rPr>
            </w:pPr>
            <w:r>
              <w:rPr>
                <w:rFonts w:ascii="Arial" w:cs="Arial" w:eastAsia="Arial" w:hAnsi="Arial"/>
                <w:sz w:val="20"/>
                <w:szCs w:val="20"/>
                <w:color w:val="auto"/>
              </w:rPr>
              <w:t>2,250,000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6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080" w:type="dxa"/>
            <w:vAlign w:val="bottom"/>
            <w:vMerge w:val="restart"/>
          </w:tcPr>
          <w:p>
            <w:pPr>
              <w:ind w:left="520"/>
              <w:spacing w:after="0"/>
              <w:rPr>
                <w:sz w:val="20"/>
                <w:szCs w:val="20"/>
                <w:color w:val="auto"/>
              </w:rPr>
            </w:pPr>
            <w:r>
              <w:rPr>
                <w:rFonts w:ascii="Arial" w:cs="Arial" w:eastAsia="Arial" w:hAnsi="Arial"/>
                <w:sz w:val="20"/>
                <w:szCs w:val="20"/>
                <w:color w:val="auto"/>
                <w:w w:val="95"/>
              </w:rPr>
              <w:t>7.23%</w:t>
            </w:r>
          </w:p>
        </w:tc>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080" w:type="dxa"/>
            <w:vAlign w:val="bottom"/>
            <w:vMerge w:val="restart"/>
          </w:tcPr>
          <w:p>
            <w:pPr>
              <w:ind w:left="520"/>
              <w:spacing w:after="0"/>
              <w:rPr>
                <w:sz w:val="20"/>
                <w:szCs w:val="20"/>
                <w:color w:val="auto"/>
              </w:rPr>
            </w:pPr>
            <w:r>
              <w:rPr>
                <w:rFonts w:ascii="Arial" w:cs="Arial" w:eastAsia="Arial" w:hAnsi="Arial"/>
                <w:sz w:val="20"/>
                <w:szCs w:val="20"/>
                <w:color w:val="auto"/>
              </w:rPr>
              <w:t>PN</w:t>
            </w:r>
          </w:p>
        </w:tc>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13" w:hanging="313"/>
        <w:spacing w:after="0" w:line="281" w:lineRule="exact"/>
        <w:tabs>
          <w:tab w:leader="none" w:pos="313" w:val="left"/>
        </w:tabs>
        <w:numPr>
          <w:ilvl w:val="0"/>
          <w:numId w:val="4"/>
        </w:numPr>
        <w:rPr>
          <w:rFonts w:ascii="Arial" w:cs="Arial" w:eastAsia="Arial" w:hAnsi="Arial"/>
          <w:sz w:val="19"/>
          <w:szCs w:val="19"/>
          <w:color w:val="auto"/>
        </w:rPr>
      </w:pPr>
      <w:r>
        <w:rPr>
          <w:rFonts w:ascii="MS PGothic" w:cs="MS PGothic" w:eastAsia="MS PGothic" w:hAnsi="MS PGothic"/>
          <w:sz w:val="28"/>
          <w:szCs w:val="28"/>
          <w:color w:val="auto"/>
        </w:rPr>
        <w:t>☐</w:t>
      </w:r>
    </w:p>
    <w:p>
      <w:pPr>
        <w:spacing w:after="0" w:line="172" w:lineRule="exact"/>
        <w:rPr>
          <w:rFonts w:ascii="Arial" w:cs="Arial" w:eastAsia="Arial" w:hAnsi="Arial"/>
          <w:sz w:val="19"/>
          <w:szCs w:val="19"/>
          <w:color w:val="auto"/>
        </w:rPr>
      </w:pPr>
    </w:p>
    <w:p>
      <w:pPr>
        <w:ind w:left="333" w:hanging="333"/>
        <w:spacing w:after="0" w:line="262" w:lineRule="exact"/>
        <w:tabs>
          <w:tab w:leader="none" w:pos="33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G0R21B120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4637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Arial" w:cs="Arial" w:eastAsia="Arial" w:hAnsi="Arial"/>
                <w:sz w:val="29"/>
                <w:szCs w:val="29"/>
                <w:b w:val="1"/>
                <w:bCs w:val="1"/>
                <w:color w:val="auto"/>
                <w:w w:val="86"/>
              </w:rPr>
              <w:t>1</w:t>
            </w:r>
          </w:p>
        </w:tc>
        <w:tc>
          <w:tcPr>
            <w:tcW w:w="3500" w:type="dxa"/>
            <w:vAlign w:val="bottom"/>
          </w:tcPr>
          <w:p>
            <w:pPr>
              <w:ind w:left="44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3500" w:type="dxa"/>
            <w:vAlign w:val="bottom"/>
            <w:vMerge w:val="restart"/>
          </w:tcPr>
          <w:p>
            <w:pPr>
              <w:ind w:left="760"/>
              <w:spacing w:after="0"/>
              <w:rPr>
                <w:sz w:val="20"/>
                <w:szCs w:val="20"/>
                <w:color w:val="auto"/>
              </w:rPr>
            </w:pPr>
            <w:r>
              <w:rPr>
                <w:rFonts w:ascii="Arial" w:cs="Arial" w:eastAsia="Arial" w:hAnsi="Arial"/>
                <w:sz w:val="20"/>
                <w:szCs w:val="20"/>
                <w:color w:val="auto"/>
                <w:w w:val="88"/>
              </w:rPr>
              <w:t>Adage Capital Partners GP, L.L.C.</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2" w:lineRule="auto"/>
        <w:tabs>
          <w:tab w:leader="none" w:pos="1820" w:val="left"/>
        </w:tabs>
        <w:numPr>
          <w:ilvl w:val="0"/>
          <w:numId w:val="5"/>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820" w:hanging="1033"/>
        <w:spacing w:after="0"/>
        <w:tabs>
          <w:tab w:leader="none" w:pos="1820"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4</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6560" w:type="dxa"/>
            <w:vAlign w:val="bottom"/>
            <w:gridSpan w:val="3"/>
            <w:vMerge w:val="restart"/>
          </w:tcPr>
          <w:p>
            <w:pPr>
              <w:ind w:left="5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6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080" w:type="dxa"/>
            <w:vAlign w:val="bottom"/>
            <w:vMerge w:val="restart"/>
          </w:tcPr>
          <w:p>
            <w:pPr>
              <w:ind w:left="52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460" w:type="dxa"/>
            <w:vAlign w:val="bottom"/>
            <w:vMerge w:val="restart"/>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46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NUMBER OF</w:t>
            </w:r>
          </w:p>
        </w:tc>
        <w:tc>
          <w:tcPr>
            <w:tcW w:w="1080" w:type="dxa"/>
            <w:vAlign w:val="bottom"/>
            <w:vMerge w:val="restart"/>
          </w:tcPr>
          <w:p>
            <w:pPr>
              <w:ind w:left="52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46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93"/>
              <w:spacing w:after="0"/>
              <w:rPr>
                <w:sz w:val="20"/>
                <w:szCs w:val="20"/>
                <w:color w:val="auto"/>
              </w:rPr>
            </w:pPr>
            <w:r>
              <w:rPr>
                <w:rFonts w:ascii="Arial" w:cs="Arial" w:eastAsia="Arial" w:hAnsi="Arial"/>
                <w:sz w:val="16"/>
                <w:szCs w:val="16"/>
                <w:color w:val="auto"/>
                <w:w w:val="94"/>
              </w:rPr>
              <w:t>SHARES</w:t>
            </w:r>
          </w:p>
        </w:tc>
        <w:tc>
          <w:tcPr>
            <w:tcW w:w="10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460" w:type="dxa"/>
            <w:vAlign w:val="bottom"/>
            <w:vMerge w:val="restart"/>
          </w:tcPr>
          <w:p>
            <w:pPr>
              <w:ind w:left="440"/>
              <w:spacing w:after="0"/>
              <w:rPr>
                <w:sz w:val="20"/>
                <w:szCs w:val="20"/>
                <w:color w:val="auto"/>
              </w:rPr>
            </w:pPr>
            <w:r>
              <w:rPr>
                <w:rFonts w:ascii="Arial" w:cs="Arial" w:eastAsia="Arial" w:hAnsi="Arial"/>
                <w:sz w:val="20"/>
                <w:szCs w:val="20"/>
                <w:color w:val="auto"/>
              </w:rPr>
              <w:t>2,250,000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BENEFICIALLY</w:t>
            </w:r>
          </w:p>
        </w:tc>
        <w:tc>
          <w:tcPr>
            <w:tcW w:w="10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OWNED BY</w:t>
            </w:r>
          </w:p>
        </w:tc>
        <w:tc>
          <w:tcPr>
            <w:tcW w:w="1080" w:type="dxa"/>
            <w:vAlign w:val="bottom"/>
            <w:vMerge w:val="restart"/>
          </w:tcPr>
          <w:p>
            <w:pPr>
              <w:ind w:left="52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46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0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46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4"/>
              </w:rPr>
              <w:t>REPORTING</w:t>
            </w:r>
          </w:p>
        </w:tc>
        <w:tc>
          <w:tcPr>
            <w:tcW w:w="10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080" w:type="dxa"/>
            <w:vAlign w:val="bottom"/>
            <w:vMerge w:val="restart"/>
          </w:tcPr>
          <w:p>
            <w:pPr>
              <w:ind w:left="52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46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460" w:type="dxa"/>
            <w:vAlign w:val="bottom"/>
            <w:vMerge w:val="restart"/>
          </w:tcPr>
          <w:p>
            <w:pPr>
              <w:ind w:left="440"/>
              <w:spacing w:after="0"/>
              <w:rPr>
                <w:sz w:val="20"/>
                <w:szCs w:val="20"/>
                <w:color w:val="auto"/>
              </w:rPr>
            </w:pPr>
            <w:r>
              <w:rPr>
                <w:rFonts w:ascii="Arial" w:cs="Arial" w:eastAsia="Arial" w:hAnsi="Arial"/>
                <w:sz w:val="20"/>
                <w:szCs w:val="20"/>
                <w:color w:val="auto"/>
              </w:rPr>
              <w:t>2,250,000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9</w:t>
            </w:r>
          </w:p>
        </w:tc>
        <w:tc>
          <w:tcPr>
            <w:tcW w:w="10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6560" w:type="dxa"/>
            <w:vAlign w:val="bottom"/>
            <w:gridSpan w:val="3"/>
            <w:vMerge w:val="restart"/>
          </w:tcPr>
          <w:p>
            <w:pPr>
              <w:ind w:left="520"/>
              <w:spacing w:after="0"/>
              <w:rPr>
                <w:sz w:val="20"/>
                <w:szCs w:val="20"/>
                <w:color w:val="auto"/>
              </w:rPr>
            </w:pPr>
            <w:r>
              <w:rPr>
                <w:rFonts w:ascii="Arial" w:cs="Arial" w:eastAsia="Arial" w:hAnsi="Arial"/>
                <w:sz w:val="20"/>
                <w:szCs w:val="20"/>
                <w:color w:val="auto"/>
              </w:rPr>
              <w:t>2,250,000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6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080" w:type="dxa"/>
            <w:vAlign w:val="bottom"/>
            <w:vMerge w:val="restart"/>
          </w:tcPr>
          <w:p>
            <w:pPr>
              <w:ind w:left="520"/>
              <w:spacing w:after="0"/>
              <w:rPr>
                <w:sz w:val="20"/>
                <w:szCs w:val="20"/>
                <w:color w:val="auto"/>
              </w:rPr>
            </w:pPr>
            <w:r>
              <w:rPr>
                <w:rFonts w:ascii="Arial" w:cs="Arial" w:eastAsia="Arial" w:hAnsi="Arial"/>
                <w:sz w:val="20"/>
                <w:szCs w:val="20"/>
                <w:color w:val="auto"/>
                <w:w w:val="95"/>
              </w:rPr>
              <w:t>7.23%</w:t>
            </w:r>
          </w:p>
        </w:tc>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080" w:type="dxa"/>
            <w:vAlign w:val="bottom"/>
            <w:vMerge w:val="restart"/>
          </w:tcPr>
          <w:p>
            <w:pPr>
              <w:ind w:left="520"/>
              <w:spacing w:after="0"/>
              <w:rPr>
                <w:sz w:val="20"/>
                <w:szCs w:val="20"/>
                <w:color w:val="auto"/>
              </w:rPr>
            </w:pPr>
            <w:r>
              <w:rPr>
                <w:rFonts w:ascii="Arial" w:cs="Arial" w:eastAsia="Arial" w:hAnsi="Arial"/>
                <w:sz w:val="20"/>
                <w:szCs w:val="20"/>
                <w:color w:val="auto"/>
              </w:rPr>
              <w:t>OO</w:t>
            </w:r>
          </w:p>
        </w:tc>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13" w:hanging="313"/>
        <w:spacing w:after="0" w:line="281" w:lineRule="exact"/>
        <w:tabs>
          <w:tab w:leader="none" w:pos="313" w:val="left"/>
        </w:tabs>
        <w:numPr>
          <w:ilvl w:val="0"/>
          <w:numId w:val="7"/>
        </w:numPr>
        <w:rPr>
          <w:rFonts w:ascii="Arial" w:cs="Arial" w:eastAsia="Arial" w:hAnsi="Arial"/>
          <w:sz w:val="19"/>
          <w:szCs w:val="19"/>
          <w:color w:val="auto"/>
        </w:rPr>
      </w:pPr>
      <w:r>
        <w:rPr>
          <w:rFonts w:ascii="MS PGothic" w:cs="MS PGothic" w:eastAsia="MS PGothic" w:hAnsi="MS PGothic"/>
          <w:sz w:val="28"/>
          <w:szCs w:val="28"/>
          <w:color w:val="auto"/>
        </w:rPr>
        <w:t>☐</w:t>
      </w:r>
    </w:p>
    <w:p>
      <w:pPr>
        <w:spacing w:after="0" w:line="172" w:lineRule="exact"/>
        <w:rPr>
          <w:rFonts w:ascii="Arial" w:cs="Arial" w:eastAsia="Arial" w:hAnsi="Arial"/>
          <w:sz w:val="19"/>
          <w:szCs w:val="19"/>
          <w:color w:val="auto"/>
        </w:rPr>
      </w:pPr>
    </w:p>
    <w:p>
      <w:pPr>
        <w:ind w:left="333" w:hanging="333"/>
        <w:spacing w:after="0" w:line="262" w:lineRule="exact"/>
        <w:tabs>
          <w:tab w:leader="none" w:pos="333" w:val="left"/>
        </w:tabs>
        <w:numPr>
          <w:ilvl w:val="0"/>
          <w:numId w:val="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G0R21B120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Arial" w:cs="Arial" w:eastAsia="Arial" w:hAnsi="Arial"/>
                <w:sz w:val="29"/>
                <w:szCs w:val="29"/>
                <w:b w:val="1"/>
                <w:bCs w:val="1"/>
                <w:color w:val="auto"/>
                <w:w w:val="86"/>
              </w:rPr>
              <w:t>1</w:t>
            </w:r>
          </w:p>
        </w:tc>
        <w:tc>
          <w:tcPr>
            <w:tcW w:w="3280" w:type="dxa"/>
            <w:vAlign w:val="bottom"/>
          </w:tcPr>
          <w:p>
            <w:pPr>
              <w:ind w:left="44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3280" w:type="dxa"/>
            <w:vAlign w:val="bottom"/>
            <w:vMerge w:val="restart"/>
          </w:tcPr>
          <w:p>
            <w:pPr>
              <w:ind w:left="760"/>
              <w:spacing w:after="0"/>
              <w:rPr>
                <w:sz w:val="20"/>
                <w:szCs w:val="20"/>
                <w:color w:val="auto"/>
              </w:rPr>
            </w:pPr>
            <w:r>
              <w:rPr>
                <w:rFonts w:ascii="Arial" w:cs="Arial" w:eastAsia="Arial" w:hAnsi="Arial"/>
                <w:sz w:val="20"/>
                <w:szCs w:val="20"/>
                <w:color w:val="auto"/>
                <w:w w:val="91"/>
              </w:rPr>
              <w:t>Adage Capital Advisors, L.L.C.</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3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2" w:lineRule="auto"/>
        <w:tabs>
          <w:tab w:leader="none" w:pos="1820" w:val="left"/>
        </w:tabs>
        <w:numPr>
          <w:ilvl w:val="0"/>
          <w:numId w:val="8"/>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820" w:hanging="1033"/>
        <w:spacing w:after="0"/>
        <w:tabs>
          <w:tab w:leader="none" w:pos="1820" w:val="left"/>
        </w:tabs>
        <w:numPr>
          <w:ilvl w:val="0"/>
          <w:numId w:val="9"/>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4</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w w:val="92"/>
              </w:rPr>
              <w:t>Delaware</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4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NUMBER OF</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93"/>
              <w:spacing w:after="0"/>
              <w:rPr>
                <w:sz w:val="20"/>
                <w:szCs w:val="20"/>
                <w:color w:val="auto"/>
              </w:rPr>
            </w:pPr>
            <w:r>
              <w:rPr>
                <w:rFonts w:ascii="Arial" w:cs="Arial" w:eastAsia="Arial" w:hAnsi="Arial"/>
                <w:sz w:val="16"/>
                <w:szCs w:val="16"/>
                <w:color w:val="auto"/>
                <w:w w:val="94"/>
              </w:rPr>
              <w:t>SHARES</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2,250,000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BENEFICIALLY</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OWNED BY</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4"/>
              </w:rPr>
              <w:t>REPORTING</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2,250,000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9</w:t>
            </w:r>
          </w:p>
        </w:tc>
        <w:tc>
          <w:tcPr>
            <w:tcW w:w="1200" w:type="dxa"/>
            <w:vAlign w:val="bottom"/>
          </w:tcPr>
          <w:p>
            <w:pPr>
              <w:spacing w:after="0"/>
              <w:rPr>
                <w:sz w:val="10"/>
                <w:szCs w:val="10"/>
                <w:color w:val="auto"/>
              </w:rPr>
            </w:pPr>
          </w:p>
        </w:tc>
        <w:tc>
          <w:tcPr>
            <w:tcW w:w="53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w w:val="87"/>
              </w:rPr>
              <w:t>2,250,000</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4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200" w:type="dxa"/>
            <w:vAlign w:val="bottom"/>
            <w:vMerge w:val="restart"/>
          </w:tcPr>
          <w:p>
            <w:pPr>
              <w:ind w:left="520"/>
              <w:spacing w:after="0"/>
              <w:rPr>
                <w:sz w:val="20"/>
                <w:szCs w:val="20"/>
                <w:color w:val="auto"/>
              </w:rPr>
            </w:pPr>
            <w:r>
              <w:rPr>
                <w:rFonts w:ascii="Arial" w:cs="Arial" w:eastAsia="Arial" w:hAnsi="Arial"/>
                <w:sz w:val="20"/>
                <w:szCs w:val="20"/>
                <w:color w:val="auto"/>
              </w:rPr>
              <w:t>7.23%</w:t>
            </w:r>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rPr>
              <w:t>OO</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3" w:hanging="313"/>
        <w:spacing w:after="0" w:line="281" w:lineRule="exact"/>
        <w:tabs>
          <w:tab w:leader="none" w:pos="313" w:val="left"/>
        </w:tabs>
        <w:numPr>
          <w:ilvl w:val="0"/>
          <w:numId w:val="10"/>
        </w:numPr>
        <w:rPr>
          <w:rFonts w:ascii="Arial" w:cs="Arial" w:eastAsia="Arial" w:hAnsi="Arial"/>
          <w:sz w:val="19"/>
          <w:szCs w:val="19"/>
          <w:color w:val="auto"/>
        </w:rPr>
      </w:pPr>
      <w:r>
        <w:rPr>
          <w:rFonts w:ascii="MS PGothic" w:cs="MS PGothic" w:eastAsia="MS PGothic" w:hAnsi="MS PGothic"/>
          <w:sz w:val="28"/>
          <w:szCs w:val="28"/>
          <w:color w:val="auto"/>
        </w:rPr>
        <w:t>☐</w:t>
      </w:r>
    </w:p>
    <w:p>
      <w:pPr>
        <w:spacing w:after="0" w:line="172" w:lineRule="exact"/>
        <w:rPr>
          <w:rFonts w:ascii="Arial" w:cs="Arial" w:eastAsia="Arial" w:hAnsi="Arial"/>
          <w:sz w:val="19"/>
          <w:szCs w:val="19"/>
          <w:color w:val="auto"/>
        </w:rPr>
      </w:pPr>
    </w:p>
    <w:p>
      <w:pPr>
        <w:ind w:left="333" w:hanging="333"/>
        <w:spacing w:after="0" w:line="262" w:lineRule="exact"/>
        <w:tabs>
          <w:tab w:leader="none" w:pos="333" w:val="left"/>
        </w:tabs>
        <w:numPr>
          <w:ilvl w:val="0"/>
          <w:numId w:val="10"/>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4" w:name="page5"/>
    <w:bookmarkEnd w:id="4"/>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G0R21B120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Arial" w:cs="Arial" w:eastAsia="Arial" w:hAnsi="Arial"/>
                <w:sz w:val="29"/>
                <w:szCs w:val="29"/>
                <w:b w:val="1"/>
                <w:bCs w:val="1"/>
                <w:color w:val="auto"/>
                <w:w w:val="86"/>
              </w:rPr>
              <w:t>1</w:t>
            </w:r>
          </w:p>
        </w:tc>
        <w:tc>
          <w:tcPr>
            <w:tcW w:w="2760" w:type="dxa"/>
            <w:vAlign w:val="bottom"/>
          </w:tcPr>
          <w:p>
            <w:pPr>
              <w:ind w:left="44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2760" w:type="dxa"/>
            <w:vAlign w:val="bottom"/>
            <w:vMerge w:val="restart"/>
          </w:tcPr>
          <w:p>
            <w:pPr>
              <w:ind w:left="760"/>
              <w:spacing w:after="0"/>
              <w:rPr>
                <w:sz w:val="20"/>
                <w:szCs w:val="20"/>
                <w:color w:val="auto"/>
              </w:rPr>
            </w:pPr>
            <w:r>
              <w:rPr>
                <w:rFonts w:ascii="Arial" w:cs="Arial" w:eastAsia="Arial" w:hAnsi="Arial"/>
                <w:sz w:val="20"/>
                <w:szCs w:val="20"/>
                <w:color w:val="auto"/>
              </w:rPr>
              <w:t>Robert Atchinson</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2" w:lineRule="auto"/>
        <w:tabs>
          <w:tab w:leader="none" w:pos="1820" w:val="left"/>
        </w:tabs>
        <w:numPr>
          <w:ilvl w:val="0"/>
          <w:numId w:val="11"/>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820" w:hanging="1033"/>
        <w:spacing w:after="0"/>
        <w:tabs>
          <w:tab w:leader="none" w:pos="1820" w:val="left"/>
        </w:tabs>
        <w:numPr>
          <w:ilvl w:val="0"/>
          <w:numId w:val="12"/>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4</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6560" w:type="dxa"/>
            <w:vAlign w:val="bottom"/>
            <w:gridSpan w:val="3"/>
            <w:vMerge w:val="restart"/>
          </w:tcPr>
          <w:p>
            <w:pPr>
              <w:ind w:left="52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6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4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NUMBER OF</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93"/>
              <w:spacing w:after="0"/>
              <w:rPr>
                <w:sz w:val="20"/>
                <w:szCs w:val="20"/>
                <w:color w:val="auto"/>
              </w:rPr>
            </w:pPr>
            <w:r>
              <w:rPr>
                <w:rFonts w:ascii="Arial" w:cs="Arial" w:eastAsia="Arial" w:hAnsi="Arial"/>
                <w:sz w:val="16"/>
                <w:szCs w:val="16"/>
                <w:color w:val="auto"/>
                <w:w w:val="94"/>
              </w:rPr>
              <w:t>SHARES</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2,250,000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BENEFICIALLY</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OWNED BY</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4"/>
              </w:rPr>
              <w:t>REPORTING</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2,250,000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9</w:t>
            </w:r>
          </w:p>
        </w:tc>
        <w:tc>
          <w:tcPr>
            <w:tcW w:w="1200" w:type="dxa"/>
            <w:vAlign w:val="bottom"/>
          </w:tcPr>
          <w:p>
            <w:pPr>
              <w:spacing w:after="0"/>
              <w:rPr>
                <w:sz w:val="10"/>
                <w:szCs w:val="10"/>
                <w:color w:val="auto"/>
              </w:rPr>
            </w:pPr>
          </w:p>
        </w:tc>
        <w:tc>
          <w:tcPr>
            <w:tcW w:w="53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w w:val="87"/>
              </w:rPr>
              <w:t>2,250,000</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4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200" w:type="dxa"/>
            <w:vAlign w:val="bottom"/>
            <w:vMerge w:val="restart"/>
          </w:tcPr>
          <w:p>
            <w:pPr>
              <w:ind w:left="520"/>
              <w:spacing w:after="0"/>
              <w:rPr>
                <w:sz w:val="20"/>
                <w:szCs w:val="20"/>
                <w:color w:val="auto"/>
              </w:rPr>
            </w:pPr>
            <w:r>
              <w:rPr>
                <w:rFonts w:ascii="Arial" w:cs="Arial" w:eastAsia="Arial" w:hAnsi="Arial"/>
                <w:sz w:val="20"/>
                <w:szCs w:val="20"/>
                <w:color w:val="auto"/>
              </w:rPr>
              <w:t>7.23%</w:t>
            </w:r>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rPr>
              <w:t>IN</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3" w:hanging="313"/>
        <w:spacing w:after="0" w:line="281" w:lineRule="exact"/>
        <w:tabs>
          <w:tab w:leader="none" w:pos="313" w:val="left"/>
        </w:tabs>
        <w:numPr>
          <w:ilvl w:val="0"/>
          <w:numId w:val="13"/>
        </w:numPr>
        <w:rPr>
          <w:rFonts w:ascii="Arial" w:cs="Arial" w:eastAsia="Arial" w:hAnsi="Arial"/>
          <w:sz w:val="19"/>
          <w:szCs w:val="19"/>
          <w:color w:val="auto"/>
        </w:rPr>
      </w:pPr>
      <w:r>
        <w:rPr>
          <w:rFonts w:ascii="MS PGothic" w:cs="MS PGothic" w:eastAsia="MS PGothic" w:hAnsi="MS PGothic"/>
          <w:sz w:val="28"/>
          <w:szCs w:val="28"/>
          <w:color w:val="auto"/>
        </w:rPr>
        <w:t>☐</w:t>
      </w:r>
    </w:p>
    <w:p>
      <w:pPr>
        <w:spacing w:after="0" w:line="172" w:lineRule="exact"/>
        <w:rPr>
          <w:rFonts w:ascii="Arial" w:cs="Arial" w:eastAsia="Arial" w:hAnsi="Arial"/>
          <w:sz w:val="19"/>
          <w:szCs w:val="19"/>
          <w:color w:val="auto"/>
        </w:rPr>
      </w:pPr>
    </w:p>
    <w:p>
      <w:pPr>
        <w:ind w:left="333" w:hanging="333"/>
        <w:spacing w:after="0" w:line="262" w:lineRule="exact"/>
        <w:tabs>
          <w:tab w:leader="none" w:pos="333" w:val="left"/>
        </w:tabs>
        <w:numPr>
          <w:ilvl w:val="0"/>
          <w:numId w:val="13"/>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5" w:name="page6"/>
    <w:bookmarkEnd w:id="5"/>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G0R21B120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Arial" w:cs="Arial" w:eastAsia="Arial" w:hAnsi="Arial"/>
                <w:sz w:val="29"/>
                <w:szCs w:val="29"/>
                <w:b w:val="1"/>
                <w:bCs w:val="1"/>
                <w:color w:val="auto"/>
                <w:w w:val="86"/>
              </w:rPr>
              <w:t>1</w:t>
            </w:r>
          </w:p>
        </w:tc>
        <w:tc>
          <w:tcPr>
            <w:tcW w:w="2760" w:type="dxa"/>
            <w:vAlign w:val="bottom"/>
          </w:tcPr>
          <w:p>
            <w:pPr>
              <w:ind w:left="44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2760" w:type="dxa"/>
            <w:vAlign w:val="bottom"/>
            <w:vMerge w:val="restart"/>
          </w:tcPr>
          <w:p>
            <w:pPr>
              <w:ind w:left="760"/>
              <w:spacing w:after="0"/>
              <w:rPr>
                <w:sz w:val="20"/>
                <w:szCs w:val="20"/>
                <w:color w:val="auto"/>
              </w:rPr>
            </w:pPr>
            <w:r>
              <w:rPr>
                <w:rFonts w:ascii="Arial" w:cs="Arial" w:eastAsia="Arial" w:hAnsi="Arial"/>
                <w:sz w:val="20"/>
                <w:szCs w:val="20"/>
                <w:color w:val="auto"/>
              </w:rPr>
              <w:t>Phillip Gross</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2" w:lineRule="auto"/>
        <w:tabs>
          <w:tab w:leader="none" w:pos="1820" w:val="left"/>
        </w:tabs>
        <w:numPr>
          <w:ilvl w:val="0"/>
          <w:numId w:val="14"/>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820" w:hanging="1033"/>
        <w:spacing w:after="0"/>
        <w:tabs>
          <w:tab w:leader="none" w:pos="1820" w:val="left"/>
        </w:tabs>
        <w:numPr>
          <w:ilvl w:val="0"/>
          <w:numId w:val="15"/>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4</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6560" w:type="dxa"/>
            <w:vAlign w:val="bottom"/>
            <w:gridSpan w:val="3"/>
            <w:vMerge w:val="restart"/>
          </w:tcPr>
          <w:p>
            <w:pPr>
              <w:ind w:left="52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6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4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NUMBER OF</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93"/>
              <w:spacing w:after="0"/>
              <w:rPr>
                <w:sz w:val="20"/>
                <w:szCs w:val="20"/>
                <w:color w:val="auto"/>
              </w:rPr>
            </w:pPr>
            <w:r>
              <w:rPr>
                <w:rFonts w:ascii="Arial" w:cs="Arial" w:eastAsia="Arial" w:hAnsi="Arial"/>
                <w:sz w:val="16"/>
                <w:szCs w:val="16"/>
                <w:color w:val="auto"/>
                <w:w w:val="94"/>
              </w:rPr>
              <w:t>SHARES</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2,250,000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BENEFICIALLY</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OWNED BY</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4"/>
              </w:rPr>
              <w:t>REPORTING</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2,250,000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9</w:t>
            </w:r>
          </w:p>
        </w:tc>
        <w:tc>
          <w:tcPr>
            <w:tcW w:w="1200" w:type="dxa"/>
            <w:vAlign w:val="bottom"/>
          </w:tcPr>
          <w:p>
            <w:pPr>
              <w:spacing w:after="0"/>
              <w:rPr>
                <w:sz w:val="10"/>
                <w:szCs w:val="10"/>
                <w:color w:val="auto"/>
              </w:rPr>
            </w:pPr>
          </w:p>
        </w:tc>
        <w:tc>
          <w:tcPr>
            <w:tcW w:w="53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w w:val="87"/>
              </w:rPr>
              <w:t>2,250,000</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4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200" w:type="dxa"/>
            <w:vAlign w:val="bottom"/>
            <w:vMerge w:val="restart"/>
          </w:tcPr>
          <w:p>
            <w:pPr>
              <w:ind w:left="520"/>
              <w:spacing w:after="0"/>
              <w:rPr>
                <w:sz w:val="20"/>
                <w:szCs w:val="20"/>
                <w:color w:val="auto"/>
              </w:rPr>
            </w:pPr>
            <w:r>
              <w:rPr>
                <w:rFonts w:ascii="Arial" w:cs="Arial" w:eastAsia="Arial" w:hAnsi="Arial"/>
                <w:sz w:val="20"/>
                <w:szCs w:val="20"/>
                <w:color w:val="auto"/>
              </w:rPr>
              <w:t>7.23%</w:t>
            </w:r>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rPr>
              <w:t>IN</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3" w:hanging="313"/>
        <w:spacing w:after="0" w:line="281" w:lineRule="exact"/>
        <w:tabs>
          <w:tab w:leader="none" w:pos="313" w:val="left"/>
        </w:tabs>
        <w:numPr>
          <w:ilvl w:val="0"/>
          <w:numId w:val="16"/>
        </w:numPr>
        <w:rPr>
          <w:rFonts w:ascii="Arial" w:cs="Arial" w:eastAsia="Arial" w:hAnsi="Arial"/>
          <w:sz w:val="19"/>
          <w:szCs w:val="19"/>
          <w:color w:val="auto"/>
        </w:rPr>
      </w:pPr>
      <w:r>
        <w:rPr>
          <w:rFonts w:ascii="MS PGothic" w:cs="MS PGothic" w:eastAsia="MS PGothic" w:hAnsi="MS PGothic"/>
          <w:sz w:val="28"/>
          <w:szCs w:val="28"/>
          <w:color w:val="auto"/>
        </w:rPr>
        <w:t>☐</w:t>
      </w:r>
    </w:p>
    <w:p>
      <w:pPr>
        <w:spacing w:after="0" w:line="172" w:lineRule="exact"/>
        <w:rPr>
          <w:rFonts w:ascii="Arial" w:cs="Arial" w:eastAsia="Arial" w:hAnsi="Arial"/>
          <w:sz w:val="19"/>
          <w:szCs w:val="19"/>
          <w:color w:val="auto"/>
        </w:rPr>
      </w:pPr>
    </w:p>
    <w:p>
      <w:pPr>
        <w:ind w:left="333" w:hanging="333"/>
        <w:spacing w:after="0" w:line="262" w:lineRule="exact"/>
        <w:tabs>
          <w:tab w:leader="none" w:pos="333" w:val="left"/>
        </w:tabs>
        <w:numPr>
          <w:ilvl w:val="0"/>
          <w:numId w:val="16"/>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6" w:name="page7"/>
    <w:bookmarkEnd w:id="6"/>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G0R21B120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12 Pages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name of the issuer is ArcLight Clean Transition Corp. II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00" w:lineRule="exact"/>
        <w:rPr>
          <w:sz w:val="20"/>
          <w:szCs w:val="20"/>
          <w:color w:val="auto"/>
        </w:rPr>
      </w:pPr>
    </w:p>
    <w:p>
      <w:pPr>
        <w:spacing w:after="0" w:line="237"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2" w:lineRule="exact"/>
        <w:rPr>
          <w:sz w:val="20"/>
          <w:szCs w:val="20"/>
          <w:color w:val="auto"/>
        </w:rPr>
      </w:pPr>
    </w:p>
    <w:p>
      <w:pPr>
        <w:ind w:left="1700" w:right="500"/>
        <w:spacing w:after="0" w:line="244" w:lineRule="auto"/>
        <w:rPr>
          <w:sz w:val="20"/>
          <w:szCs w:val="20"/>
          <w:color w:val="auto"/>
        </w:rPr>
      </w:pPr>
      <w:r>
        <w:rPr>
          <w:rFonts w:ascii="Arial" w:cs="Arial" w:eastAsia="Arial" w:hAnsi="Arial"/>
          <w:sz w:val="20"/>
          <w:szCs w:val="20"/>
          <w:color w:val="auto"/>
        </w:rPr>
        <w:t>The Company's principal executive offices are located at 200 Clarendon Street, 55th Floor, Boston, Massachusetts 02116.</w:t>
      </w:r>
    </w:p>
    <w:p>
      <w:pPr>
        <w:spacing w:after="0" w:line="200" w:lineRule="exact"/>
        <w:rPr>
          <w:sz w:val="20"/>
          <w:szCs w:val="20"/>
          <w:color w:val="auto"/>
        </w:rPr>
      </w:pPr>
    </w:p>
    <w:p>
      <w:pPr>
        <w:spacing w:after="0" w:line="228"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This statement is filed by:</w:t>
      </w:r>
    </w:p>
    <w:p>
      <w:pPr>
        <w:spacing w:after="0" w:line="213" w:lineRule="exact"/>
        <w:rPr>
          <w:sz w:val="20"/>
          <w:szCs w:val="20"/>
          <w:color w:val="auto"/>
        </w:rPr>
      </w:pPr>
    </w:p>
    <w:p>
      <w:pPr>
        <w:ind w:left="2500" w:right="480" w:hanging="805"/>
        <w:spacing w:after="0" w:line="260" w:lineRule="auto"/>
        <w:tabs>
          <w:tab w:leader="none" w:pos="25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Adage Capital Partners, L.P., a Delaware limited partnership ("</w:t>
      </w:r>
      <w:r>
        <w:rPr>
          <w:rFonts w:ascii="Arial" w:cs="Arial" w:eastAsia="Arial" w:hAnsi="Arial"/>
          <w:sz w:val="20"/>
          <w:szCs w:val="20"/>
          <w:u w:val="single" w:color="auto"/>
          <w:color w:val="auto"/>
        </w:rPr>
        <w:t>ACP</w:t>
      </w:r>
      <w:r>
        <w:rPr>
          <w:rFonts w:ascii="Arial" w:cs="Arial" w:eastAsia="Arial" w:hAnsi="Arial"/>
          <w:sz w:val="20"/>
          <w:szCs w:val="20"/>
          <w:color w:val="auto"/>
        </w:rPr>
        <w:t>") with respect to the Class A Ordinary Shares directly owned by it;</w:t>
      </w:r>
    </w:p>
    <w:p>
      <w:pPr>
        <w:spacing w:after="0" w:line="190" w:lineRule="exact"/>
        <w:rPr>
          <w:rFonts w:ascii="Arial" w:cs="Arial" w:eastAsia="Arial" w:hAnsi="Arial"/>
          <w:sz w:val="20"/>
          <w:szCs w:val="20"/>
          <w:color w:val="auto"/>
        </w:rPr>
      </w:pPr>
    </w:p>
    <w:p>
      <w:pPr>
        <w:ind w:left="2500" w:right="300" w:hanging="805"/>
        <w:spacing w:after="0" w:line="250" w:lineRule="auto"/>
        <w:tabs>
          <w:tab w:leader="none" w:pos="25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Adage Capital Partners GP, L.L.C., a limited liability company organized under the laws of the State of Delaware ("</w:t>
      </w:r>
      <w:r>
        <w:rPr>
          <w:rFonts w:ascii="Arial" w:cs="Arial" w:eastAsia="Arial" w:hAnsi="Arial"/>
          <w:sz w:val="20"/>
          <w:szCs w:val="20"/>
          <w:u w:val="single" w:color="auto"/>
          <w:color w:val="auto"/>
        </w:rPr>
        <w:t>ACPGP</w:t>
      </w:r>
      <w:r>
        <w:rPr>
          <w:rFonts w:ascii="Arial" w:cs="Arial" w:eastAsia="Arial" w:hAnsi="Arial"/>
          <w:sz w:val="20"/>
          <w:szCs w:val="20"/>
          <w:color w:val="auto"/>
        </w:rPr>
        <w:t>"), as general partner of ACP with respect to the Class A Ordinary Shares directly owned by ACP;</w:t>
      </w:r>
    </w:p>
    <w:p>
      <w:pPr>
        <w:spacing w:after="0" w:line="199" w:lineRule="exact"/>
        <w:rPr>
          <w:rFonts w:ascii="Arial" w:cs="Arial" w:eastAsia="Arial" w:hAnsi="Arial"/>
          <w:sz w:val="20"/>
          <w:szCs w:val="20"/>
          <w:color w:val="auto"/>
        </w:rPr>
      </w:pPr>
    </w:p>
    <w:p>
      <w:pPr>
        <w:ind w:left="2500" w:right="180" w:hanging="805"/>
        <w:spacing w:after="0" w:line="250" w:lineRule="auto"/>
        <w:tabs>
          <w:tab w:leader="none" w:pos="25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Adage Capital Advisors, L.L.C., a limited liability company organized under the laws of the State of Delaware ("</w:t>
      </w:r>
      <w:r>
        <w:rPr>
          <w:rFonts w:ascii="Arial" w:cs="Arial" w:eastAsia="Arial" w:hAnsi="Arial"/>
          <w:sz w:val="20"/>
          <w:szCs w:val="20"/>
          <w:u w:val="single" w:color="auto"/>
          <w:color w:val="auto"/>
        </w:rPr>
        <w:t>ACA</w:t>
      </w:r>
      <w:r>
        <w:rPr>
          <w:rFonts w:ascii="Arial" w:cs="Arial" w:eastAsia="Arial" w:hAnsi="Arial"/>
          <w:sz w:val="20"/>
          <w:szCs w:val="20"/>
          <w:color w:val="auto"/>
        </w:rPr>
        <w:t>"), as managing member of ACPGP, general partner of ACP, with respect to the Class A Ordinary Shares directly owned by ACP;</w:t>
      </w:r>
    </w:p>
    <w:p>
      <w:pPr>
        <w:spacing w:after="0" w:line="199" w:lineRule="exact"/>
        <w:rPr>
          <w:rFonts w:ascii="Arial" w:cs="Arial" w:eastAsia="Arial" w:hAnsi="Arial"/>
          <w:sz w:val="20"/>
          <w:szCs w:val="20"/>
          <w:color w:val="auto"/>
        </w:rPr>
      </w:pPr>
    </w:p>
    <w:p>
      <w:pPr>
        <w:ind w:left="2500" w:right="420" w:hanging="805"/>
        <w:spacing w:after="0" w:line="287" w:lineRule="auto"/>
        <w:tabs>
          <w:tab w:leader="none" w:pos="25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Robert Atchinson ("</w:t>
      </w:r>
      <w:r>
        <w:rPr>
          <w:rFonts w:ascii="Arial" w:cs="Arial" w:eastAsia="Arial" w:hAnsi="Arial"/>
          <w:sz w:val="19"/>
          <w:szCs w:val="19"/>
          <w:u w:val="single" w:color="auto"/>
          <w:color w:val="auto"/>
        </w:rPr>
        <w:t>Mr. Atchinson</w:t>
      </w:r>
      <w:r>
        <w:rPr>
          <w:rFonts w:ascii="Arial" w:cs="Arial" w:eastAsia="Arial" w:hAnsi="Arial"/>
          <w:sz w:val="19"/>
          <w:szCs w:val="19"/>
          <w:color w:val="auto"/>
        </w:rPr>
        <w:t>"), as managing member of ACA, managing member of ACPGP, general partner of ACP with respect to the Class A Ordinary Shares directly owned by ACP; and</w:t>
      </w:r>
    </w:p>
    <w:p>
      <w:pPr>
        <w:spacing w:after="0" w:line="165" w:lineRule="exact"/>
        <w:rPr>
          <w:rFonts w:ascii="Arial" w:cs="Arial" w:eastAsia="Arial" w:hAnsi="Arial"/>
          <w:sz w:val="19"/>
          <w:szCs w:val="19"/>
          <w:color w:val="auto"/>
        </w:rPr>
      </w:pPr>
    </w:p>
    <w:p>
      <w:pPr>
        <w:ind w:left="2500" w:right="320" w:hanging="805"/>
        <w:spacing w:after="0" w:line="260" w:lineRule="auto"/>
        <w:tabs>
          <w:tab w:leader="none" w:pos="25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Phillip Gross ("</w:t>
      </w:r>
      <w:r>
        <w:rPr>
          <w:rFonts w:ascii="Arial" w:cs="Arial" w:eastAsia="Arial" w:hAnsi="Arial"/>
          <w:sz w:val="20"/>
          <w:szCs w:val="20"/>
          <w:u w:val="single" w:color="auto"/>
          <w:color w:val="auto"/>
        </w:rPr>
        <w:t>Mr. Gross</w:t>
      </w:r>
      <w:r>
        <w:rPr>
          <w:rFonts w:ascii="Arial" w:cs="Arial" w:eastAsia="Arial" w:hAnsi="Arial"/>
          <w:sz w:val="20"/>
          <w:szCs w:val="20"/>
          <w:color w:val="auto"/>
        </w:rPr>
        <w:t>"), as managing member of ACA, managing member of ACPGP, general partner of ACP with respect to the Class A Ordinary Shares directly owned by ACP.</w:t>
      </w:r>
    </w:p>
    <w:p>
      <w:pPr>
        <w:spacing w:after="0" w:line="190" w:lineRule="exact"/>
        <w:rPr>
          <w:sz w:val="20"/>
          <w:szCs w:val="20"/>
          <w:color w:val="auto"/>
        </w:rPr>
      </w:pPr>
    </w:p>
    <w:p>
      <w:pPr>
        <w:ind w:left="1700" w:right="240"/>
        <w:spacing w:after="0" w:line="250" w:lineRule="auto"/>
        <w:rPr>
          <w:sz w:val="20"/>
          <w:szCs w:val="20"/>
          <w:color w:val="auto"/>
        </w:rPr>
      </w:pPr>
      <w:r>
        <w:rPr>
          <w:rFonts w:ascii="Arial" w:cs="Arial" w:eastAsia="Arial" w:hAnsi="Arial"/>
          <w:sz w:val="20"/>
          <w:szCs w:val="20"/>
          <w:color w:val="auto"/>
        </w:rPr>
        <w:t>The foregoing persons are hereinafter sometimes collectively referred to as the "</w:t>
      </w:r>
      <w:r>
        <w:rPr>
          <w:rFonts w:ascii="Arial" w:cs="Arial" w:eastAsia="Arial" w:hAnsi="Arial"/>
          <w:sz w:val="20"/>
          <w:szCs w:val="20"/>
          <w:u w:val="single" w:color="auto"/>
          <w:color w:val="auto"/>
        </w:rPr>
        <w:t>Reporting Persons</w:t>
      </w:r>
      <w:r>
        <w:rPr>
          <w:rFonts w:ascii="Arial" w:cs="Arial" w:eastAsia="Arial" w:hAnsi="Arial"/>
          <w:sz w:val="20"/>
          <w:szCs w:val="20"/>
          <w:color w:val="auto"/>
        </w:rPr>
        <w:t>." Any disclosures herein with respect to persons other than the Reporting Persons are made on information and belief after making inquiry to the appropriate party.</w:t>
      </w:r>
    </w:p>
    <w:p>
      <w:pPr>
        <w:spacing w:after="0" w:line="199" w:lineRule="exact"/>
        <w:rPr>
          <w:sz w:val="20"/>
          <w:szCs w:val="20"/>
          <w:color w:val="auto"/>
        </w:rPr>
      </w:pPr>
    </w:p>
    <w:p>
      <w:pPr>
        <w:ind w:left="1700" w:right="540"/>
        <w:spacing w:after="0" w:line="260" w:lineRule="auto"/>
        <w:rPr>
          <w:sz w:val="20"/>
          <w:szCs w:val="20"/>
          <w:color w:val="auto"/>
        </w:rPr>
      </w:pPr>
      <w:r>
        <w:rPr>
          <w:rFonts w:ascii="Arial" w:cs="Arial" w:eastAsia="Arial" w:hAnsi="Arial"/>
          <w:sz w:val="20"/>
          <w:szCs w:val="20"/>
          <w:color w:val="auto"/>
        </w:rPr>
        <w:t>The filing of this statement should not be construed in and of itself as an admission by any Reporting Person as to beneficial ownership of the securities reported herein.</w:t>
      </w:r>
    </w:p>
    <w:p>
      <w:pPr>
        <w:spacing w:after="0" w:line="200" w:lineRule="exact"/>
        <w:rPr>
          <w:sz w:val="20"/>
          <w:szCs w:val="20"/>
          <w:color w:val="auto"/>
        </w:rPr>
      </w:pPr>
    </w:p>
    <w:p>
      <w:pPr>
        <w:spacing w:after="0" w:line="214"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2" w:lineRule="exact"/>
        <w:rPr>
          <w:sz w:val="20"/>
          <w:szCs w:val="20"/>
          <w:color w:val="auto"/>
        </w:rPr>
      </w:pPr>
    </w:p>
    <w:p>
      <w:pPr>
        <w:ind w:left="1700" w:right="640"/>
        <w:spacing w:after="0" w:line="244" w:lineRule="auto"/>
        <w:rPr>
          <w:sz w:val="20"/>
          <w:szCs w:val="20"/>
          <w:color w:val="auto"/>
        </w:rPr>
      </w:pPr>
      <w:r>
        <w:rPr>
          <w:rFonts w:ascii="Arial" w:cs="Arial" w:eastAsia="Arial" w:hAnsi="Arial"/>
          <w:sz w:val="20"/>
          <w:szCs w:val="20"/>
          <w:color w:val="auto"/>
        </w:rPr>
        <w:t>The address of the business office of each of the Reporting Persons is 200 Clarendon Street, 52nd Floor, Boston, Massachusetts 02116.</w:t>
      </w:r>
    </w:p>
    <w:p>
      <w:pPr>
        <w:sectPr>
          <w:pgSz w:w="11900" w:h="16838" w:orient="portrait"/>
          <w:cols w:equalWidth="0" w:num="1">
            <w:col w:w="11240"/>
          </w:cols>
          <w:pgMar w:left="320" w:top="22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CUSIP No. G0R21B120</w:t>
            </w:r>
          </w:p>
        </w:tc>
        <w:tc>
          <w:tcPr>
            <w:tcW w:w="3980" w:type="dxa"/>
            <w:vAlign w:val="bottom"/>
            <w:gridSpan w:val="3"/>
          </w:tcPr>
          <w:p>
            <w:pPr>
              <w:ind w:left="300"/>
              <w:spacing w:after="0"/>
              <w:rPr>
                <w:sz w:val="20"/>
                <w:szCs w:val="20"/>
                <w:color w:val="auto"/>
              </w:rPr>
            </w:pPr>
            <w:r>
              <w:rPr>
                <w:rFonts w:ascii="Arial" w:cs="Arial" w:eastAsia="Arial" w:hAnsi="Arial"/>
                <w:sz w:val="18"/>
                <w:szCs w:val="18"/>
                <w:b w:val="1"/>
                <w:bCs w:val="1"/>
                <w:color w:val="auto"/>
              </w:rPr>
              <w:t>13G</w:t>
            </w:r>
          </w:p>
        </w:tc>
        <w:tc>
          <w:tcPr>
            <w:tcW w:w="2080" w:type="dxa"/>
            <w:vAlign w:val="bottom"/>
          </w:tcPr>
          <w:p>
            <w:pPr>
              <w:ind w:left="680"/>
              <w:spacing w:after="0"/>
              <w:rPr>
                <w:sz w:val="20"/>
                <w:szCs w:val="20"/>
                <w:color w:val="auto"/>
              </w:rPr>
            </w:pPr>
            <w:r>
              <w:rPr>
                <w:rFonts w:ascii="Arial" w:cs="Arial" w:eastAsia="Arial" w:hAnsi="Arial"/>
                <w:sz w:val="18"/>
                <w:szCs w:val="18"/>
                <w:b w:val="1"/>
                <w:bCs w:val="1"/>
                <w:color w:val="auto"/>
                <w:w w:val="84"/>
              </w:rPr>
              <w:t>Page 8 of 12 Pages</w:t>
            </w:r>
          </w:p>
        </w:tc>
      </w:tr>
      <w:tr>
        <w:trPr>
          <w:trHeight w:val="550"/>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3920" w:type="dxa"/>
            <w:vAlign w:val="bottom"/>
          </w:tcPr>
          <w:p>
            <w:pPr>
              <w:ind w:left="440"/>
              <w:spacing w:after="0"/>
              <w:rPr>
                <w:sz w:val="20"/>
                <w:szCs w:val="20"/>
                <w:color w:val="auto"/>
              </w:rPr>
            </w:pPr>
            <w:r>
              <w:rPr>
                <w:rFonts w:ascii="Arial" w:cs="Arial" w:eastAsia="Arial" w:hAnsi="Arial"/>
                <w:sz w:val="20"/>
                <w:szCs w:val="20"/>
                <w:b w:val="1"/>
                <w:bCs w:val="1"/>
                <w:color w:val="auto"/>
              </w:rPr>
              <w:t>CITIZENSHIP</w:t>
            </w: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1260" w:type="dxa"/>
            <w:vAlign w:val="bottom"/>
          </w:tcPr>
          <w:p>
            <w:pPr>
              <w:spacing w:after="0"/>
              <w:rPr>
                <w:sz w:val="19"/>
                <w:szCs w:val="19"/>
                <w:color w:val="auto"/>
              </w:rPr>
            </w:pPr>
          </w:p>
        </w:tc>
        <w:tc>
          <w:tcPr>
            <w:tcW w:w="9980" w:type="dxa"/>
            <w:vAlign w:val="bottom"/>
            <w:gridSpan w:val="5"/>
          </w:tcPr>
          <w:p>
            <w:pPr>
              <w:ind w:left="440"/>
              <w:spacing w:after="0"/>
              <w:rPr>
                <w:sz w:val="20"/>
                <w:szCs w:val="20"/>
                <w:color w:val="auto"/>
              </w:rPr>
            </w:pPr>
            <w:r>
              <w:rPr>
                <w:rFonts w:ascii="Arial" w:cs="Arial" w:eastAsia="Arial" w:hAnsi="Arial"/>
                <w:sz w:val="20"/>
                <w:szCs w:val="20"/>
                <w:color w:val="auto"/>
                <w:w w:val="92"/>
              </w:rPr>
              <w:t>ACP is a limited partnership organized under the laws of the State of Delaware. ACPGP and ACA are limited liability</w:t>
            </w:r>
          </w:p>
        </w:tc>
      </w:tr>
      <w:tr>
        <w:trPr>
          <w:trHeight w:val="229"/>
        </w:trPr>
        <w:tc>
          <w:tcPr>
            <w:tcW w:w="1260" w:type="dxa"/>
            <w:vAlign w:val="bottom"/>
          </w:tcPr>
          <w:p>
            <w:pPr>
              <w:spacing w:after="0"/>
              <w:rPr>
                <w:sz w:val="19"/>
                <w:szCs w:val="19"/>
                <w:color w:val="auto"/>
              </w:rPr>
            </w:pPr>
          </w:p>
        </w:tc>
        <w:tc>
          <w:tcPr>
            <w:tcW w:w="9980" w:type="dxa"/>
            <w:vAlign w:val="bottom"/>
            <w:gridSpan w:val="5"/>
          </w:tcPr>
          <w:p>
            <w:pPr>
              <w:ind w:left="440"/>
              <w:spacing w:after="0"/>
              <w:rPr>
                <w:sz w:val="20"/>
                <w:szCs w:val="20"/>
                <w:color w:val="auto"/>
              </w:rPr>
            </w:pPr>
            <w:r>
              <w:rPr>
                <w:rFonts w:ascii="Arial" w:cs="Arial" w:eastAsia="Arial" w:hAnsi="Arial"/>
                <w:sz w:val="20"/>
                <w:szCs w:val="20"/>
                <w:color w:val="auto"/>
                <w:w w:val="91"/>
              </w:rPr>
              <w:t>companies organized under the laws of the State of Delaware. Messrs. Gross and Atchinson are citizens of the United</w:t>
            </w:r>
          </w:p>
        </w:tc>
      </w:tr>
      <w:tr>
        <w:trPr>
          <w:trHeight w:val="250"/>
        </w:trPr>
        <w:tc>
          <w:tcPr>
            <w:tcW w:w="1260" w:type="dxa"/>
            <w:vAlign w:val="bottom"/>
          </w:tcPr>
          <w:p>
            <w:pPr>
              <w:spacing w:after="0"/>
              <w:rPr>
                <w:sz w:val="21"/>
                <w:szCs w:val="21"/>
                <w:color w:val="auto"/>
              </w:rPr>
            </w:pPr>
          </w:p>
        </w:tc>
        <w:tc>
          <w:tcPr>
            <w:tcW w:w="3920" w:type="dxa"/>
            <w:vAlign w:val="bottom"/>
          </w:tcPr>
          <w:p>
            <w:pPr>
              <w:ind w:left="440"/>
              <w:spacing w:after="0"/>
              <w:rPr>
                <w:sz w:val="20"/>
                <w:szCs w:val="20"/>
                <w:color w:val="auto"/>
              </w:rPr>
            </w:pPr>
            <w:r>
              <w:rPr>
                <w:rFonts w:ascii="Arial" w:cs="Arial" w:eastAsia="Arial" w:hAnsi="Arial"/>
                <w:sz w:val="20"/>
                <w:szCs w:val="20"/>
                <w:color w:val="auto"/>
              </w:rPr>
              <w:t>States.</w:t>
            </w:r>
          </w:p>
        </w:tc>
        <w:tc>
          <w:tcPr>
            <w:tcW w:w="11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66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3920" w:type="dxa"/>
            <w:vAlign w:val="bottom"/>
          </w:tcPr>
          <w:p>
            <w:pPr>
              <w:ind w:left="440"/>
              <w:spacing w:after="0"/>
              <w:rPr>
                <w:sz w:val="20"/>
                <w:szCs w:val="20"/>
                <w:color w:val="auto"/>
              </w:rPr>
            </w:pPr>
            <w:r>
              <w:rPr>
                <w:rFonts w:ascii="Arial" w:cs="Arial" w:eastAsia="Arial" w:hAnsi="Arial"/>
                <w:sz w:val="20"/>
                <w:szCs w:val="20"/>
                <w:b w:val="1"/>
                <w:bCs w:val="1"/>
                <w:color w:val="auto"/>
              </w:rPr>
              <w:t>TITLE OF CLASS OF SECURITIES</w:t>
            </w: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6"/>
        </w:trPr>
        <w:tc>
          <w:tcPr>
            <w:tcW w:w="1260" w:type="dxa"/>
            <w:vAlign w:val="bottom"/>
          </w:tcPr>
          <w:p>
            <w:pPr>
              <w:spacing w:after="0"/>
              <w:rPr>
                <w:sz w:val="17"/>
                <w:szCs w:val="17"/>
                <w:color w:val="auto"/>
              </w:rPr>
            </w:pPr>
          </w:p>
        </w:tc>
        <w:tc>
          <w:tcPr>
            <w:tcW w:w="7900" w:type="dxa"/>
            <w:vAlign w:val="bottom"/>
            <w:gridSpan w:val="4"/>
          </w:tcPr>
          <w:p>
            <w:pPr>
              <w:ind w:left="440"/>
              <w:spacing w:after="0" w:line="206" w:lineRule="exact"/>
              <w:rPr>
                <w:sz w:val="20"/>
                <w:szCs w:val="20"/>
                <w:color w:val="auto"/>
              </w:rPr>
            </w:pPr>
            <w:r>
              <w:rPr>
                <w:rFonts w:ascii="Arial" w:cs="Arial" w:eastAsia="Arial" w:hAnsi="Arial"/>
                <w:sz w:val="20"/>
                <w:szCs w:val="20"/>
                <w:color w:val="auto"/>
                <w:w w:val="96"/>
              </w:rPr>
              <w:t>Class A Ordinary Shares, par value $0.0001 per share (the "Class A Ordinary Shares").</w:t>
            </w:r>
          </w:p>
        </w:tc>
        <w:tc>
          <w:tcPr>
            <w:tcW w:w="2080" w:type="dxa"/>
            <w:vAlign w:val="bottom"/>
          </w:tcPr>
          <w:p>
            <w:pPr>
              <w:spacing w:after="0"/>
              <w:rPr>
                <w:sz w:val="17"/>
                <w:szCs w:val="17"/>
                <w:color w:val="auto"/>
              </w:rPr>
            </w:pPr>
          </w:p>
        </w:tc>
      </w:tr>
      <w:tr>
        <w:trPr>
          <w:trHeight w:val="69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920" w:type="dxa"/>
            <w:vAlign w:val="bottom"/>
          </w:tcPr>
          <w:p>
            <w:pPr>
              <w:ind w:left="440"/>
              <w:spacing w:after="0"/>
              <w:rPr>
                <w:sz w:val="20"/>
                <w:szCs w:val="20"/>
                <w:color w:val="auto"/>
              </w:rPr>
            </w:pPr>
            <w:r>
              <w:rPr>
                <w:rFonts w:ascii="Arial" w:cs="Arial" w:eastAsia="Arial" w:hAnsi="Arial"/>
                <w:sz w:val="20"/>
                <w:szCs w:val="20"/>
                <w:b w:val="1"/>
                <w:bCs w:val="1"/>
                <w:color w:val="auto"/>
              </w:rPr>
              <w:t>CUSIP NUMBER</w:t>
            </w:r>
          </w:p>
        </w:tc>
        <w:tc>
          <w:tcPr>
            <w:tcW w:w="116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9980" w:type="dxa"/>
            <w:vAlign w:val="bottom"/>
            <w:gridSpan w:val="5"/>
          </w:tcPr>
          <w:p>
            <w:pPr>
              <w:ind w:left="440"/>
              <w:spacing w:after="0"/>
              <w:rPr>
                <w:sz w:val="20"/>
                <w:szCs w:val="20"/>
                <w:color w:val="auto"/>
              </w:rPr>
            </w:pPr>
            <w:r>
              <w:rPr>
                <w:rFonts w:ascii="Arial" w:cs="Arial" w:eastAsia="Arial" w:hAnsi="Arial"/>
                <w:sz w:val="20"/>
                <w:szCs w:val="20"/>
                <w:color w:val="auto"/>
                <w:w w:val="94"/>
              </w:rPr>
              <w:t>The Class A Ordinary Shares have no CUSIP number. The CUSIP number for the units which include the Class A</w:t>
            </w:r>
          </w:p>
        </w:tc>
      </w:tr>
      <w:tr>
        <w:trPr>
          <w:trHeight w:val="250"/>
        </w:trPr>
        <w:tc>
          <w:tcPr>
            <w:tcW w:w="1260" w:type="dxa"/>
            <w:vAlign w:val="bottom"/>
          </w:tcPr>
          <w:p>
            <w:pPr>
              <w:spacing w:after="0"/>
              <w:rPr>
                <w:sz w:val="21"/>
                <w:szCs w:val="21"/>
                <w:color w:val="auto"/>
              </w:rPr>
            </w:pPr>
          </w:p>
        </w:tc>
        <w:tc>
          <w:tcPr>
            <w:tcW w:w="3920" w:type="dxa"/>
            <w:vAlign w:val="bottom"/>
          </w:tcPr>
          <w:p>
            <w:pPr>
              <w:ind w:left="440"/>
              <w:spacing w:after="0"/>
              <w:rPr>
                <w:sz w:val="20"/>
                <w:szCs w:val="20"/>
                <w:color w:val="auto"/>
              </w:rPr>
            </w:pPr>
            <w:r>
              <w:rPr>
                <w:rFonts w:ascii="Arial" w:cs="Arial" w:eastAsia="Arial" w:hAnsi="Arial"/>
                <w:sz w:val="20"/>
                <w:szCs w:val="20"/>
                <w:color w:val="auto"/>
              </w:rPr>
              <w:t>Ordinary Shares is G0R21B120.</w:t>
            </w:r>
          </w:p>
        </w:tc>
        <w:tc>
          <w:tcPr>
            <w:tcW w:w="11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80" w:type="dxa"/>
            <w:vAlign w:val="bottom"/>
          </w:tcPr>
          <w:p>
            <w:pPr>
              <w:spacing w:after="0"/>
              <w:rPr>
                <w:sz w:val="21"/>
                <w:szCs w:val="21"/>
                <w:color w:val="auto"/>
              </w:rPr>
            </w:pPr>
          </w:p>
        </w:tc>
      </w:tr>
    </w:tbl>
    <w:p>
      <w:pPr>
        <w:spacing w:after="0" w:line="200" w:lineRule="exact"/>
        <w:rPr>
          <w:sz w:val="20"/>
          <w:szCs w:val="20"/>
          <w:color w:val="auto"/>
        </w:rPr>
      </w:pPr>
    </w:p>
    <w:p>
      <w:pPr>
        <w:spacing w:after="0" w:line="232" w:lineRule="exact"/>
        <w:rPr>
          <w:sz w:val="20"/>
          <w:szCs w:val="20"/>
          <w:color w:val="auto"/>
        </w:rPr>
      </w:pPr>
    </w:p>
    <w:p>
      <w:pPr>
        <w:ind w:left="1700" w:right="120" w:hanging="1686"/>
        <w:spacing w:after="0" w:line="250" w:lineRule="auto"/>
        <w:tabs>
          <w:tab w:leader="none" w:pos="16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Rules 13d-1(b), OR 13d-2(b) OR (c), CHECK WHETHER THE PERSON FILING IS A:</w:t>
      </w:r>
    </w:p>
    <w:p>
      <w:pPr>
        <w:spacing w:after="0" w:line="2" w:lineRule="exact"/>
        <w:rPr>
          <w:sz w:val="20"/>
          <w:szCs w:val="20"/>
          <w:color w:val="auto"/>
        </w:rPr>
      </w:pPr>
    </w:p>
    <w:p>
      <w:pPr>
        <w:ind w:left="2400" w:hanging="705"/>
        <w:spacing w:after="0" w:line="230" w:lineRule="exact"/>
        <w:tabs>
          <w:tab w:leader="none" w:pos="2400" w:val="left"/>
        </w:tabs>
        <w:numPr>
          <w:ilvl w:val="0"/>
          <w:numId w:val="1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189" w:lineRule="exact"/>
        <w:rPr>
          <w:rFonts w:ascii="Arial" w:cs="Arial" w:eastAsia="Arial" w:hAnsi="Arial"/>
          <w:sz w:val="20"/>
          <w:szCs w:val="20"/>
          <w:color w:val="auto"/>
        </w:rPr>
      </w:pPr>
    </w:p>
    <w:p>
      <w:pPr>
        <w:ind w:left="2400" w:hanging="705"/>
        <w:spacing w:after="0" w:line="230" w:lineRule="exact"/>
        <w:tabs>
          <w:tab w:leader="none" w:pos="2400" w:val="left"/>
        </w:tabs>
        <w:numPr>
          <w:ilvl w:val="0"/>
          <w:numId w:val="1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400" w:hanging="705"/>
        <w:spacing w:after="0" w:line="230" w:lineRule="exact"/>
        <w:tabs>
          <w:tab w:leader="none" w:pos="2400" w:val="left"/>
        </w:tabs>
        <w:numPr>
          <w:ilvl w:val="0"/>
          <w:numId w:val="1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400" w:hanging="705"/>
        <w:spacing w:after="0" w:line="230" w:lineRule="exact"/>
        <w:tabs>
          <w:tab w:leader="none" w:pos="2400" w:val="left"/>
        </w:tabs>
        <w:numPr>
          <w:ilvl w:val="0"/>
          <w:numId w:val="1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400" w:hanging="705"/>
        <w:spacing w:after="0" w:line="230" w:lineRule="exact"/>
        <w:tabs>
          <w:tab w:leader="none" w:pos="2400" w:val="left"/>
        </w:tabs>
        <w:numPr>
          <w:ilvl w:val="0"/>
          <w:numId w:val="1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29" w:lineRule="exact"/>
        <w:rPr>
          <w:rFonts w:ascii="Arial" w:cs="Arial" w:eastAsia="Arial" w:hAnsi="Arial"/>
          <w:sz w:val="20"/>
          <w:szCs w:val="20"/>
          <w:color w:val="auto"/>
        </w:rPr>
      </w:pPr>
    </w:p>
    <w:p>
      <w:pPr>
        <w:ind w:left="2400" w:hanging="705"/>
        <w:spacing w:after="0" w:line="230" w:lineRule="exact"/>
        <w:tabs>
          <w:tab w:leader="none" w:pos="2400" w:val="left"/>
        </w:tabs>
        <w:numPr>
          <w:ilvl w:val="0"/>
          <w:numId w:val="1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Rule 13d-1(b)(1)(ii)(F);</w:t>
      </w:r>
    </w:p>
    <w:p>
      <w:pPr>
        <w:spacing w:after="0" w:line="229" w:lineRule="exact"/>
        <w:rPr>
          <w:rFonts w:ascii="Arial" w:cs="Arial" w:eastAsia="Arial" w:hAnsi="Arial"/>
          <w:sz w:val="20"/>
          <w:szCs w:val="20"/>
          <w:color w:val="auto"/>
        </w:rPr>
      </w:pPr>
    </w:p>
    <w:p>
      <w:pPr>
        <w:ind w:left="2400" w:hanging="705"/>
        <w:spacing w:after="0" w:line="230" w:lineRule="exact"/>
        <w:tabs>
          <w:tab w:leader="none" w:pos="2400" w:val="left"/>
        </w:tabs>
        <w:numPr>
          <w:ilvl w:val="0"/>
          <w:numId w:val="1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Rule 13d-1(b)(1)(ii)(G);</w:t>
      </w:r>
    </w:p>
    <w:p>
      <w:pPr>
        <w:spacing w:after="0" w:line="229" w:lineRule="exact"/>
        <w:rPr>
          <w:rFonts w:ascii="Arial" w:cs="Arial" w:eastAsia="Arial" w:hAnsi="Arial"/>
          <w:sz w:val="20"/>
          <w:szCs w:val="20"/>
          <w:color w:val="auto"/>
        </w:rPr>
      </w:pPr>
    </w:p>
    <w:p>
      <w:pPr>
        <w:ind w:left="2400" w:hanging="705"/>
        <w:spacing w:after="0" w:line="230" w:lineRule="exact"/>
        <w:tabs>
          <w:tab w:leader="none" w:pos="2400" w:val="left"/>
        </w:tabs>
        <w:numPr>
          <w:ilvl w:val="0"/>
          <w:numId w:val="1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2820" w:right="280" w:hanging="1125"/>
        <w:spacing w:after="0" w:line="252" w:lineRule="exact"/>
        <w:tabs>
          <w:tab w:leader="none" w:pos="2404" w:val="left"/>
        </w:tabs>
        <w:numPr>
          <w:ilvl w:val="0"/>
          <w:numId w:val="1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400" w:hanging="705"/>
        <w:spacing w:after="0" w:line="230" w:lineRule="exact"/>
        <w:tabs>
          <w:tab w:leader="none" w:pos="2400" w:val="left"/>
        </w:tabs>
        <w:numPr>
          <w:ilvl w:val="0"/>
          <w:numId w:val="1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400" w:hanging="705"/>
        <w:spacing w:after="0" w:line="230" w:lineRule="exact"/>
        <w:tabs>
          <w:tab w:leader="none" w:pos="2400" w:val="left"/>
        </w:tabs>
        <w:numPr>
          <w:ilvl w:val="0"/>
          <w:numId w:val="1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53" w:lineRule="exact"/>
        <w:rPr>
          <w:sz w:val="20"/>
          <w:szCs w:val="20"/>
          <w:color w:val="auto"/>
        </w:rPr>
      </w:pPr>
    </w:p>
    <w:p>
      <w:pPr>
        <w:ind w:left="1700" w:right="298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p>
    <w:p>
      <w:pPr>
        <w:sectPr>
          <w:pgSz w:w="11900" w:h="16838" w:orient="portrait"/>
          <w:cols w:equalWidth="0" w:num="1">
            <w:col w:w="11240"/>
          </w:cols>
          <w:pgMar w:left="320" w:top="229" w:right="339" w:bottom="1440" w:gutter="0" w:footer="0" w:header="0"/>
        </w:sectPr>
      </w:pPr>
    </w:p>
    <w:bookmarkStart w:id="8" w:name="page9"/>
    <w:bookmarkEnd w:id="8"/>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G0R21B120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9 of 12 Pages</w:t>
      </w:r>
    </w:p>
    <w:p>
      <w:pPr>
        <w:spacing w:after="0" w:line="200" w:lineRule="exact"/>
        <w:rPr>
          <w:sz w:val="20"/>
          <w:szCs w:val="20"/>
          <w:color w:val="auto"/>
        </w:rPr>
      </w:pPr>
    </w:p>
    <w:p>
      <w:pPr>
        <w:spacing w:after="0" w:line="372" w:lineRule="exact"/>
        <w:rPr>
          <w:sz w:val="20"/>
          <w:szCs w:val="20"/>
          <w:color w:val="auto"/>
        </w:rPr>
      </w:pPr>
    </w:p>
    <w:p>
      <w:pPr>
        <w:spacing w:after="0"/>
        <w:tabs>
          <w:tab w:leader="none" w:pos="18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2" w:lineRule="exact"/>
        <w:rPr>
          <w:sz w:val="20"/>
          <w:szCs w:val="20"/>
          <w:color w:val="auto"/>
        </w:rPr>
      </w:pPr>
    </w:p>
    <w:p>
      <w:pPr>
        <w:ind w:left="2380" w:hanging="563"/>
        <w:spacing w:after="0"/>
        <w:tabs>
          <w:tab w:leader="none" w:pos="23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Adage Capital Partners, L.P., Adage Capital Partners GP, L.L.C. and Adage Capital Advisors, L.L.C.</w:t>
      </w:r>
    </w:p>
    <w:p>
      <w:pPr>
        <w:spacing w:after="0" w:line="11" w:lineRule="exact"/>
        <w:rPr>
          <w:rFonts w:ascii="Arial" w:cs="Arial" w:eastAsia="Arial" w:hAnsi="Arial"/>
          <w:sz w:val="19"/>
          <w:szCs w:val="19"/>
          <w:color w:val="auto"/>
        </w:rPr>
      </w:pPr>
    </w:p>
    <w:p>
      <w:pPr>
        <w:ind w:left="2960" w:hanging="576"/>
        <w:spacing w:after="0"/>
        <w:tabs>
          <w:tab w:leader="none" w:pos="29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Amount beneficially owned: 2,250,000</w:t>
      </w:r>
    </w:p>
    <w:p>
      <w:pPr>
        <w:ind w:left="2960" w:right="120" w:hanging="576"/>
        <w:spacing w:after="0" w:line="252" w:lineRule="auto"/>
        <w:tabs>
          <w:tab w:leader="none" w:pos="2960" w:val="left"/>
        </w:tabs>
        <w:numPr>
          <w:ilvl w:val="1"/>
          <w:numId w:val="19"/>
        </w:numPr>
        <w:rPr>
          <w:rFonts w:ascii="Arial" w:cs="Arial" w:eastAsia="Arial" w:hAnsi="Arial"/>
          <w:sz w:val="19"/>
          <w:szCs w:val="19"/>
          <w:color w:val="auto"/>
        </w:rPr>
      </w:pPr>
      <w:r>
        <w:rPr>
          <w:rFonts w:ascii="Arial" w:cs="Arial" w:eastAsia="Arial" w:hAnsi="Arial"/>
          <w:sz w:val="19"/>
          <w:szCs w:val="19"/>
          <w:color w:val="auto"/>
        </w:rPr>
        <w:t>Percent of class: 7.23%. The percentage set forth in this Schedule 13G is calculated based upon the 31,116,305 Class A Ordinary Shares, reported to be outstanding in the Company's Prospectus filed pursuant to Rule 424(b)(4) with the Securities and Exchange Commission on March 24, 2021 and the Company's Current Report on Form 8-K filed with the Securities and Exchange Commission on March 26, 2021, after giving effect to the completion of the offering and the partial exercise of the underwriters’ over-allotment option, all as described therein.</w:t>
      </w:r>
    </w:p>
    <w:p>
      <w:pPr>
        <w:ind w:left="2960" w:hanging="576"/>
        <w:spacing w:after="0"/>
        <w:tabs>
          <w:tab w:leader="none" w:pos="29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620" w:hanging="669"/>
        <w:spacing w:after="0"/>
        <w:tabs>
          <w:tab w:leader="none" w:pos="3620" w:val="left"/>
        </w:tabs>
        <w:numPr>
          <w:ilvl w:val="2"/>
          <w:numId w:val="19"/>
        </w:numPr>
        <w:rPr>
          <w:rFonts w:ascii="Arial" w:cs="Arial" w:eastAsia="Arial" w:hAnsi="Arial"/>
          <w:sz w:val="20"/>
          <w:szCs w:val="20"/>
          <w:color w:val="auto"/>
        </w:rPr>
      </w:pPr>
      <w:r>
        <w:rPr>
          <w:rFonts w:ascii="Arial" w:cs="Arial" w:eastAsia="Arial" w:hAnsi="Arial"/>
          <w:sz w:val="20"/>
          <w:szCs w:val="20"/>
          <w:color w:val="auto"/>
        </w:rPr>
        <w:t>Shared power to vote or direct the vote: 2,250,000</w:t>
      </w:r>
    </w:p>
    <w:p>
      <w:pPr>
        <w:ind w:left="3620" w:hanging="669"/>
        <w:spacing w:after="0"/>
        <w:tabs>
          <w:tab w:leader="none" w:pos="3620" w:val="left"/>
        </w:tabs>
        <w:numPr>
          <w:ilvl w:val="2"/>
          <w:numId w:val="19"/>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620" w:hanging="669"/>
        <w:spacing w:after="0"/>
        <w:tabs>
          <w:tab w:leader="none" w:pos="3620" w:val="left"/>
        </w:tabs>
        <w:numPr>
          <w:ilvl w:val="2"/>
          <w:numId w:val="19"/>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2,250,000</w:t>
      </w:r>
    </w:p>
    <w:p>
      <w:pPr>
        <w:spacing w:after="0" w:line="213" w:lineRule="exact"/>
        <w:rPr>
          <w:sz w:val="20"/>
          <w:szCs w:val="20"/>
          <w:color w:val="auto"/>
        </w:rPr>
      </w:pPr>
    </w:p>
    <w:p>
      <w:pPr>
        <w:ind w:right="340"/>
        <w:spacing w:after="0" w:line="263" w:lineRule="auto"/>
        <w:rPr>
          <w:sz w:val="20"/>
          <w:szCs w:val="20"/>
          <w:color w:val="auto"/>
        </w:rPr>
      </w:pPr>
      <w:r>
        <w:rPr>
          <w:rFonts w:ascii="Arial" w:cs="Arial" w:eastAsia="Arial" w:hAnsi="Arial"/>
          <w:sz w:val="19"/>
          <w:szCs w:val="19"/>
          <w:color w:val="auto"/>
        </w:rPr>
        <w:t>ACP has the power to dispose of and the power to vote the Class A Ordinary Shares beneficially owned by it, which power may be exercised by its general partner, ACPGP. ACA, as managing member of ACPGP, directs ACPGP's operations. Neither ACPGP nor ACA directly own any Class A Ordinary Shares. By reason of the provisions of Rule 13d-3 of the Securities Exchange Act of 1934 (the "</w:t>
      </w:r>
      <w:r>
        <w:rPr>
          <w:rFonts w:ascii="Arial" w:cs="Arial" w:eastAsia="Arial" w:hAnsi="Arial"/>
          <w:sz w:val="19"/>
          <w:szCs w:val="19"/>
          <w:u w:val="single" w:color="auto"/>
          <w:color w:val="auto"/>
        </w:rPr>
        <w:t>Act</w:t>
      </w:r>
      <w:r>
        <w:rPr>
          <w:rFonts w:ascii="Arial" w:cs="Arial" w:eastAsia="Arial" w:hAnsi="Arial"/>
          <w:sz w:val="19"/>
          <w:szCs w:val="19"/>
          <w:color w:val="auto"/>
        </w:rPr>
        <w:t>"), ACPGP and ACA may be deemed to beneficially own the shares owned by ACP.</w:t>
      </w:r>
    </w:p>
    <w:p>
      <w:pPr>
        <w:spacing w:after="0" w:line="190" w:lineRule="exact"/>
        <w:rPr>
          <w:sz w:val="20"/>
          <w:szCs w:val="20"/>
          <w:color w:val="auto"/>
        </w:rPr>
      </w:pPr>
    </w:p>
    <w:p>
      <w:pPr>
        <w:ind w:left="2380" w:hanging="563"/>
        <w:spacing w:after="0"/>
        <w:tabs>
          <w:tab w:leader="none" w:pos="23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960" w:hanging="576"/>
        <w:spacing w:after="0"/>
        <w:tabs>
          <w:tab w:leader="none" w:pos="29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Amount beneficially owned: 2,250,000</w:t>
      </w:r>
    </w:p>
    <w:p>
      <w:pPr>
        <w:ind w:left="2960" w:hanging="576"/>
        <w:spacing w:after="0"/>
        <w:tabs>
          <w:tab w:leader="none" w:pos="29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Percent of class: 7.23%</w:t>
      </w:r>
    </w:p>
    <w:p>
      <w:pPr>
        <w:ind w:left="2960" w:hanging="576"/>
        <w:spacing w:after="0"/>
        <w:tabs>
          <w:tab w:leader="none" w:pos="29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620" w:hanging="669"/>
        <w:spacing w:after="0"/>
        <w:tabs>
          <w:tab w:leader="none" w:pos="3620" w:val="left"/>
        </w:tabs>
        <w:numPr>
          <w:ilvl w:val="2"/>
          <w:numId w:val="20"/>
        </w:numPr>
        <w:rPr>
          <w:rFonts w:ascii="Arial" w:cs="Arial" w:eastAsia="Arial" w:hAnsi="Arial"/>
          <w:sz w:val="20"/>
          <w:szCs w:val="20"/>
          <w:color w:val="auto"/>
        </w:rPr>
      </w:pPr>
      <w:r>
        <w:rPr>
          <w:rFonts w:ascii="Arial" w:cs="Arial" w:eastAsia="Arial" w:hAnsi="Arial"/>
          <w:sz w:val="20"/>
          <w:szCs w:val="20"/>
          <w:color w:val="auto"/>
        </w:rPr>
        <w:t>Shared power to vote or direct the vote: 2,250,000</w:t>
      </w:r>
    </w:p>
    <w:p>
      <w:pPr>
        <w:ind w:left="3620" w:hanging="669"/>
        <w:spacing w:after="0"/>
        <w:tabs>
          <w:tab w:leader="none" w:pos="3620" w:val="left"/>
        </w:tabs>
        <w:numPr>
          <w:ilvl w:val="2"/>
          <w:numId w:val="20"/>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620" w:hanging="669"/>
        <w:spacing w:after="0"/>
        <w:tabs>
          <w:tab w:leader="none" w:pos="3620" w:val="left"/>
        </w:tabs>
        <w:numPr>
          <w:ilvl w:val="2"/>
          <w:numId w:val="20"/>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2,250,000</w:t>
      </w:r>
    </w:p>
    <w:p>
      <w:pPr>
        <w:spacing w:after="0" w:line="213"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Class A Ordinary Shares beneficially owned by ACP. Neither Mr. Atchinson nor Mr. Gross directly own any Class A Ordinary Shares. By reason of the provisions of Rule 13d-3 of the Act, each may be deemed to beneficially own the shares beneficially owned by ACP.</w:t>
      </w:r>
    </w:p>
    <w:p>
      <w:pPr>
        <w:spacing w:after="0" w:line="200" w:lineRule="exact"/>
        <w:rPr>
          <w:sz w:val="20"/>
          <w:szCs w:val="20"/>
          <w:color w:val="auto"/>
        </w:rPr>
      </w:pPr>
    </w:p>
    <w:p>
      <w:pPr>
        <w:spacing w:after="0" w:line="22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700" w:right="1760" w:hanging="1686"/>
        <w:spacing w:after="0" w:line="267" w:lineRule="auto"/>
        <w:tabs>
          <w:tab w:leader="none" w:pos="16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 xml:space="preserve">OWNERSHIP OF MORE THAN FIVE PERCENT ON BEHALF OF ANOTHER PERSON </w:t>
      </w: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sectPr>
      </w:pPr>
    </w:p>
    <w:bookmarkStart w:id="9" w:name="page10"/>
    <w:bookmarkEnd w:id="9"/>
    <w:p>
      <w:pPr>
        <w:spacing w:after="0"/>
        <w:tabs>
          <w:tab w:leader="none" w:pos="5460" w:val="left"/>
          <w:tab w:leader="none" w:pos="9720" w:val="left"/>
        </w:tabs>
        <w:rPr>
          <w:sz w:val="20"/>
          <w:szCs w:val="20"/>
          <w:color w:val="auto"/>
        </w:rPr>
      </w:pPr>
      <w:r>
        <w:rPr>
          <w:rFonts w:ascii="Arial" w:cs="Arial" w:eastAsia="Arial" w:hAnsi="Arial"/>
          <w:sz w:val="18"/>
          <w:szCs w:val="18"/>
          <w:b w:val="1"/>
          <w:bCs w:val="1"/>
          <w:color w:val="auto"/>
        </w:rPr>
        <w:t>CUSIP No. G0R21B120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10 of 12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b w:val="1"/>
          <w:bCs w:val="1"/>
          <w:color w:val="auto"/>
        </w:rPr>
        <w:t xml:space="preserve">IDENTIFICATION AND CLASSIFICATION OF THE SUBSIDIARY WHICH ACQUIRED THE SECURITY BEING REPORTED ON BY THE PARENT HOLDING COMPANY OR CONTROL PERSON </w:t>
      </w: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2700"/>
        <w:spacing w:after="0" w:line="267" w:lineRule="auto"/>
        <w:rPr>
          <w:sz w:val="20"/>
          <w:szCs w:val="20"/>
          <w:color w:val="auto"/>
        </w:rPr>
      </w:pPr>
      <w:r>
        <w:rPr>
          <w:rFonts w:ascii="Arial" w:cs="Arial" w:eastAsia="Arial" w:hAnsi="Arial"/>
          <w:sz w:val="20"/>
          <w:szCs w:val="20"/>
          <w:b w:val="1"/>
          <w:bCs w:val="1"/>
          <w:color w:val="auto"/>
        </w:rPr>
        <w:t xml:space="preserve">IDENTIFICATION AND CLASSIFICATION OF MEMBERS OF THE GROUP </w:t>
      </w: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00"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line="36" w:lineRule="exact"/>
        <w:rPr>
          <w:sz w:val="20"/>
          <w:szCs w:val="20"/>
          <w:color w:val="auto"/>
        </w:rPr>
      </w:pPr>
    </w:p>
    <w:p>
      <w:pPr>
        <w:ind w:left="1700" w:right="28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tabs>
          <w:tab w:leader="none" w:pos="5460" w:val="left"/>
          <w:tab w:leader="none" w:pos="9740" w:val="left"/>
        </w:tabs>
        <w:rPr>
          <w:sz w:val="20"/>
          <w:szCs w:val="20"/>
          <w:color w:val="auto"/>
        </w:rPr>
      </w:pPr>
      <w:r>
        <w:rPr>
          <w:rFonts w:ascii="Arial" w:cs="Arial" w:eastAsia="Arial" w:hAnsi="Arial"/>
          <w:sz w:val="18"/>
          <w:szCs w:val="18"/>
          <w:b w:val="1"/>
          <w:bCs w:val="1"/>
          <w:color w:val="auto"/>
        </w:rPr>
        <w:t>CUSIP No. G0R21B120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11 of 12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April 1,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p>
      <w:pPr>
        <w:sectPr>
          <w:pgSz w:w="11900" w:h="16838" w:orient="portrait"/>
          <w:cols w:equalWidth="0" w:num="1">
            <w:col w:w="11240"/>
          </w:cols>
          <w:pgMar w:left="320" w:top="229" w:right="339" w:bottom="1440" w:gutter="0" w:footer="0" w:header="0"/>
        </w:sectPr>
      </w:pPr>
    </w:p>
    <w:bookmarkStart w:id="11" w:name="page12"/>
    <w:bookmarkEnd w:id="11"/>
    <w:p>
      <w:pPr>
        <w:spacing w:after="0"/>
        <w:tabs>
          <w:tab w:leader="none" w:pos="5460" w:val="left"/>
          <w:tab w:leader="none" w:pos="9720" w:val="left"/>
        </w:tabs>
        <w:rPr>
          <w:sz w:val="20"/>
          <w:szCs w:val="20"/>
          <w:color w:val="auto"/>
        </w:rPr>
      </w:pPr>
      <w:r>
        <w:rPr>
          <w:rFonts w:ascii="Arial" w:cs="Arial" w:eastAsia="Arial" w:hAnsi="Arial"/>
          <w:sz w:val="18"/>
          <w:szCs w:val="18"/>
          <w:b w:val="1"/>
          <w:bCs w:val="1"/>
          <w:color w:val="auto"/>
        </w:rPr>
        <w:t>CUSIP No. G0R21B120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12 of 12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 April 1,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2"/>
      <w:numFmt w:val="bullet"/>
      <w:start w:val="1"/>
    </w:lvl>
  </w:abstractNum>
  <w:abstractNum w:abstractNumId="2">
    <w:nsid w:val="1190CDE7"/>
    <w:multiLevelType w:val="hybridMultilevel"/>
    <w:lvl w:ilvl="0">
      <w:lvlJc w:val="left"/>
      <w:lvlText w:val="3"/>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2"/>
      <w:numFmt w:val="bullet"/>
      <w:start w:val="1"/>
    </w:lvl>
  </w:abstractNum>
  <w:abstractNum w:abstractNumId="5">
    <w:nsid w:val="3352255A"/>
    <w:multiLevelType w:val="hybridMultilevel"/>
    <w:lvl w:ilvl="0">
      <w:lvlJc w:val="left"/>
      <w:lvlText w:val="3"/>
      <w:numFmt w:val="bullet"/>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3"/>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2"/>
      <w:numFmt w:val="bullet"/>
      <w:start w:val="1"/>
    </w:lvl>
  </w:abstractNum>
  <w:abstractNum w:abstractNumId="14">
    <w:nsid w:val="519B500D"/>
    <w:multiLevelType w:val="hybridMultilevel"/>
    <w:lvl w:ilvl="0">
      <w:lvlJc w:val="left"/>
      <w:lvlText w:val="3"/>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9">
    <w:nsid w:val="62BBD95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2021-04-01T15:07:46Z</dcterms:created>
  <dcterms:modified xsi:type="dcterms:W3CDTF">2021-04-01T15:07:46Z</dcterms:modified>
</cp:coreProperties>
</file>