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ArcLight CTC Holdings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01/26/2023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900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8,909,982</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01/27/2023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1,800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8,908,182</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8,908,182 shares of Class A common stock, par value $0.0001 per share, of the Issuer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97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HOLDINGS, LLC, its</w:t>
      </w:r>
      <w:r>
        <w:rPr>
          <w:sz w:val="20"/>
          <w:szCs w:val="20"/>
          <w:color w:val="auto"/>
        </w:rPr>
        <w:tab/>
      </w:r>
      <w:r>
        <w:rPr>
          <w:rFonts w:ascii="Times New Roman" w:cs="Times New Roman" w:eastAsia="Times New Roman" w:hAnsi="Times New Roman"/>
          <w:sz w:val="17"/>
          <w:szCs w:val="17"/>
          <w:color w:val="0000FF"/>
        </w:rPr>
        <w:t>01/27/2023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2023-01-27T18:36:43Z</dcterms:created>
  <dcterms:modified xsi:type="dcterms:W3CDTF">2023-01-27T18:36:43Z</dcterms:modified>
</cp:coreProperties>
</file>