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372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727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Comora Adam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Co-Chief Executive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1"/>
              </w:rPr>
              <w:t>Transaction</w:t>
            </w:r>
          </w:p>
        </w:tc>
        <w:tc>
          <w:tcPr>
            <w:tcW w:w="188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10/03/2023</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75,000</w:t>
            </w:r>
          </w:p>
        </w:tc>
        <w:tc>
          <w:tcPr>
            <w:tcW w:w="80" w:type="dxa"/>
            <w:vAlign w:val="bottom"/>
          </w:tcPr>
          <w:p>
            <w:pPr>
              <w:spacing w:after="0"/>
              <w:rPr>
                <w:sz w:val="22"/>
                <w:szCs w:val="22"/>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75,000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10/03/2023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(2)</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27,037</w:t>
            </w:r>
            <w:r>
              <w:rPr>
                <w:rFonts w:ascii="Arial" w:cs="Arial" w:eastAsia="Arial" w:hAnsi="Arial"/>
                <w:sz w:val="21"/>
                <w:szCs w:val="21"/>
                <w:color w:val="008000"/>
                <w:vertAlign w:val="superscript"/>
              </w:rPr>
              <w:t>(2)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7.9</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47,963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580" w:type="dxa"/>
            <w:vAlign w:val="bottom"/>
            <w:gridSpan w:val="2"/>
          </w:tcPr>
          <w:p>
            <w:pPr>
              <w:ind w:left="2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75,000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43" w:lineRule="exact"/>
              <w:rPr>
                <w:sz w:val="20"/>
                <w:szCs w:val="20"/>
                <w:color w:val="auto"/>
              </w:rPr>
            </w:pPr>
            <w:r>
              <w:rPr>
                <w:rFonts w:ascii="Arial" w:cs="Arial" w:eastAsia="Arial" w:hAnsi="Arial"/>
                <w:sz w:val="13"/>
                <w:szCs w:val="13"/>
                <w:color w:val="0000FF"/>
              </w:rPr>
              <w:t>75,000</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gridSpan w:val="2"/>
          </w:tcPr>
          <w:p>
            <w:pPr>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ind w:left="200"/>
              <w:spacing w:after="0" w:line="143" w:lineRule="exact"/>
              <w:rPr>
                <w:sz w:val="20"/>
                <w:szCs w:val="20"/>
                <w:color w:val="auto"/>
              </w:rPr>
            </w:pPr>
            <w:r>
              <w:rPr>
                <w:rFonts w:ascii="Arial" w:cs="Arial" w:eastAsia="Arial" w:hAnsi="Arial"/>
                <w:sz w:val="13"/>
                <w:szCs w:val="13"/>
                <w:color w:val="0000FF"/>
              </w:rPr>
              <w:t>107,605</w:t>
            </w: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4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shares held by the Company to satisfy tax withholding requirements on vesting of restricted stock units. The total value of securities withheld was based on a price of $7.90 per share, the closing price of Class A common stock on October 3, 2023.</w:t>
      </w:r>
    </w:p>
    <w:p>
      <w:pPr>
        <w:spacing w:after="0" w:line="24" w:lineRule="exact"/>
        <w:rPr>
          <w:rFonts w:ascii="Arial" w:cs="Arial" w:eastAsia="Arial" w:hAnsi="Arial"/>
          <w:sz w:val="13"/>
          <w:szCs w:val="13"/>
          <w:color w:val="008000"/>
        </w:rPr>
      </w:pPr>
    </w:p>
    <w:p>
      <w:pPr>
        <w:ind w:left="40" w:right="32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75,000 restricted stock units were awarded on October 4, 2022. This award vested in full on October 3, 2023. 107,605 restricted stock units were awarded on March 31, 2023 which are scheduled to vest in three equal tranches on March 31, 2024, March 31, 2025 and March 31, 2026, provided that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3088"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2023-10-05T15:23:42Z</dcterms:created>
  <dcterms:modified xsi:type="dcterms:W3CDTF">2023-10-05T15:23:42Z</dcterms:modified>
</cp:coreProperties>
</file>