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5, 2023</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40" w:type="dxa"/>
            <w:vAlign w:val="bottom"/>
          </w:tcPr>
          <w:p>
            <w:pPr>
              <w:spacing w:after="0"/>
              <w:rPr>
                <w:sz w:val="21"/>
                <w:szCs w:val="21"/>
                <w:color w:val="auto"/>
              </w:rPr>
            </w:pPr>
          </w:p>
        </w:tc>
        <w:tc>
          <w:tcPr>
            <w:tcW w:w="2180" w:type="dxa"/>
            <w:vAlign w:val="bottom"/>
          </w:tcPr>
          <w:p>
            <w:pPr>
              <w:ind w:left="260"/>
              <w:spacing w:after="0"/>
              <w:rPr>
                <w:sz w:val="20"/>
                <w:szCs w:val="20"/>
                <w:color w:val="auto"/>
              </w:rPr>
            </w:pPr>
            <w:r>
              <w:rPr>
                <w:rFonts w:ascii="Arial" w:cs="Arial" w:eastAsia="Arial" w:hAnsi="Arial"/>
                <w:sz w:val="18"/>
                <w:szCs w:val="18"/>
                <w:b w:val="1"/>
                <w:bCs w:val="1"/>
                <w:color w:val="auto"/>
              </w:rPr>
              <w:t>Trading Symbol(s)</w:t>
            </w:r>
          </w:p>
        </w:tc>
        <w:tc>
          <w:tcPr>
            <w:tcW w:w="58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446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Class A common stock, par value $0.0001 per share</w:t>
            </w:r>
          </w:p>
        </w:tc>
        <w:tc>
          <w:tcPr>
            <w:tcW w:w="2180" w:type="dxa"/>
            <w:vAlign w:val="bottom"/>
          </w:tcPr>
          <w:p>
            <w:pPr>
              <w:ind w:left="960"/>
              <w:spacing w:after="0"/>
              <w:rPr>
                <w:sz w:val="20"/>
                <w:szCs w:val="20"/>
                <w:color w:val="auto"/>
              </w:rPr>
            </w:pPr>
            <w:r>
              <w:rPr>
                <w:rFonts w:ascii="Arial" w:cs="Arial" w:eastAsia="Arial" w:hAnsi="Arial"/>
                <w:sz w:val="18"/>
                <w:szCs w:val="18"/>
                <w:color w:val="auto"/>
              </w:rPr>
              <w:t>OPAL</w:t>
            </w:r>
          </w:p>
        </w:tc>
        <w:tc>
          <w:tcPr>
            <w:tcW w:w="5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sectPr>
      </w:pPr>
    </w:p>
    <w:bookmarkStart w:id="1" w:name="page2"/>
    <w:bookmarkEnd w:id="1"/>
    <w:p>
      <w:pPr>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 w:name="page3"/>
    <w:bookmarkEnd w:id="2"/>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5, 2023, Ms. Ann Anthony gave notice of her intention to resign as Chief Financial Officer ("CFO") of OPAL Fuels Inc. (the “Company”) to pursue another professional opportunity. Ms. Anthony’s departure date has not yet been determined, but remains under discussion between the Company and Ms. Anthony. Ms. Anthony will, at the same time, resign from her positions as the Company’s Principal Financial Officer and Principal Accounting Officer.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Anthony’s resignation was not due to any disagreement with the Company or its independent registered public accounting firm on any matter relating to the Company’s operations, policies or practices.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On October 10, 2023, the board of directors of the Company appointed Mr. Scott Contino as Interim Chief Financial Officer. Mr. Contino will assist 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Anthony during the transition and take on the CFO role on the date of Ms. Anthony’s departure, once determined.</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Mr. Contino, age 56, has worked for over twenty-five years at Fortistar LLC (“Fortistar”), a privately-owned investment firm that provides capital to build, grow and manage companies that address complex sustainability challenges. Mr. Contino has served as Fortistar’s CFO for the past eighteen years, where his principal responsibilities include company-wide accounting, tax, treasury and insurance matters. Prior to the formation of the Company, Mr. Contino was the CFO of its predecessor parent company. Mr. Contino received an MBA from INSEAD and a bachelor’s degree from Georgetown University.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an interim services agreement (the “Interim Services Agreement”) with Fortistar in accordance with the terms and conditions of the existing administrative services agreement between the Company and Fortistar. Pursuant to the Interim Services Agreement, the Company will pay Fortistar a services fee as described below, which is substantially the same as the cash compensation that was paid to Ms. Anthony. A copy of the Interim Services Agreement is attached hereto as Exhibit 10.1.</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commenced a search process for a new Chief Financial Officer. Mr. Contino will serve as Interim Chief Financial Officer, Principal Financial Officer and Principal Accounting Officer until the Company appoints a full-time replacement to fill such roles.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Contino will not receive any compensation directly from the Company in exchange for his services as our Chief Financial Officer. Rather, Mr. Contino’s services will be directly charged to us by Fortistar pursuant to the existing Administrative Services Agreement between the Company and Fortistar and the Interim Services Agreement, respectively, at an agreed hourly rate, such that the monthly total fees are not to exceed $50,000, on a cumulative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Mr. Contino and any director or executive officer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12, 2023, the Company issued a press release announcing the resignation of Ms. Anthony and the appointment of Mr. Contino on an interim basis. A copy of the press release is attached hereto as Exhibit 99.1.</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other SEC reports of the Company, including that actual events or results may differ materially from those in the forward-looking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shd w:val="clear" w:color="auto" w:fill="CCEEFF"/>
          </w:tcPr>
          <w:p>
            <w:pPr>
              <w:spacing w:after="0"/>
              <w:rPr>
                <w:sz w:val="21"/>
                <w:szCs w:val="21"/>
                <w:color w:val="auto"/>
              </w:rPr>
            </w:pPr>
          </w:p>
        </w:tc>
        <w:tc>
          <w:tcPr>
            <w:tcW w:w="100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57"/>
        </w:trPr>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Borders>
              <w:bottom w:val="single" w:sz="8" w:color="CCEEFF"/>
            </w:tcBorders>
            <w:shd w:val="clear" w:color="auto" w:fill="CCEEFF"/>
          </w:tcPr>
          <w:p>
            <w:pPr>
              <w:spacing w:after="0"/>
              <w:rPr>
                <w:sz w:val="22"/>
                <w:szCs w:val="22"/>
                <w:color w:val="auto"/>
              </w:rPr>
            </w:pPr>
          </w:p>
        </w:tc>
        <w:tc>
          <w:tcPr>
            <w:tcW w:w="10060" w:type="dxa"/>
            <w:vAlign w:val="bottom"/>
            <w:tcBorders>
              <w:bottom w:val="single" w:sz="8" w:color="CCEEFF"/>
            </w:tcBorders>
            <w:gridSpan w:val="3"/>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6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0000FF"/>
              </w:rPr>
              <w:t>Interim Services Agreement dated October 12, 2023, between the Company and Fortistar</w:t>
            </w:r>
          </w:p>
        </w:tc>
        <w:tc>
          <w:tcPr>
            <w:tcW w:w="0" w:type="dxa"/>
            <w:vAlign w:val="bottom"/>
          </w:tcPr>
          <w:p>
            <w:pPr>
              <w:spacing w:after="0"/>
              <w:rPr>
                <w:sz w:val="1"/>
                <w:szCs w:val="1"/>
                <w:color w:val="auto"/>
              </w:rPr>
            </w:pPr>
          </w:p>
        </w:tc>
      </w:tr>
      <w:tr>
        <w:trPr>
          <w:trHeight w:val="61"/>
        </w:trPr>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700" w:type="dxa"/>
            <w:vAlign w:val="bottom"/>
            <w:tcBorders>
              <w:top w:val="single" w:sz="8" w:color="0000FF"/>
            </w:tcBorders>
          </w:tcPr>
          <w:p>
            <w:pPr>
              <w:spacing w:after="0"/>
              <w:rPr>
                <w:sz w:val="5"/>
                <w:szCs w:val="5"/>
                <w:color w:val="auto"/>
              </w:rPr>
            </w:pPr>
          </w:p>
        </w:tc>
        <w:tc>
          <w:tcPr>
            <w:tcW w:w="3720" w:type="dxa"/>
            <w:vAlign w:val="bottom"/>
            <w:tcBorders>
              <w:top w:val="single" w:sz="8" w:color="0000FF"/>
            </w:tcBorders>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0000FF"/>
              </w:rPr>
              <w:t>Press release dated October 12, 2023.</w:t>
            </w:r>
          </w:p>
        </w:tc>
        <w:tc>
          <w:tcPr>
            <w:tcW w:w="0" w:type="dxa"/>
            <w:vAlign w:val="bottom"/>
          </w:tcPr>
          <w:p>
            <w:pPr>
              <w:spacing w:after="0"/>
              <w:rPr>
                <w:sz w:val="1"/>
                <w:szCs w:val="1"/>
                <w:color w:val="auto"/>
              </w:rPr>
            </w:pPr>
          </w:p>
        </w:tc>
      </w:tr>
      <w:tr>
        <w:trPr>
          <w:trHeight w:val="61"/>
        </w:trPr>
        <w:tc>
          <w:tcPr>
            <w:tcW w:w="10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700" w:type="dxa"/>
            <w:vAlign w:val="bottom"/>
            <w:tcBorders>
              <w:top w:val="single" w:sz="8" w:color="0000FF"/>
            </w:tcBorders>
            <w:shd w:val="clear" w:color="auto" w:fill="CCEEFF"/>
          </w:tcPr>
          <w:p>
            <w:pPr>
              <w:spacing w:after="0"/>
              <w:rPr>
                <w:sz w:val="5"/>
                <w:szCs w:val="5"/>
                <w:color w:val="auto"/>
              </w:rPr>
            </w:pPr>
          </w:p>
        </w:tc>
        <w:tc>
          <w:tcPr>
            <w:tcW w:w="3720" w:type="dxa"/>
            <w:vAlign w:val="bottom"/>
            <w:tcBorders>
              <w:top w:val="single" w:sz="8" w:color="CCEEFF"/>
            </w:tcBorders>
            <w:shd w:val="clear" w:color="auto" w:fill="CCEEFF"/>
          </w:tcPr>
          <w:p>
            <w:pPr>
              <w:spacing w:after="0"/>
              <w:rPr>
                <w:sz w:val="5"/>
                <w:szCs w:val="5"/>
                <w:color w:val="auto"/>
              </w:rPr>
            </w:pPr>
          </w:p>
        </w:tc>
        <w:tc>
          <w:tcPr>
            <w:tcW w:w="36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681"/>
        </w:trPr>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October 12, 2023</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John Coghlin</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John Coghlin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OPAL FUELS LLC</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Interim Services Agreement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This Interim Services Agreement (“</w:t>
      </w:r>
      <w:r>
        <w:rPr>
          <w:rFonts w:ascii="Arial" w:cs="Arial" w:eastAsia="Arial" w:hAnsi="Arial"/>
          <w:sz w:val="22"/>
          <w:szCs w:val="22"/>
          <w:b w:val="1"/>
          <w:bCs w:val="1"/>
          <w:color w:val="auto"/>
        </w:rPr>
        <w:t>Agreement</w:t>
      </w:r>
      <w:r>
        <w:rPr>
          <w:rFonts w:ascii="Arial" w:cs="Arial" w:eastAsia="Arial" w:hAnsi="Arial"/>
          <w:sz w:val="22"/>
          <w:szCs w:val="22"/>
          <w:color w:val="auto"/>
        </w:rPr>
        <w:t>”) is made as of October 12, 2023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OPAL Fuels LLC, a Delaware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and Fortistar Services 2 LLC, a Delaware limited liability company (the “</w:t>
      </w:r>
      <w:r>
        <w:rPr>
          <w:rFonts w:ascii="Arial" w:cs="Arial" w:eastAsia="Arial" w:hAnsi="Arial"/>
          <w:sz w:val="22"/>
          <w:szCs w:val="22"/>
          <w:b w:val="1"/>
          <w:bCs w:val="1"/>
          <w:color w:val="auto"/>
        </w:rPr>
        <w:t>Service Provider</w:t>
      </w:r>
      <w:r>
        <w:rPr>
          <w:rFonts w:ascii="Arial" w:cs="Arial" w:eastAsia="Arial" w:hAnsi="Arial"/>
          <w:sz w:val="22"/>
          <w:szCs w:val="22"/>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WHEREAS, the Company and the Service Provider are parties to that certain Administrative Services Agreement, dated as of December 31, 2020 (the “</w:t>
      </w:r>
      <w:r>
        <w:rPr>
          <w:rFonts w:ascii="Arial" w:cs="Arial" w:eastAsia="Arial" w:hAnsi="Arial"/>
          <w:sz w:val="19"/>
          <w:szCs w:val="19"/>
          <w:b w:val="1"/>
          <w:bCs w:val="1"/>
          <w:color w:val="auto"/>
        </w:rPr>
        <w:t>Administrative Services Agreement</w:t>
      </w:r>
      <w:r>
        <w:rPr>
          <w:rFonts w:ascii="Arial" w:cs="Arial" w:eastAsia="Arial" w:hAnsi="Arial"/>
          <w:sz w:val="19"/>
          <w:szCs w:val="19"/>
          <w:color w:val="auto"/>
        </w:rPr>
        <w:t>”), pursuant to which the Service Provider from time to time provides administrative and other services to the Company and OPAL Fuels Inc., a Delaware corporation and the parent company of the Company (the “</w:t>
      </w:r>
      <w:r>
        <w:rPr>
          <w:rFonts w:ascii="Arial" w:cs="Arial" w:eastAsia="Arial" w:hAnsi="Arial"/>
          <w:sz w:val="19"/>
          <w:szCs w:val="19"/>
          <w:b w:val="1"/>
          <w:bCs w:val="1"/>
          <w:color w:val="auto"/>
        </w:rPr>
        <w:t>Corporation</w:t>
      </w:r>
      <w:r>
        <w:rPr>
          <w:rFonts w:ascii="Arial" w:cs="Arial" w:eastAsia="Arial" w:hAnsi="Arial"/>
          <w:sz w:val="19"/>
          <w:szCs w:val="19"/>
          <w:color w:val="auto"/>
        </w:rPr>
        <w:t>” and, together with the Company, “</w:t>
      </w:r>
      <w:r>
        <w:rPr>
          <w:rFonts w:ascii="Arial" w:cs="Arial" w:eastAsia="Arial" w:hAnsi="Arial"/>
          <w:sz w:val="19"/>
          <w:szCs w:val="19"/>
          <w:b w:val="1"/>
          <w:bCs w:val="1"/>
          <w:color w:val="auto"/>
        </w:rPr>
        <w:t>OPAL</w:t>
      </w:r>
      <w:r>
        <w:rPr>
          <w:rFonts w:ascii="Arial" w:cs="Arial" w:eastAsia="Arial" w:hAnsi="Arial"/>
          <w:sz w:val="19"/>
          <w:szCs w:val="19"/>
          <w:color w:val="auto"/>
        </w:rPr>
        <w:t>”) and their direct and indirect subsidiaries;</w:t>
      </w:r>
    </w:p>
    <w:p>
      <w:pPr>
        <w:spacing w:after="0" w:line="14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WHEREAS, Ms. Ann Anthony, chief financial officer, principal accounting officer and principal financial officer, has elected to resign from each of those positions, with such resignations being effective as of November 15, 2023;</w:t>
      </w:r>
    </w:p>
    <w:p>
      <w:pPr>
        <w:spacing w:after="0" w:line="14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WHEREAS, the Board of Directors of the Corporation (the “</w:t>
      </w:r>
      <w:r>
        <w:rPr>
          <w:rFonts w:ascii="Arial" w:cs="Arial" w:eastAsia="Arial" w:hAnsi="Arial"/>
          <w:sz w:val="22"/>
          <w:szCs w:val="22"/>
          <w:b w:val="1"/>
          <w:bCs w:val="1"/>
          <w:color w:val="auto"/>
        </w:rPr>
        <w:t>Board</w:t>
      </w:r>
      <w:r>
        <w:rPr>
          <w:rFonts w:ascii="Arial" w:cs="Arial" w:eastAsia="Arial" w:hAnsi="Arial"/>
          <w:sz w:val="22"/>
          <w:szCs w:val="22"/>
          <w:color w:val="auto"/>
        </w:rPr>
        <w:t>”) desires to appoint Mr. Scott Contino, the current chief financial officer of Fortistar LLC, the ultimate parent of the Service Provider, as the interim chief financial officer, interim principal accounting officer and interim principal financial officer (the “</w:t>
      </w:r>
      <w:r>
        <w:rPr>
          <w:rFonts w:ascii="Arial" w:cs="Arial" w:eastAsia="Arial" w:hAnsi="Arial"/>
          <w:sz w:val="22"/>
          <w:szCs w:val="22"/>
          <w:b w:val="1"/>
          <w:bCs w:val="1"/>
          <w:color w:val="auto"/>
        </w:rPr>
        <w:t>CFO Services</w:t>
      </w:r>
      <w:r>
        <w:rPr>
          <w:rFonts w:ascii="Arial" w:cs="Arial" w:eastAsia="Arial" w:hAnsi="Arial"/>
          <w:sz w:val="22"/>
          <w:szCs w:val="22"/>
          <w:color w:val="auto"/>
        </w:rPr>
        <w:t>”), in each case until suitable permanent candidate for these roles are identified and appointed by the Board;</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WHEREAS, the parties hereto desire to provide for Mr. Contino’s appointment to the aforementioned roles pursuant to the terms of the Administrative Services Agreement, provided, however, that the parties desire to modify the fees payable by the Company to the Service Provider in connection with the CFO Services, as provided in this Agreement.</w:t>
      </w:r>
    </w:p>
    <w:p>
      <w:pPr>
        <w:spacing w:after="0" w:line="13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NOW THEREFORE, in consideration of the mutual promises and covenants herein contained, the parties hereby agree as follows:</w:t>
      </w:r>
    </w:p>
    <w:p>
      <w:pPr>
        <w:spacing w:after="0" w:line="153" w:lineRule="exact"/>
        <w:rPr>
          <w:sz w:val="20"/>
          <w:szCs w:val="20"/>
          <w:color w:val="auto"/>
        </w:rPr>
      </w:pPr>
    </w:p>
    <w:p>
      <w:pPr>
        <w:ind w:left="660" w:hanging="652"/>
        <w:spacing w:after="0" w:line="235"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Adoption of Terms. </w:t>
      </w:r>
      <w:r>
        <w:rPr>
          <w:rFonts w:ascii="Arial" w:cs="Arial" w:eastAsia="Arial" w:hAnsi="Arial"/>
          <w:sz w:val="22"/>
          <w:szCs w:val="22"/>
          <w:color w:val="auto"/>
        </w:rPr>
        <w:t>Except as expressly provided for herein, this Agreement adopts and incorporates herein the terms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Administrative Services Agreement in their entirety.</w:t>
      </w:r>
    </w:p>
    <w:p>
      <w:pPr>
        <w:spacing w:after="0" w:line="152" w:lineRule="exact"/>
        <w:rPr>
          <w:rFonts w:ascii="Arial" w:cs="Arial" w:eastAsia="Arial" w:hAnsi="Arial"/>
          <w:sz w:val="22"/>
          <w:szCs w:val="22"/>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Payments; Expenses</w:t>
      </w:r>
    </w:p>
    <w:p>
      <w:pPr>
        <w:spacing w:after="0" w:line="185" w:lineRule="exact"/>
        <w:rPr>
          <w:rFonts w:ascii="Arial" w:cs="Arial" w:eastAsia="Arial" w:hAnsi="Arial"/>
          <w:sz w:val="22"/>
          <w:szCs w:val="22"/>
          <w:color w:val="auto"/>
        </w:rPr>
      </w:pPr>
    </w:p>
    <w:p>
      <w:pPr>
        <w:ind w:left="1300" w:hanging="648"/>
        <w:spacing w:after="0" w:line="246" w:lineRule="auto"/>
        <w:rPr>
          <w:rFonts w:ascii="Arial" w:cs="Arial" w:eastAsia="Arial" w:hAnsi="Arial"/>
          <w:sz w:val="22"/>
          <w:szCs w:val="22"/>
          <w:color w:val="auto"/>
        </w:rPr>
      </w:pPr>
      <w:r>
        <w:rPr>
          <w:rFonts w:ascii="Arial" w:cs="Arial" w:eastAsia="Arial" w:hAnsi="Arial"/>
          <w:sz w:val="19"/>
          <w:szCs w:val="19"/>
          <w:color w:val="auto"/>
        </w:rPr>
        <w:t>The Parties agree that until such time as a permanent CFO is hired by the Company, the Service Provider shall make Mr. Contino available to provide the CFO Services. The parties hereto agree that as compensation for the performance of the CFO Services, the Company hereby agrees to the pay the Service Provider, in cash, the hourly rate provided for in the Administrative Services Agreement, in an amount not to exceed $50,000 per month, on a cumulative basis, for so long as Mr. Contino continues to provide CFO Services; provided however that such amount shall be increased by the greater of the annual increase in the Consumer Price Index for All Urban Consumers, or three (3%) percent annually, effective as of January 1st of each year of this Agreement. The Service Provider shall remain solely responsible to pay Mr. Contino his salary, all payroll taxes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9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therewith and any bonuses or other compensation and benefits associated with Mr. Contino’s employment.</w:t>
      </w:r>
    </w:p>
    <w:p>
      <w:pPr>
        <w:spacing w:after="0" w:line="191" w:lineRule="exact"/>
        <w:rPr>
          <w:sz w:val="20"/>
          <w:szCs w:val="20"/>
          <w:color w:val="auto"/>
        </w:rPr>
      </w:pPr>
    </w:p>
    <w:p>
      <w:pPr>
        <w:jc w:val="both"/>
        <w:ind w:left="1300" w:hanging="644"/>
        <w:spacing w:after="0" w:line="218" w:lineRule="auto"/>
        <w:tabs>
          <w:tab w:leader="none" w:pos="1297" w:val="left"/>
        </w:tabs>
        <w:numPr>
          <w:ilvl w:val="1"/>
          <w:numId w:val="3"/>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In addition to the compensation set forth in Section 1(a) herein, the Company shall reimburse the Service Provider for third-party expenses reasonably incurred in connection with the performance of the CFO Services including, if any, reasonable out-of-pocket travel and living expenses. All such requests for reimbursement shall be submitted with appropriate documentation.</w:t>
      </w:r>
    </w:p>
    <w:p>
      <w:pPr>
        <w:spacing w:after="0" w:line="154" w:lineRule="exact"/>
        <w:rPr>
          <w:rFonts w:ascii="Arial" w:cs="Arial" w:eastAsia="Arial" w:hAnsi="Arial"/>
          <w:sz w:val="22"/>
          <w:szCs w:val="22"/>
          <w:color w:val="auto"/>
        </w:rPr>
      </w:pPr>
    </w:p>
    <w:p>
      <w:pPr>
        <w:ind w:left="660" w:hanging="652"/>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Miscellaneous.</w:t>
      </w:r>
    </w:p>
    <w:p>
      <w:pPr>
        <w:spacing w:after="0" w:line="185" w:lineRule="exact"/>
        <w:rPr>
          <w:rFonts w:ascii="Arial" w:cs="Arial" w:eastAsia="Arial" w:hAnsi="Arial"/>
          <w:sz w:val="22"/>
          <w:szCs w:val="22"/>
          <w:color w:val="auto"/>
        </w:rPr>
      </w:pPr>
    </w:p>
    <w:p>
      <w:pPr>
        <w:jc w:val="both"/>
        <w:ind w:left="1300" w:hanging="644"/>
        <w:spacing w:after="0" w:line="223" w:lineRule="auto"/>
        <w:tabs>
          <w:tab w:leader="none" w:pos="1297"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notices under or pursuant to this Agreement shall be in writing and shall be delivered either by personal delivery, by telecopy or similar electronic medium, by nationally recognized overnight courier or by certified or registered mail, return receipt requested, addressed as follows:</w:t>
      </w:r>
    </w:p>
    <w:p>
      <w:pPr>
        <w:spacing w:after="0" w:line="15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the Company, to:</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OPAL Fuels LLC</w:t>
      </w:r>
    </w:p>
    <w:p>
      <w:pPr>
        <w:ind w:left="1960"/>
        <w:spacing w:after="0" w:line="204" w:lineRule="auto"/>
        <w:rPr>
          <w:sz w:val="20"/>
          <w:szCs w:val="20"/>
          <w:color w:val="auto"/>
        </w:rPr>
      </w:pPr>
      <w:r>
        <w:rPr>
          <w:rFonts w:ascii="Arial" w:cs="Arial" w:eastAsia="Arial" w:hAnsi="Arial"/>
          <w:sz w:val="22"/>
          <w:szCs w:val="22"/>
          <w:color w:val="auto"/>
        </w:rPr>
        <w:t>One North Lexington Avenue, Suite 1450</w:t>
      </w:r>
    </w:p>
    <w:p>
      <w:pPr>
        <w:ind w:left="1960"/>
        <w:spacing w:after="0" w:line="205" w:lineRule="auto"/>
        <w:rPr>
          <w:sz w:val="20"/>
          <w:szCs w:val="20"/>
          <w:color w:val="auto"/>
        </w:rPr>
      </w:pPr>
      <w:r>
        <w:rPr>
          <w:rFonts w:ascii="Arial" w:cs="Arial" w:eastAsia="Arial" w:hAnsi="Arial"/>
          <w:sz w:val="22"/>
          <w:szCs w:val="22"/>
          <w:color w:val="auto"/>
        </w:rPr>
        <w:t>White Plains, New York 10601</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General Counsel</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the Service Provider, to:</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Fortistar Services 2 LLC</w:t>
      </w:r>
    </w:p>
    <w:p>
      <w:pPr>
        <w:ind w:left="1960"/>
        <w:spacing w:after="0" w:line="204" w:lineRule="auto"/>
        <w:rPr>
          <w:sz w:val="20"/>
          <w:szCs w:val="20"/>
          <w:color w:val="auto"/>
        </w:rPr>
      </w:pPr>
      <w:r>
        <w:rPr>
          <w:rFonts w:ascii="Arial" w:cs="Arial" w:eastAsia="Arial" w:hAnsi="Arial"/>
          <w:sz w:val="22"/>
          <w:szCs w:val="22"/>
          <w:color w:val="auto"/>
        </w:rPr>
        <w:t>One North Lexington Avenue, Suite 1450</w:t>
      </w:r>
    </w:p>
    <w:p>
      <w:pPr>
        <w:ind w:left="1960"/>
        <w:spacing w:after="0" w:line="205" w:lineRule="auto"/>
        <w:rPr>
          <w:sz w:val="20"/>
          <w:szCs w:val="20"/>
          <w:color w:val="auto"/>
        </w:rPr>
      </w:pPr>
      <w:r>
        <w:rPr>
          <w:rFonts w:ascii="Arial" w:cs="Arial" w:eastAsia="Arial" w:hAnsi="Arial"/>
          <w:sz w:val="22"/>
          <w:szCs w:val="22"/>
          <w:color w:val="auto"/>
        </w:rPr>
        <w:t>White Plains, New York 10601</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Notice Officer</w:t>
      </w:r>
    </w:p>
    <w:p>
      <w:pPr>
        <w:spacing w:after="0" w:line="16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copy to:</w:t>
      </w:r>
    </w:p>
    <w:p>
      <w:pPr>
        <w:ind w:left="1960"/>
        <w:spacing w:after="0" w:line="204" w:lineRule="auto"/>
        <w:rPr>
          <w:sz w:val="20"/>
          <w:szCs w:val="20"/>
          <w:color w:val="auto"/>
        </w:rPr>
      </w:pPr>
      <w:r>
        <w:rPr>
          <w:rFonts w:ascii="Arial" w:cs="Arial" w:eastAsia="Arial" w:hAnsi="Arial"/>
          <w:sz w:val="22"/>
          <w:szCs w:val="22"/>
          <w:color w:val="auto"/>
        </w:rPr>
        <w:t>Fortistar Services 2 LLC</w:t>
      </w:r>
    </w:p>
    <w:p>
      <w:pPr>
        <w:ind w:left="1960"/>
        <w:spacing w:after="0" w:line="205" w:lineRule="auto"/>
        <w:rPr>
          <w:sz w:val="20"/>
          <w:szCs w:val="20"/>
          <w:color w:val="auto"/>
        </w:rPr>
      </w:pPr>
      <w:r>
        <w:rPr>
          <w:rFonts w:ascii="Arial" w:cs="Arial" w:eastAsia="Arial" w:hAnsi="Arial"/>
          <w:sz w:val="22"/>
          <w:szCs w:val="22"/>
          <w:color w:val="auto"/>
        </w:rPr>
        <w:t>One North Lexington Avenue, Suite 1450</w:t>
      </w:r>
    </w:p>
    <w:p>
      <w:pPr>
        <w:ind w:left="1960"/>
        <w:spacing w:after="0" w:line="205" w:lineRule="auto"/>
        <w:rPr>
          <w:sz w:val="20"/>
          <w:szCs w:val="20"/>
          <w:color w:val="auto"/>
        </w:rPr>
      </w:pPr>
      <w:r>
        <w:rPr>
          <w:rFonts w:ascii="Arial" w:cs="Arial" w:eastAsia="Arial" w:hAnsi="Arial"/>
          <w:sz w:val="22"/>
          <w:szCs w:val="22"/>
          <w:color w:val="auto"/>
        </w:rPr>
        <w:t>White Plains, New York 10601</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Chief Financial Officer</w:t>
      </w:r>
    </w:p>
    <w:p>
      <w:pPr>
        <w:spacing w:after="0" w:line="188" w:lineRule="exact"/>
        <w:rPr>
          <w:sz w:val="20"/>
          <w:szCs w:val="20"/>
          <w:color w:val="auto"/>
        </w:rPr>
      </w:pPr>
    </w:p>
    <w:p>
      <w:pPr>
        <w:jc w:val="both"/>
        <w:ind w:left="1300"/>
        <w:spacing w:after="0" w:line="247" w:lineRule="auto"/>
        <w:rPr>
          <w:sz w:val="20"/>
          <w:szCs w:val="20"/>
          <w:color w:val="auto"/>
        </w:rPr>
      </w:pPr>
      <w:r>
        <w:rPr>
          <w:rFonts w:ascii="Arial" w:cs="Arial" w:eastAsia="Arial" w:hAnsi="Arial"/>
          <w:sz w:val="19"/>
          <w:szCs w:val="19"/>
          <w:color w:val="auto"/>
        </w:rPr>
        <w:t>or at such other address as the notice addressee affected shall have previously designated by written notice given in the manner herein set forth. Notices shall be deemed given when sent, if sent by telecopy or similar electronic medium with delivery confirmed (conditioned upon the prompt mailing or transmission of the original of such transmission by first-class mail or nationally-recognized overnight courier); when delivered (or upon the date of attempted delivery where delivery is refused), if hand-delivered or sent by courier; or when receipted for (or upon the date of attempted delivery where delivery is refused or a properly addressed and mailed notice is returned as undeliverable or unclaimed). if sent certified or registered mail.</w:t>
      </w:r>
    </w:p>
    <w:p>
      <w:pPr>
        <w:spacing w:after="0" w:line="148" w:lineRule="exact"/>
        <w:rPr>
          <w:sz w:val="20"/>
          <w:szCs w:val="20"/>
          <w:color w:val="auto"/>
        </w:rPr>
      </w:pPr>
    </w:p>
    <w:p>
      <w:pPr>
        <w:jc w:val="both"/>
        <w:ind w:left="1300" w:hanging="644"/>
        <w:spacing w:after="0" w:line="225" w:lineRule="auto"/>
        <w:tabs>
          <w:tab w:leader="none" w:pos="1295"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Headings</w:t>
      </w:r>
      <w:r>
        <w:rPr>
          <w:rFonts w:ascii="Arial" w:cs="Arial" w:eastAsia="Arial" w:hAnsi="Arial"/>
          <w:sz w:val="22"/>
          <w:szCs w:val="22"/>
          <w:color w:val="auto"/>
        </w:rPr>
        <w:t>. The headings of the sections contained in this Agreement are intended for convenience of reference</w:t>
      </w:r>
      <w:r>
        <w:rPr>
          <w:rFonts w:ascii="Arial" w:cs="Arial" w:eastAsia="Arial" w:hAnsi="Arial"/>
          <w:sz w:val="22"/>
          <w:szCs w:val="22"/>
          <w:b w:val="1"/>
          <w:bCs w:val="1"/>
          <w:color w:val="auto"/>
        </w:rPr>
        <w:t xml:space="preserve"> </w:t>
      </w:r>
      <w:r>
        <w:rPr>
          <w:rFonts w:ascii="Arial" w:cs="Arial" w:eastAsia="Arial" w:hAnsi="Arial"/>
          <w:sz w:val="22"/>
          <w:szCs w:val="22"/>
          <w:color w:val="auto"/>
        </w:rPr>
        <w:t>only and in no way define, limit or describe the scope or intent of this Agreement or in any way affect the interpretation of this Agreement.</w:t>
      </w:r>
    </w:p>
    <w:p>
      <w:pPr>
        <w:spacing w:after="0" w:line="152" w:lineRule="exact"/>
        <w:rPr>
          <w:rFonts w:ascii="Arial" w:cs="Arial" w:eastAsia="Arial" w:hAnsi="Arial"/>
          <w:sz w:val="22"/>
          <w:szCs w:val="22"/>
          <w:color w:val="auto"/>
        </w:rPr>
      </w:pPr>
    </w:p>
    <w:p>
      <w:pPr>
        <w:ind w:left="1300" w:right="20" w:hanging="644"/>
        <w:spacing w:after="0" w:line="235" w:lineRule="auto"/>
        <w:tabs>
          <w:tab w:leader="none" w:pos="1297"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This Agreement (including those provisions of the Administrative Services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herein) constitutes the entire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9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44"/>
        <w:spacing w:after="0" w:line="218" w:lineRule="auto"/>
        <w:rPr>
          <w:sz w:val="20"/>
          <w:szCs w:val="20"/>
          <w:color w:val="auto"/>
        </w:rPr>
      </w:pPr>
      <w:r>
        <w:rPr>
          <w:rFonts w:ascii="Arial" w:cs="Arial" w:eastAsia="Arial" w:hAnsi="Arial"/>
          <w:sz w:val="22"/>
          <w:szCs w:val="22"/>
          <w:color w:val="auto"/>
        </w:rPr>
        <w:t>agreement between the parties with respect to the subject matter hereof. Any and all prior understandings are merged herewith and superseded hereby. This Agreement may not be changed, waived, modified or amended except by an instrument in writing signed by the party against whom such change, waiver, modification or amendment is sought to be enforced.</w:t>
      </w:r>
    </w:p>
    <w:p>
      <w:pPr>
        <w:spacing w:after="0" w:line="155" w:lineRule="exact"/>
        <w:rPr>
          <w:sz w:val="20"/>
          <w:szCs w:val="20"/>
          <w:color w:val="auto"/>
        </w:rPr>
      </w:pPr>
    </w:p>
    <w:p>
      <w:pPr>
        <w:jc w:val="both"/>
        <w:ind w:left="644" w:hanging="644"/>
        <w:spacing w:after="0" w:line="225" w:lineRule="auto"/>
        <w:tabs>
          <w:tab w:leader="none" w:pos="639"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provision of this Agreement is invalid or unenforceable against any person, such provision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enforced to the maximum extent permitted by law and shall be deemed reformed accordingly such that the intent of this Agreement can be carried out to the maximum extent possible.</w:t>
      </w:r>
    </w:p>
    <w:p>
      <w:pPr>
        <w:spacing w:after="0" w:line="152" w:lineRule="exact"/>
        <w:rPr>
          <w:rFonts w:ascii="Arial" w:cs="Arial" w:eastAsia="Arial" w:hAnsi="Arial"/>
          <w:sz w:val="22"/>
          <w:szCs w:val="22"/>
          <w:color w:val="auto"/>
        </w:rPr>
      </w:pPr>
    </w:p>
    <w:p>
      <w:pPr>
        <w:jc w:val="both"/>
        <w:ind w:left="644" w:hanging="644"/>
        <w:spacing w:after="0" w:line="225" w:lineRule="auto"/>
        <w:tabs>
          <w:tab w:leader="none" w:pos="641" w:val="left"/>
        </w:tabs>
        <w:numPr>
          <w:ilvl w:val="0"/>
          <w:numId w:val="6"/>
        </w:numPr>
        <w:rPr>
          <w:rFonts w:ascii="Arial" w:cs="Arial" w:eastAsia="Arial" w:hAnsi="Arial"/>
          <w:sz w:val="21"/>
          <w:szCs w:val="21"/>
          <w:color w:val="auto"/>
        </w:rPr>
      </w:pPr>
      <w:r>
        <w:rPr>
          <w:rFonts w:ascii="Arial" w:cs="Arial" w:eastAsia="Arial" w:hAnsi="Arial"/>
          <w:sz w:val="21"/>
          <w:szCs w:val="21"/>
          <w:b w:val="1"/>
          <w:bCs w:val="1"/>
          <w:color w:val="auto"/>
        </w:rPr>
        <w:t>Assignment</w:t>
      </w:r>
      <w:r>
        <w:rPr>
          <w:rFonts w:ascii="Arial" w:cs="Arial" w:eastAsia="Arial" w:hAnsi="Arial"/>
          <w:sz w:val="21"/>
          <w:szCs w:val="21"/>
          <w:color w:val="auto"/>
        </w:rPr>
        <w:t>. This Agreement shall be binding on the parties hereto, their respective successors and assigns;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however, that neither party shall assign or delegate its rights, duties or obligations under this Agreement without the prior written consent of the other party; provided further, however, that this Agreement may be assigned as collateral security by the either party, without the other party’s consent, to any lender or financial institution in connection with any debt financing or refinancing obtained or to be obtained by the Company or Service Provider or any of the its respective affiliates.</w:t>
      </w:r>
    </w:p>
    <w:p>
      <w:pPr>
        <w:spacing w:after="0" w:line="153" w:lineRule="exact"/>
        <w:rPr>
          <w:rFonts w:ascii="Arial" w:cs="Arial" w:eastAsia="Arial" w:hAnsi="Arial"/>
          <w:sz w:val="21"/>
          <w:szCs w:val="21"/>
          <w:color w:val="auto"/>
        </w:rPr>
      </w:pPr>
    </w:p>
    <w:p>
      <w:pPr>
        <w:ind w:left="644" w:hanging="644"/>
        <w:spacing w:after="0" w:line="235" w:lineRule="auto"/>
        <w:tabs>
          <w:tab w:leader="none" w:pos="644"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New York.</w:t>
      </w:r>
    </w:p>
    <w:p>
      <w:pPr>
        <w:spacing w:after="0" w:line="159" w:lineRule="exact"/>
        <w:rPr>
          <w:sz w:val="20"/>
          <w:szCs w:val="20"/>
          <w:color w:val="auto"/>
        </w:rPr>
      </w:pPr>
    </w:p>
    <w:p>
      <w:pPr>
        <w:ind w:left="3904"/>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9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80"/>
        <w:spacing w:after="0"/>
        <w:rPr>
          <w:sz w:val="20"/>
          <w:szCs w:val="20"/>
          <w:color w:val="auto"/>
        </w:rPr>
      </w:pPr>
      <w:r>
        <w:rPr>
          <w:rFonts w:ascii="Arial" w:cs="Arial" w:eastAsia="Arial" w:hAnsi="Arial"/>
          <w:sz w:val="21"/>
          <w:szCs w:val="21"/>
          <w:color w:val="auto"/>
        </w:rPr>
        <w:t>IN WITNESS WHEREOF, the undersigned have duly executed this Agreement as of the date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OPAL FUELS LLC</w:t>
            </w:r>
          </w:p>
        </w:tc>
        <w:tc>
          <w:tcPr>
            <w:tcW w:w="4820" w:type="dxa"/>
            <w:vAlign w:val="bottom"/>
            <w:gridSpan w:val="2"/>
          </w:tcPr>
          <w:p>
            <w:pPr>
              <w:ind w:left="1500"/>
              <w:spacing w:after="0"/>
              <w:rPr>
                <w:sz w:val="20"/>
                <w:szCs w:val="20"/>
                <w:color w:val="auto"/>
              </w:rPr>
            </w:pPr>
            <w:r>
              <w:rPr>
                <w:rFonts w:ascii="Arial" w:cs="Arial" w:eastAsia="Arial" w:hAnsi="Arial"/>
                <w:sz w:val="22"/>
                <w:szCs w:val="22"/>
                <w:b w:val="1"/>
                <w:bCs w:val="1"/>
                <w:color w:val="auto"/>
              </w:rPr>
              <w:t>FORTISTAR SERVICES 2 LLC</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540" w:type="dxa"/>
            <w:vAlign w:val="bottom"/>
          </w:tcPr>
          <w:p>
            <w:pPr>
              <w:ind w:left="320"/>
              <w:spacing w:after="0"/>
              <w:rPr>
                <w:sz w:val="20"/>
                <w:szCs w:val="20"/>
                <w:color w:val="auto"/>
              </w:rPr>
            </w:pPr>
            <w:r>
              <w:rPr>
                <w:rFonts w:ascii="Arial" w:cs="Arial" w:eastAsia="Arial" w:hAnsi="Arial"/>
                <w:sz w:val="22"/>
                <w:szCs w:val="22"/>
                <w:color w:val="auto"/>
              </w:rPr>
              <w:t>/s/ Jonathan Maurer</w:t>
            </w:r>
          </w:p>
        </w:tc>
        <w:tc>
          <w:tcPr>
            <w:tcW w:w="2420" w:type="dxa"/>
            <w:vAlign w:val="bottom"/>
          </w:tcPr>
          <w:p>
            <w:pPr>
              <w:ind w:left="1500"/>
              <w:spacing w:after="0"/>
              <w:rPr>
                <w:sz w:val="20"/>
                <w:szCs w:val="20"/>
                <w:color w:val="auto"/>
              </w:rPr>
            </w:pPr>
            <w:r>
              <w:rPr>
                <w:rFonts w:ascii="Arial" w:cs="Arial" w:eastAsia="Arial" w:hAnsi="Arial"/>
                <w:sz w:val="22"/>
                <w:szCs w:val="22"/>
                <w:color w:val="auto"/>
              </w:rPr>
              <w:t>By:</w:t>
            </w:r>
          </w:p>
        </w:tc>
        <w:tc>
          <w:tcPr>
            <w:tcW w:w="2400" w:type="dxa"/>
            <w:vAlign w:val="bottom"/>
          </w:tcPr>
          <w:p>
            <w:pPr>
              <w:ind w:left="340"/>
              <w:spacing w:after="0"/>
              <w:rPr>
                <w:sz w:val="20"/>
                <w:szCs w:val="20"/>
                <w:color w:val="auto"/>
              </w:rPr>
            </w:pPr>
            <w:r>
              <w:rPr>
                <w:rFonts w:ascii="Arial" w:cs="Arial" w:eastAsia="Arial" w:hAnsi="Arial"/>
                <w:sz w:val="22"/>
                <w:szCs w:val="22"/>
                <w:color w:val="auto"/>
              </w:rPr>
              <w:t>/s/ Scott Contino</w:t>
            </w:r>
          </w:p>
        </w:tc>
      </w:tr>
      <w:tr>
        <w:trPr>
          <w:trHeight w:val="482"/>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3540" w:type="dxa"/>
            <w:vAlign w:val="bottom"/>
          </w:tcPr>
          <w:p>
            <w:pPr>
              <w:ind w:left="320"/>
              <w:spacing w:after="0"/>
              <w:rPr>
                <w:sz w:val="20"/>
                <w:szCs w:val="20"/>
                <w:color w:val="auto"/>
              </w:rPr>
            </w:pPr>
            <w:r>
              <w:rPr>
                <w:rFonts w:ascii="Arial" w:cs="Arial" w:eastAsia="Arial" w:hAnsi="Arial"/>
                <w:sz w:val="22"/>
                <w:szCs w:val="22"/>
                <w:color w:val="auto"/>
              </w:rPr>
              <w:t>Jonathan Maurer</w:t>
            </w:r>
          </w:p>
        </w:tc>
        <w:tc>
          <w:tcPr>
            <w:tcW w:w="2420" w:type="dxa"/>
            <w:vAlign w:val="bottom"/>
          </w:tcPr>
          <w:p>
            <w:pPr>
              <w:ind w:left="1500"/>
              <w:spacing w:after="0"/>
              <w:rPr>
                <w:sz w:val="20"/>
                <w:szCs w:val="20"/>
                <w:color w:val="auto"/>
              </w:rPr>
            </w:pPr>
            <w:r>
              <w:rPr>
                <w:rFonts w:ascii="Arial" w:cs="Arial" w:eastAsia="Arial" w:hAnsi="Arial"/>
                <w:sz w:val="22"/>
                <w:szCs w:val="22"/>
                <w:color w:val="auto"/>
              </w:rPr>
              <w:t>Name:</w:t>
            </w:r>
          </w:p>
        </w:tc>
        <w:tc>
          <w:tcPr>
            <w:tcW w:w="2400" w:type="dxa"/>
            <w:vAlign w:val="bottom"/>
          </w:tcPr>
          <w:p>
            <w:pPr>
              <w:ind w:left="380"/>
              <w:spacing w:after="0"/>
              <w:rPr>
                <w:sz w:val="20"/>
                <w:szCs w:val="20"/>
                <w:color w:val="auto"/>
              </w:rPr>
            </w:pPr>
            <w:r>
              <w:rPr>
                <w:rFonts w:ascii="Arial" w:cs="Arial" w:eastAsia="Arial" w:hAnsi="Arial"/>
                <w:sz w:val="22"/>
                <w:szCs w:val="22"/>
                <w:color w:val="auto"/>
              </w:rPr>
              <w:t>Scott Contino</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3540" w:type="dxa"/>
            <w:vAlign w:val="bottom"/>
          </w:tcPr>
          <w:p>
            <w:pPr>
              <w:ind w:left="320"/>
              <w:spacing w:after="0"/>
              <w:rPr>
                <w:sz w:val="20"/>
                <w:szCs w:val="20"/>
                <w:color w:val="auto"/>
              </w:rPr>
            </w:pPr>
            <w:r>
              <w:rPr>
                <w:rFonts w:ascii="Arial" w:cs="Arial" w:eastAsia="Arial" w:hAnsi="Arial"/>
                <w:sz w:val="22"/>
                <w:szCs w:val="22"/>
                <w:color w:val="auto"/>
              </w:rPr>
              <w:t>Co-CEO</w:t>
            </w:r>
          </w:p>
        </w:tc>
        <w:tc>
          <w:tcPr>
            <w:tcW w:w="2420" w:type="dxa"/>
            <w:vAlign w:val="bottom"/>
          </w:tcPr>
          <w:p>
            <w:pPr>
              <w:ind w:left="1500"/>
              <w:spacing w:after="0"/>
              <w:rPr>
                <w:sz w:val="20"/>
                <w:szCs w:val="20"/>
                <w:color w:val="auto"/>
              </w:rPr>
            </w:pPr>
            <w:r>
              <w:rPr>
                <w:rFonts w:ascii="Arial" w:cs="Arial" w:eastAsia="Arial" w:hAnsi="Arial"/>
                <w:sz w:val="22"/>
                <w:szCs w:val="22"/>
                <w:color w:val="auto"/>
              </w:rPr>
              <w:t>Title</w:t>
            </w:r>
          </w:p>
        </w:tc>
        <w:tc>
          <w:tcPr>
            <w:tcW w:w="2400" w:type="dxa"/>
            <w:vAlign w:val="bottom"/>
          </w:tcPr>
          <w:p>
            <w:pPr>
              <w:ind w:left="380"/>
              <w:spacing w:after="0"/>
              <w:rPr>
                <w:sz w:val="20"/>
                <w:szCs w:val="20"/>
                <w:color w:val="auto"/>
              </w:rPr>
            </w:pPr>
            <w:r>
              <w:rPr>
                <w:rFonts w:ascii="Arial" w:cs="Arial" w:eastAsia="Arial" w:hAnsi="Arial"/>
                <w:sz w:val="22"/>
                <w:szCs w:val="22"/>
                <w:color w:val="auto"/>
                <w:w w:val="92"/>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60"/>
          </w:cols>
          <w:pgMar w:left="400" w:top="98"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73164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OPAL Fuels Appoints Scott Contino Interim Chief Financial Officer</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WHITE PLAINS, N.Y. – (October 12, 2023) – </w:t>
      </w:r>
      <w:r>
        <w:rPr>
          <w:rFonts w:ascii="Arial" w:cs="Arial" w:eastAsia="Arial" w:hAnsi="Arial"/>
          <w:sz w:val="19"/>
          <w:szCs w:val="19"/>
          <w:u w:val="single" w:color="auto"/>
          <w:color w:val="0563C1"/>
        </w:rPr>
        <w:t>OPAL Fuels Inc.</w:t>
      </w:r>
      <w:r>
        <w:rPr>
          <w:rFonts w:ascii="Arial" w:cs="Arial" w:eastAsia="Arial" w:hAnsi="Arial"/>
          <w:sz w:val="19"/>
          <w:szCs w:val="19"/>
          <w:color w:val="auto"/>
        </w:rPr>
        <w:t xml:space="preserve"> (Nasdaq: OPAL), a vertically integrated producer and distributor of renewable natural gas and renewable electricity (the “Company”), today announced that Ann Anthony </w:t>
      </w:r>
      <w:r>
        <w:rPr>
          <w:rFonts w:ascii="Arial" w:cs="Arial" w:eastAsia="Arial" w:hAnsi="Arial"/>
          <w:sz w:val="19"/>
          <w:szCs w:val="19"/>
          <w:color w:val="444444"/>
          <w:highlight w:val="white"/>
        </w:rPr>
        <w:t>has notified the</w:t>
      </w:r>
      <w:r>
        <w:rPr>
          <w:rFonts w:ascii="Arial" w:cs="Arial" w:eastAsia="Arial" w:hAnsi="Arial"/>
          <w:sz w:val="19"/>
          <w:szCs w:val="19"/>
          <w:color w:val="auto"/>
        </w:rPr>
        <w:t xml:space="preserve"> </w:t>
      </w:r>
      <w:r>
        <w:rPr>
          <w:rFonts w:ascii="Arial" w:cs="Arial" w:eastAsia="Arial" w:hAnsi="Arial"/>
          <w:sz w:val="19"/>
          <w:szCs w:val="19"/>
          <w:color w:val="444444"/>
          <w:highlight w:val="white"/>
        </w:rPr>
        <w:t xml:space="preserve">Company of her intention to resign as the Company’s Chief Financial Officer (“CFO”) to pursue another professional opportunity, and that </w:t>
      </w:r>
      <w:r>
        <w:rPr>
          <w:rFonts w:ascii="Arial" w:cs="Arial" w:eastAsia="Arial" w:hAnsi="Arial"/>
          <w:sz w:val="19"/>
          <w:szCs w:val="19"/>
          <w:color w:val="000000"/>
        </w:rPr>
        <w:t>Scott Contino, CFO of the Company’s sponsor, Fortistar, has been appointed as interim CFO. Mr. Contino</w:t>
      </w:r>
      <w:r>
        <w:rPr>
          <w:rFonts w:ascii="Arial" w:cs="Arial" w:eastAsia="Arial" w:hAnsi="Arial"/>
          <w:sz w:val="19"/>
          <w:szCs w:val="19"/>
          <w:color w:val="444444"/>
          <w:highlight w:val="white"/>
        </w:rPr>
        <w:t xml:space="preserve"> </w:t>
      </w:r>
      <w:r>
        <w:rPr>
          <w:rFonts w:ascii="Arial" w:cs="Arial" w:eastAsia="Arial" w:hAnsi="Arial"/>
          <w:sz w:val="19"/>
          <w:szCs w:val="19"/>
          <w:color w:val="000000"/>
        </w:rPr>
        <w:t>has been part of the OPAL Fuels business since inception, and previously served as the CFO of its predecessor parent company.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Ms. Anthony’s departure date has not yet been determined but remains under discussion between the Company and Ms. Anthony. Mr. Contino will assist Ms. Anthony during the transition and take on the CFO role on the date of Ms. Anthony’s departure, once determined. The Board of Directors of the Company has commenced a search process for a permanent CFO.</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Adam Comora, Co-Chief Executive Officer of OPAL Fuels, said, “We are proud of all that we have accomplished during Ann’s tenure - she was a key component of OPAL Fuels becoming a public company, raising capital, and executing on our growth plan. We appreciate Ann working with us to provide a smooth transition and thank her for all of her support. We wish her well in her new endeavors with an earlier stage growth company.”</w:t>
      </w:r>
    </w:p>
    <w:p>
      <w:pPr>
        <w:spacing w:after="0" w:line="188"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Mr. Comora continued, “We are pleased to appoint Scott as interim CFO. Scott has the proven ability to help us continue the Company’s progress to maximize shareholder value. He is a seasoned CFO and an exceptional business leader who is well-suited to fill this interim role. Scott has been involved with the business for the last twenty-five years and his intimate familiarity with the business and his proven finance skills will provide steady leadership during our transition to a new CFO. Scott’s appointment reflects Fortistar’s continuing commitment to OPAL Fuels.”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Mr. Contino, age 56, has worked for over twenty-five years at Fortistar, a privately-owned investment firm that provides capital to build, grow and manage companies that address complex sustainability challenges. Mr. Contino has served as Fortistar’s CFO for the past eighteen years, where his principal responsibilities include company-wide accounting, tax, treasury, and insurance matters. Mr. Contino received an MBA from INSEAD and a bachelor’s degree from Georgetown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About OPAL Fuels Inc.</w:t>
      </w:r>
    </w:p>
    <w:p>
      <w:pPr>
        <w:spacing w:after="0"/>
        <w:rPr>
          <w:sz w:val="20"/>
          <w:szCs w:val="20"/>
          <w:color w:val="auto"/>
        </w:rPr>
      </w:pPr>
      <w:r>
        <w:rPr>
          <w:rFonts w:ascii="Arial" w:cs="Arial" w:eastAsia="Arial" w:hAnsi="Arial"/>
          <w:sz w:val="19"/>
          <w:szCs w:val="19"/>
          <w:u w:val="single" w:color="auto"/>
          <w:color w:val="0563C1"/>
        </w:rPr>
        <w:t>OPAL Fuels Inc.</w:t>
      </w:r>
      <w:r>
        <w:rPr>
          <w:rFonts w:ascii="Arial" w:cs="Arial" w:eastAsia="Arial" w:hAnsi="Arial"/>
          <w:sz w:val="19"/>
          <w:szCs w:val="19"/>
          <w:color w:val="0563C1"/>
        </w:rPr>
        <w:t xml:space="preserve"> </w:t>
      </w:r>
      <w:r>
        <w:rPr>
          <w:rFonts w:ascii="Arial" w:cs="Arial" w:eastAsia="Arial" w:hAnsi="Arial"/>
          <w:sz w:val="19"/>
          <w:szCs w:val="19"/>
          <w:color w:val="000000"/>
        </w:rPr>
        <w:t>(Nasdaq: OPAL)</w:t>
      </w:r>
      <w:r>
        <w:rPr>
          <w:rFonts w:ascii="Arial" w:cs="Arial" w:eastAsia="Arial" w:hAnsi="Arial"/>
          <w:sz w:val="19"/>
          <w:szCs w:val="19"/>
          <w:color w:val="0563C1"/>
        </w:rPr>
        <w:t xml:space="preserve"> </w:t>
      </w:r>
      <w:r>
        <w:rPr>
          <w:rFonts w:ascii="Arial" w:cs="Arial" w:eastAsia="Arial" w:hAnsi="Arial"/>
          <w:sz w:val="19"/>
          <w:szCs w:val="19"/>
          <w:color w:val="212121"/>
        </w:rPr>
        <w:t>is a leading vertically integrated producer and distributor of renewable natural gas (“RNG”)</w:t>
      </w:r>
    </w:p>
    <w:p>
      <w:pPr>
        <w:spacing w:after="0" w:line="11"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212121"/>
        </w:rPr>
        <w:t xml:space="preserve">and renewable electricity. RNG is a proven low-carbon energy source that is rapidly decarbonizing multiple sectors including the transportation and utility industries. The Company delivers complete renewable solutions to customers and production partners. With a portfolio of 24 operating renewable energy projects, the Company is positioned to advance the clean energy transition in support of renewable energy for transportation, utilities, EV charging infrastructure, and hydrogen fuel solutions. To learn more about the Company and how it is leading the effort to capture North America’s harmful methane emissions and decarbonize the economy, please visit </w:t>
      </w:r>
      <w:r>
        <w:rPr>
          <w:rFonts w:ascii="Arial" w:cs="Arial" w:eastAsia="Arial" w:hAnsi="Arial"/>
          <w:sz w:val="21"/>
          <w:szCs w:val="21"/>
          <w:u w:val="single" w:color="auto"/>
          <w:color w:val="0563C1"/>
        </w:rPr>
        <w:t>www.opalfuels.com</w:t>
      </w:r>
      <w:r>
        <w:rPr>
          <w:rFonts w:ascii="Arial" w:cs="Arial" w:eastAsia="Arial" w:hAnsi="Arial"/>
          <w:sz w:val="21"/>
          <w:szCs w:val="21"/>
          <w:color w:val="212121"/>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white"/>
        </w:rPr>
        <w:t>Forward-Looking Statements</w:t>
      </w:r>
    </w:p>
    <w:p>
      <w:pPr>
        <w:jc w:val="both"/>
        <w:spacing w:after="0" w:line="239" w:lineRule="auto"/>
        <w:rPr>
          <w:sz w:val="20"/>
          <w:szCs w:val="20"/>
          <w:color w:val="auto"/>
        </w:rPr>
      </w:pPr>
      <w:r>
        <w:rPr>
          <w:rFonts w:ascii="Arial" w:cs="Arial" w:eastAsia="Arial" w:hAnsi="Arial"/>
          <w:sz w:val="19"/>
          <w:szCs w:val="19"/>
          <w:color w:val="auto"/>
        </w:rPr>
        <w:t xml:space="preserve">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w:t>
      </w:r>
      <w:r>
        <w:rPr>
          <w:rFonts w:ascii="Arial" w:cs="Arial" w:eastAsia="Arial" w:hAnsi="Arial"/>
          <w:sz w:val="19"/>
          <w:szCs w:val="19"/>
          <w:color w:val="auto"/>
          <w:highlight w:val="white"/>
        </w:rPr>
        <w:t xml:space="preserve">from current expectations include various factors beyond management’s control, including but not limited to general economic conditions and other risks, uncertainties and factors set forth in the sections entitled “Risk Factors” and “Cautionary Statement </w:t>
      </w:r>
      <w:r>
        <w:rPr>
          <w:rFonts w:ascii="Arial" w:cs="Arial" w:eastAsia="Arial" w:hAnsi="Arial"/>
          <w:sz w:val="19"/>
          <w:szCs w:val="19"/>
          <w:color w:val="auto"/>
        </w:rPr>
        <w:t xml:space="preserve">Regarding Forward-Looking Statements” in Quarterly Report on Form 10-Q filed on August 14, 2023 with the Securities and Exchange Commission, and other filings with the Securities and Exchange Commission. Nothing in this communication should be regarded as a representation by any person that the forward-looking statements set forth herein will be achieved or that any of </w:t>
      </w:r>
      <w:r>
        <w:rPr>
          <w:rFonts w:ascii="Arial" w:cs="Arial" w:eastAsia="Arial" w:hAnsi="Arial"/>
          <w:sz w:val="19"/>
          <w:szCs w:val="19"/>
          <w:color w:val="auto"/>
          <w:highlight w:val="white"/>
        </w:rPr>
        <w:t>the contemplated results of such forward-looking statements will be achieved. You should not place undue reliance on forward-</w:t>
      </w:r>
      <w:r>
        <w:rPr>
          <w:rFonts w:ascii="Arial" w:cs="Arial" w:eastAsia="Arial" w:hAnsi="Arial"/>
          <w:sz w:val="19"/>
          <w:szCs w:val="19"/>
          <w:color w:val="auto"/>
        </w:rPr>
        <w:t xml:space="preserve">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w:t>
      </w:r>
      <w:r>
        <w:rPr>
          <w:rFonts w:ascii="Arial" w:cs="Arial" w:eastAsia="Arial" w:hAnsi="Arial"/>
          <w:sz w:val="19"/>
          <w:szCs w:val="19"/>
          <w:color w:val="auto"/>
          <w:highlight w:val="white"/>
        </w:rPr>
        <w:t>expectations with respect thereto or any change in events, conditions, or circumstances on which any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-2760345</wp:posOffset>
            </wp:positionV>
            <wp:extent cx="7132320" cy="1379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98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-1114425</wp:posOffset>
            </wp:positionV>
            <wp:extent cx="7123430" cy="420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23430" cy="419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82"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highlight w:val="white"/>
        </w:rPr>
        <w:t>Disclaimer</w:t>
      </w:r>
    </w:p>
    <w:p>
      <w:pPr>
        <w:jc w:val="both"/>
        <w:spacing w:after="0" w:line="214"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Investors</w:t>
      </w:r>
    </w:p>
    <w:p>
      <w:pPr>
        <w:spacing w:after="0" w:line="204" w:lineRule="auto"/>
        <w:rPr>
          <w:sz w:val="20"/>
          <w:szCs w:val="20"/>
          <w:color w:val="auto"/>
        </w:rPr>
      </w:pPr>
      <w:r>
        <w:rPr>
          <w:rFonts w:ascii="Arial" w:cs="Arial" w:eastAsia="Arial" w:hAnsi="Arial"/>
          <w:sz w:val="22"/>
          <w:szCs w:val="22"/>
          <w:color w:val="auto"/>
        </w:rPr>
        <w:t>Todd Firestone</w:t>
      </w:r>
    </w:p>
    <w:p>
      <w:pPr>
        <w:spacing w:after="0" w:line="205" w:lineRule="auto"/>
        <w:rPr>
          <w:sz w:val="20"/>
          <w:szCs w:val="20"/>
          <w:color w:val="auto"/>
        </w:rPr>
      </w:pPr>
      <w:r>
        <w:rPr>
          <w:rFonts w:ascii="Arial" w:cs="Arial" w:eastAsia="Arial" w:hAnsi="Arial"/>
          <w:sz w:val="22"/>
          <w:szCs w:val="22"/>
          <w:color w:val="auto"/>
        </w:rPr>
        <w:t>Vice President Investor Relations and Corporate Development</w:t>
      </w:r>
    </w:p>
    <w:p>
      <w:pPr>
        <w:spacing w:after="0" w:line="205" w:lineRule="auto"/>
        <w:rPr>
          <w:sz w:val="20"/>
          <w:szCs w:val="20"/>
          <w:color w:val="auto"/>
        </w:rPr>
      </w:pPr>
      <w:r>
        <w:rPr>
          <w:rFonts w:ascii="Arial" w:cs="Arial" w:eastAsia="Arial" w:hAnsi="Arial"/>
          <w:sz w:val="22"/>
          <w:szCs w:val="22"/>
          <w:color w:val="auto"/>
        </w:rPr>
        <w:t>914-705-4001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investors@opalfuels.com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Media</w:t>
      </w:r>
    </w:p>
    <w:p>
      <w:pPr>
        <w:spacing w:after="0" w:line="204" w:lineRule="auto"/>
        <w:rPr>
          <w:sz w:val="20"/>
          <w:szCs w:val="20"/>
          <w:color w:val="auto"/>
        </w:rPr>
      </w:pPr>
      <w:r>
        <w:rPr>
          <w:rFonts w:ascii="Arial" w:cs="Arial" w:eastAsia="Arial" w:hAnsi="Arial"/>
          <w:sz w:val="22"/>
          <w:szCs w:val="22"/>
          <w:color w:val="auto"/>
        </w:rPr>
        <w:t>Jason Stewart</w:t>
      </w:r>
    </w:p>
    <w:p>
      <w:pPr>
        <w:spacing w:after="0" w:line="205" w:lineRule="auto"/>
        <w:rPr>
          <w:sz w:val="20"/>
          <w:szCs w:val="20"/>
          <w:color w:val="auto"/>
        </w:rPr>
      </w:pPr>
      <w:r>
        <w:rPr>
          <w:rFonts w:ascii="Arial" w:cs="Arial" w:eastAsia="Arial" w:hAnsi="Arial"/>
          <w:sz w:val="22"/>
          <w:szCs w:val="22"/>
          <w:color w:val="auto"/>
        </w:rPr>
        <w:t>Senior Director Public Relations and Marketing</w:t>
      </w:r>
    </w:p>
    <w:p>
      <w:pPr>
        <w:spacing w:after="0" w:line="205" w:lineRule="auto"/>
        <w:rPr>
          <w:sz w:val="20"/>
          <w:szCs w:val="20"/>
          <w:color w:val="auto"/>
        </w:rPr>
      </w:pPr>
      <w:r>
        <w:rPr>
          <w:rFonts w:ascii="Arial" w:cs="Arial" w:eastAsia="Arial" w:hAnsi="Arial"/>
          <w:sz w:val="22"/>
          <w:szCs w:val="22"/>
          <w:color w:val="auto"/>
        </w:rPr>
        <w:t>914-421-5336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jstewart@opalfuels.com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ICR, Inc.</w:t>
      </w:r>
    </w:p>
    <w:p>
      <w:pPr>
        <w:spacing w:after="0"/>
        <w:rPr>
          <w:sz w:val="20"/>
          <w:szCs w:val="20"/>
          <w:color w:val="auto"/>
        </w:rPr>
      </w:pPr>
      <w:r>
        <w:rPr>
          <w:rFonts w:ascii="Arial" w:cs="Arial" w:eastAsia="Arial" w:hAnsi="Arial"/>
          <w:sz w:val="22"/>
          <w:szCs w:val="22"/>
          <w:u w:val="single" w:color="auto"/>
          <w:color w:val="0563C1"/>
        </w:rPr>
        <w:t>OPALFuelsPR@icrinc.com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sectPr>
      <w:pgSz w:w="11900" w:h="16838" w:orient="portrait"/>
      <w:cols w:equalWidth="0" w:num="1">
        <w:col w:w="11240"/>
      </w:cols>
      <w:pgMar w:left="320" w:top="1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3"/>
    </w:lvl>
    <w:lvl w:ilvl="1">
      <w:lvlJc w:val="left"/>
      <w:lvlText w:val="(%2)"/>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2023-10-12T16:09:46Z</dcterms:created>
  <dcterms:modified xsi:type="dcterms:W3CDTF">2023-10-12T16:09:46Z</dcterms:modified>
</cp:coreProperties>
</file>