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40" w:lineRule="exact"/>
        <w:rPr>
          <w:sz w:val="24"/>
          <w:szCs w:val="24"/>
          <w:color w:val="auto"/>
        </w:rPr>
      </w:pPr>
    </w:p>
    <w:p>
      <w:pPr>
        <w:ind w:left="20"/>
        <w:spacing w:after="0"/>
        <w:rPr>
          <w:sz w:val="20"/>
          <w:szCs w:val="20"/>
          <w:color w:val="auto"/>
        </w:rPr>
      </w:pPr>
      <w:r>
        <w:rPr>
          <w:rFonts w:ascii="Arial" w:cs="Arial" w:eastAsia="Arial" w:hAnsi="Arial"/>
          <w:sz w:val="15"/>
          <w:szCs w:val="15"/>
          <w:b w:val="1"/>
          <w:bCs w:val="1"/>
          <w:color w:val="auto"/>
        </w:rPr>
        <w:t>Prospectus Supplement No. 5</w:t>
      </w:r>
    </w:p>
    <w:p>
      <w:pPr>
        <w:spacing w:after="0" w:line="20" w:lineRule="exact"/>
        <w:rPr>
          <w:sz w:val="24"/>
          <w:szCs w:val="24"/>
          <w:color w:val="auto"/>
        </w:rPr>
      </w:pPr>
      <w:r>
        <w:rPr>
          <w:sz w:val="24"/>
          <w:szCs w:val="24"/>
          <w:color w:val="auto"/>
        </w:rPr>
        <w:br w:type="column"/>
      </w:r>
    </w:p>
    <w:p>
      <w:pPr>
        <w:spacing w:after="0" w:line="12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Filed pursuant to Rule 424(b)(3)</w:t>
      </w:r>
    </w:p>
    <w:p>
      <w:pPr>
        <w:spacing w:after="0" w:line="100" w:lineRule="exact"/>
        <w:rPr>
          <w:sz w:val="24"/>
          <w:szCs w:val="24"/>
          <w:color w:val="auto"/>
        </w:rPr>
      </w:pPr>
    </w:p>
    <w:p>
      <w:pPr>
        <w:sectPr>
          <w:pgSz w:w="11900" w:h="16838" w:orient="portrait"/>
          <w:cols w:equalWidth="0" w:num="2">
            <w:col w:w="8020" w:space="720"/>
            <w:col w:w="2500"/>
          </w:cols>
          <w:pgMar w:left="320" w:top="1440" w:right="339" w:bottom="1440" w:gutter="0" w:footer="0" w:header="0"/>
        </w:sectPr>
      </w:pPr>
    </w:p>
    <w:p>
      <w:pPr>
        <w:ind w:left="20"/>
        <w:spacing w:after="0"/>
        <w:rPr>
          <w:sz w:val="20"/>
          <w:szCs w:val="20"/>
          <w:color w:val="auto"/>
        </w:rPr>
      </w:pPr>
      <w:r>
        <w:rPr>
          <w:rFonts w:ascii="Arial" w:cs="Arial" w:eastAsia="Arial" w:hAnsi="Arial"/>
          <w:sz w:val="16"/>
          <w:szCs w:val="16"/>
          <w:b w:val="1"/>
          <w:bCs w:val="1"/>
          <w:color w:val="auto"/>
        </w:rPr>
        <w:t>(To Prospectus dated November 8,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2310765</wp:posOffset>
            </wp:positionH>
            <wp:positionV relativeFrom="paragraph">
              <wp:posOffset>854710</wp:posOffset>
            </wp:positionV>
            <wp:extent cx="2520315" cy="5918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520315" cy="5918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Registration Statement No. 333-266757</w:t>
      </w:r>
    </w:p>
    <w:p>
      <w:pPr>
        <w:spacing w:after="0" w:line="200" w:lineRule="exact"/>
        <w:rPr>
          <w:sz w:val="24"/>
          <w:szCs w:val="24"/>
          <w:color w:val="auto"/>
        </w:rPr>
      </w:pPr>
    </w:p>
    <w:p>
      <w:pPr>
        <w:sectPr>
          <w:pgSz w:w="11900" w:h="16838" w:orient="portrait"/>
          <w:cols w:equalWidth="0" w:num="2">
            <w:col w:w="7500" w:space="720"/>
            <w:col w:w="3020"/>
          </w:cols>
          <w:pgMar w:left="320" w:top="1440" w:right="33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OPAL FUELS INC.</w:t>
      </w:r>
    </w:p>
    <w:p>
      <w:pPr>
        <w:spacing w:after="0" w:line="148" w:lineRule="exact"/>
        <w:rPr>
          <w:sz w:val="24"/>
          <w:szCs w:val="24"/>
          <w:color w:val="auto"/>
        </w:rPr>
      </w:pPr>
    </w:p>
    <w:p>
      <w:pPr>
        <w:jc w:val="both"/>
        <w:spacing w:after="0" w:line="248" w:lineRule="auto"/>
        <w:rPr>
          <w:sz w:val="20"/>
          <w:szCs w:val="20"/>
          <w:color w:val="auto"/>
        </w:rPr>
      </w:pPr>
      <w:r>
        <w:rPr>
          <w:rFonts w:ascii="Arial" w:cs="Arial" w:eastAsia="Arial" w:hAnsi="Arial"/>
          <w:sz w:val="18"/>
          <w:szCs w:val="18"/>
          <w:color w:val="auto"/>
        </w:rPr>
        <w:t>This prospectus supplement updates, amends and supplements the prospectus dated November 8, 2022 (the “Prospectus”), which forms a part of our Registration Statement on Form S-1 (Registration No. 333-266757). Capitalized terms used in this prospectus supplement and not otherwise defined herein have the meanings specified in the Prospectus.</w:t>
      </w:r>
    </w:p>
    <w:p>
      <w:pPr>
        <w:spacing w:after="0" w:line="209" w:lineRule="exact"/>
        <w:rPr>
          <w:sz w:val="24"/>
          <w:szCs w:val="24"/>
          <w:color w:val="auto"/>
        </w:rPr>
      </w:pPr>
    </w:p>
    <w:p>
      <w:pPr>
        <w:jc w:val="both"/>
        <w:spacing w:after="0" w:line="324" w:lineRule="auto"/>
        <w:rPr>
          <w:sz w:val="20"/>
          <w:szCs w:val="20"/>
          <w:color w:val="auto"/>
        </w:rPr>
      </w:pPr>
      <w:r>
        <w:rPr>
          <w:rFonts w:ascii="Arial" w:cs="Arial" w:eastAsia="Arial" w:hAnsi="Arial"/>
          <w:sz w:val="16"/>
          <w:szCs w:val="16"/>
          <w:color w:val="auto"/>
        </w:rPr>
        <w:t>This prospectus supplement is being filed to update, amend, and supplement the information included in the Prospectus with the information contained in our Current Report on Form 8-K filed with the U.S. Securities and Exchange Commission (the “SEC”) on December 21, 2022, which is set forth below.</w:t>
      </w:r>
    </w:p>
    <w:p>
      <w:pPr>
        <w:spacing w:after="0" w:line="151" w:lineRule="exact"/>
        <w:rPr>
          <w:sz w:val="24"/>
          <w:szCs w:val="24"/>
          <w:color w:val="auto"/>
        </w:rPr>
      </w:pPr>
    </w:p>
    <w:p>
      <w:pPr>
        <w:jc w:val="both"/>
        <w:spacing w:after="0" w:line="243" w:lineRule="auto"/>
        <w:rPr>
          <w:sz w:val="20"/>
          <w:szCs w:val="20"/>
          <w:color w:val="auto"/>
        </w:rPr>
      </w:pPr>
      <w:r>
        <w:rPr>
          <w:rFonts w:ascii="Arial" w:cs="Arial" w:eastAsia="Arial" w:hAnsi="Arial"/>
          <w:sz w:val="18"/>
          <w:szCs w:val="18"/>
          <w:color w:val="auto"/>
        </w:rPr>
        <w:t>This prospectus supplement is not complete without the Prospectus. This prospectus supplement should be read in conjunction with the Prospectus, which is to be delivered with this prospectus supplement, and is qualified by reference thereto, except to the extent that the information in this prospectus supplement updates or supersedes the information contained in the Prospectus. Please keep this prospectus supplement with your Prospectus for future reference.</w:t>
      </w:r>
    </w:p>
    <w:p>
      <w:pPr>
        <w:spacing w:after="0" w:line="215" w:lineRule="exact"/>
        <w:rPr>
          <w:sz w:val="24"/>
          <w:szCs w:val="24"/>
          <w:color w:val="auto"/>
        </w:rPr>
      </w:pPr>
    </w:p>
    <w:p>
      <w:pPr>
        <w:jc w:val="both"/>
        <w:spacing w:after="0" w:line="248" w:lineRule="auto"/>
        <w:rPr>
          <w:sz w:val="20"/>
          <w:szCs w:val="20"/>
          <w:color w:val="auto"/>
        </w:rPr>
      </w:pPr>
      <w:r>
        <w:rPr>
          <w:rFonts w:ascii="Arial" w:cs="Arial" w:eastAsia="Arial" w:hAnsi="Arial"/>
          <w:sz w:val="18"/>
          <w:szCs w:val="18"/>
          <w:color w:val="auto"/>
        </w:rPr>
        <w:t>Our shares of Class A common stock are listed on the Nasdaq Capital Market (the “Nasdaq”) under the symbol “OPAL.” On December 21, 2022 the closing sale price of our Class A common stock was $7.02 per share. Our public warrants are listed on the Nasdaq under the symbol “OPALW.” On December 21, 2022, the closing sale price of our public warrants was $1.46 per warrant.</w:t>
      </w:r>
    </w:p>
    <w:p>
      <w:pPr>
        <w:spacing w:after="0" w:line="218" w:lineRule="exact"/>
        <w:rPr>
          <w:sz w:val="24"/>
          <w:szCs w:val="24"/>
          <w:color w:val="auto"/>
        </w:rPr>
      </w:pPr>
    </w:p>
    <w:p>
      <w:pPr>
        <w:jc w:val="both"/>
        <w:spacing w:after="0" w:line="282" w:lineRule="auto"/>
        <w:rPr>
          <w:sz w:val="20"/>
          <w:szCs w:val="20"/>
          <w:color w:val="auto"/>
        </w:rPr>
      </w:pPr>
      <w:r>
        <w:rPr>
          <w:rFonts w:ascii="Arial" w:cs="Arial" w:eastAsia="Arial" w:hAnsi="Arial"/>
          <w:sz w:val="18"/>
          <w:szCs w:val="18"/>
          <w:b w:val="1"/>
          <w:bCs w:val="1"/>
          <w:color w:val="auto"/>
        </w:rPr>
        <w:t>Investing in shares of our Class A common stock or warrants involves risks that are described in the “Risk Factors” section beginning on page 12 of the Prospectus.</w:t>
      </w:r>
    </w:p>
    <w:p>
      <w:pPr>
        <w:spacing w:after="0" w:line="98" w:lineRule="exact"/>
        <w:rPr>
          <w:sz w:val="24"/>
          <w:szCs w:val="24"/>
          <w:color w:val="auto"/>
        </w:rPr>
      </w:pPr>
    </w:p>
    <w:p>
      <w:pPr>
        <w:jc w:val="both"/>
        <w:ind w:right="20"/>
        <w:spacing w:after="0" w:line="279" w:lineRule="auto"/>
        <w:rPr>
          <w:sz w:val="20"/>
          <w:szCs w:val="20"/>
          <w:color w:val="auto"/>
        </w:rPr>
      </w:pPr>
      <w:r>
        <w:rPr>
          <w:rFonts w:ascii="Arial" w:cs="Arial" w:eastAsia="Arial" w:hAnsi="Arial"/>
          <w:sz w:val="18"/>
          <w:szCs w:val="18"/>
          <w:color w:val="auto"/>
        </w:rPr>
        <w:t>Neither the U.S. Securities and Exchange Commission nor any state securities commission has approved or disapproved of the securities to be issued under the Prospectus or determined if the Prospectus or this prospectus supplement is truthful or complete. Any representation to the contrary is a criminal offense.</w:t>
      </w:r>
    </w:p>
    <w:p>
      <w:pPr>
        <w:spacing w:after="0" w:line="200" w:lineRule="exact"/>
        <w:rPr>
          <w:sz w:val="24"/>
          <w:szCs w:val="24"/>
          <w:color w:val="auto"/>
        </w:rPr>
      </w:pPr>
    </w:p>
    <w:p>
      <w:pPr>
        <w:spacing w:after="0" w:line="28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The date of this prospectus supplement is December 21, 2022</w:t>
      </w:r>
    </w:p>
    <w:p>
      <w:pPr>
        <w:sectPr>
          <w:pgSz w:w="11900" w:h="16838" w:orient="portrait"/>
          <w:cols w:equalWidth="0" w:num="1">
            <w:col w:w="11240"/>
          </w:cols>
          <w:pgMar w:left="320" w:top="1440" w:right="339" w:bottom="1440" w:gutter="0" w:footer="0" w:header="0"/>
          <w:type w:val="continuous"/>
        </w:sectPr>
      </w:pPr>
    </w:p>
    <w:bookmarkStart w:id="1" w:name="page2"/>
    <w:bookmarkEnd w:id="1"/>
    <w:p>
      <w:pPr>
        <w:jc w:val="center"/>
        <w:ind w:right="-519"/>
        <w:spacing w:after="0"/>
        <w:rPr>
          <w:sz w:val="20"/>
          <w:szCs w:val="20"/>
          <w:color w:val="auto"/>
        </w:rPr>
      </w:pPr>
      <w:r>
        <w:rPr>
          <w:rFonts w:ascii="Arial" w:cs="Arial" w:eastAsia="Arial" w:hAnsi="Arial"/>
          <w:sz w:val="25"/>
          <w:szCs w:val="25"/>
          <w:b w:val="1"/>
          <w:bCs w:val="1"/>
          <w:color w:val="auto"/>
        </w:rPr>
        <w:t>UNITED STATES</w:t>
      </w:r>
    </w:p>
    <w:p>
      <w:pPr>
        <w:spacing w:after="0" w:line="64" w:lineRule="exact"/>
        <w:rPr>
          <w:sz w:val="20"/>
          <w:szCs w:val="20"/>
          <w:color w:val="auto"/>
        </w:rPr>
      </w:pPr>
    </w:p>
    <w:p>
      <w:pPr>
        <w:jc w:val="center"/>
        <w:ind w:right="-519"/>
        <w:spacing w:after="0"/>
        <w:rPr>
          <w:sz w:val="20"/>
          <w:szCs w:val="20"/>
          <w:color w:val="auto"/>
        </w:rPr>
      </w:pPr>
      <w:r>
        <w:rPr>
          <w:rFonts w:ascii="Arial" w:cs="Arial" w:eastAsia="Arial" w:hAnsi="Arial"/>
          <w:sz w:val="25"/>
          <w:szCs w:val="25"/>
          <w:b w:val="1"/>
          <w:bCs w:val="1"/>
          <w:color w:val="auto"/>
        </w:rPr>
        <w:t>SECURITIES AND EXCHANGE COMMISSION</w:t>
      </w:r>
    </w:p>
    <w:p>
      <w:pPr>
        <w:spacing w:after="0" w:line="68"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Washington, D.C. 20549</w:t>
      </w:r>
    </w:p>
    <w:p>
      <w:pPr>
        <w:spacing w:after="0" w:line="50"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__________________________________</w:t>
      </w:r>
    </w:p>
    <w:p>
      <w:pPr>
        <w:spacing w:after="0" w:line="112" w:lineRule="exact"/>
        <w:rPr>
          <w:sz w:val="20"/>
          <w:szCs w:val="20"/>
          <w:color w:val="auto"/>
        </w:rPr>
      </w:pPr>
    </w:p>
    <w:p>
      <w:pPr>
        <w:jc w:val="center"/>
        <w:ind w:right="-519"/>
        <w:spacing w:after="0"/>
        <w:rPr>
          <w:sz w:val="20"/>
          <w:szCs w:val="20"/>
          <w:color w:val="auto"/>
        </w:rPr>
      </w:pPr>
      <w:r>
        <w:rPr>
          <w:rFonts w:ascii="Arial" w:cs="Arial" w:eastAsia="Arial" w:hAnsi="Arial"/>
          <w:sz w:val="25"/>
          <w:szCs w:val="25"/>
          <w:b w:val="1"/>
          <w:bCs w:val="1"/>
          <w:color w:val="auto"/>
        </w:rPr>
        <w:t>FORM 8-K</w:t>
      </w:r>
    </w:p>
    <w:p>
      <w:pPr>
        <w:spacing w:after="0" w:line="41"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___________________________________</w:t>
      </w:r>
    </w:p>
    <w:p>
      <w:pPr>
        <w:spacing w:after="0" w:line="36"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0" w:lineRule="exact"/>
        <w:rPr>
          <w:sz w:val="20"/>
          <w:szCs w:val="20"/>
          <w:color w:val="auto"/>
        </w:rPr>
      </w:pPr>
    </w:p>
    <w:p>
      <w:pPr>
        <w:spacing w:after="0" w:line="277" w:lineRule="exact"/>
        <w:rPr>
          <w:sz w:val="20"/>
          <w:szCs w:val="20"/>
          <w:color w:val="auto"/>
        </w:rPr>
      </w:pPr>
    </w:p>
    <w:p>
      <w:pPr>
        <w:ind w:left="3140"/>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December 15, 2022</w:t>
      </w:r>
    </w:p>
    <w:p>
      <w:pPr>
        <w:spacing w:after="0" w:line="306"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___________________________________</w:t>
      </w:r>
    </w:p>
    <w:p>
      <w:pPr>
        <w:spacing w:after="0" w:line="36" w:lineRule="exact"/>
        <w:rPr>
          <w:sz w:val="20"/>
          <w:szCs w:val="20"/>
          <w:color w:val="auto"/>
        </w:rPr>
      </w:pPr>
    </w:p>
    <w:p>
      <w:pPr>
        <w:jc w:val="center"/>
        <w:ind w:right="-519"/>
        <w:spacing w:after="0"/>
        <w:rPr>
          <w:sz w:val="20"/>
          <w:szCs w:val="20"/>
          <w:color w:val="auto"/>
        </w:rPr>
      </w:pPr>
      <w:r>
        <w:rPr>
          <w:rFonts w:ascii="Arial" w:cs="Arial" w:eastAsia="Arial" w:hAnsi="Arial"/>
          <w:sz w:val="29"/>
          <w:szCs w:val="29"/>
          <w:b w:val="1"/>
          <w:bCs w:val="1"/>
          <w:color w:val="auto"/>
        </w:rPr>
        <w:t>OPAL Fuels Inc.</w:t>
      </w:r>
    </w:p>
    <w:p>
      <w:pPr>
        <w:spacing w:after="0" w:line="89"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(Exact name of registrant as specified in its charter)</w:t>
      </w:r>
    </w:p>
    <w:p>
      <w:pPr>
        <w:spacing w:after="0" w:line="46"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___________________________________</w:t>
      </w:r>
    </w:p>
    <w:p>
      <w:pPr>
        <w:spacing w:after="0" w:line="306" w:lineRule="exact"/>
        <w:rPr>
          <w:sz w:val="20"/>
          <w:szCs w:val="20"/>
          <w:color w:val="auto"/>
        </w:rPr>
      </w:pPr>
    </w:p>
    <w:tbl>
      <w:tblPr>
        <w:tblLayout w:type="fixed"/>
        <w:tblInd w:w="800" w:type="dxa"/>
        <w:tblCellMar>
          <w:top w:w="0" w:type="dxa"/>
          <w:left w:w="0" w:type="dxa"/>
          <w:bottom w:w="0" w:type="dxa"/>
          <w:right w:w="0" w:type="dxa"/>
        </w:tblCellMar>
      </w:tblPr>
      <w:tr>
        <w:trPr>
          <w:trHeight w:val="233"/>
        </w:trPr>
        <w:tc>
          <w:tcPr>
            <w:tcW w:w="3740" w:type="dxa"/>
            <w:vAlign w:val="bottom"/>
          </w:tcPr>
          <w:p>
            <w:pPr>
              <w:jc w:val="center"/>
              <w:ind w:right="490"/>
              <w:spacing w:after="0"/>
              <w:rPr>
                <w:sz w:val="20"/>
                <w:szCs w:val="20"/>
                <w:color w:val="auto"/>
              </w:rPr>
            </w:pPr>
            <w:r>
              <w:rPr>
                <w:rFonts w:ascii="Arial" w:cs="Arial" w:eastAsia="Arial" w:hAnsi="Arial"/>
                <w:sz w:val="18"/>
                <w:szCs w:val="18"/>
                <w:b w:val="1"/>
                <w:bCs w:val="1"/>
                <w:color w:val="auto"/>
                <w:w w:val="91"/>
              </w:rPr>
              <w:t>Delaware</w:t>
            </w:r>
          </w:p>
        </w:tc>
        <w:tc>
          <w:tcPr>
            <w:tcW w:w="3080" w:type="dxa"/>
            <w:vAlign w:val="bottom"/>
          </w:tcPr>
          <w:p>
            <w:pPr>
              <w:jc w:val="right"/>
              <w:ind w:right="1030"/>
              <w:spacing w:after="0"/>
              <w:rPr>
                <w:sz w:val="20"/>
                <w:szCs w:val="20"/>
                <w:color w:val="auto"/>
              </w:rPr>
            </w:pPr>
            <w:r>
              <w:rPr>
                <w:rFonts w:ascii="Arial" w:cs="Arial" w:eastAsia="Arial" w:hAnsi="Arial"/>
                <w:sz w:val="18"/>
                <w:szCs w:val="18"/>
                <w:b w:val="1"/>
                <w:bCs w:val="1"/>
                <w:color w:val="auto"/>
              </w:rPr>
              <w:t>001-40272</w:t>
            </w:r>
          </w:p>
        </w:tc>
        <w:tc>
          <w:tcPr>
            <w:tcW w:w="2980" w:type="dxa"/>
            <w:vAlign w:val="bottom"/>
          </w:tcPr>
          <w:p>
            <w:pPr>
              <w:jc w:val="right"/>
              <w:ind w:right="710"/>
              <w:spacing w:after="0"/>
              <w:rPr>
                <w:sz w:val="20"/>
                <w:szCs w:val="20"/>
                <w:color w:val="auto"/>
              </w:rPr>
            </w:pPr>
            <w:r>
              <w:rPr>
                <w:rFonts w:ascii="Arial" w:cs="Arial" w:eastAsia="Arial" w:hAnsi="Arial"/>
                <w:sz w:val="18"/>
                <w:szCs w:val="18"/>
                <w:b w:val="1"/>
                <w:bCs w:val="1"/>
                <w:color w:val="auto"/>
              </w:rPr>
              <w:t>98-1578357</w:t>
            </w:r>
          </w:p>
        </w:tc>
      </w:tr>
      <w:tr>
        <w:trPr>
          <w:trHeight w:val="216"/>
        </w:trPr>
        <w:tc>
          <w:tcPr>
            <w:tcW w:w="3740" w:type="dxa"/>
            <w:vAlign w:val="bottom"/>
          </w:tcPr>
          <w:p>
            <w:pPr>
              <w:jc w:val="center"/>
              <w:ind w:right="490"/>
              <w:spacing w:after="0"/>
              <w:rPr>
                <w:sz w:val="20"/>
                <w:szCs w:val="20"/>
                <w:color w:val="auto"/>
              </w:rPr>
            </w:pPr>
            <w:r>
              <w:rPr>
                <w:rFonts w:ascii="Arial" w:cs="Arial" w:eastAsia="Arial" w:hAnsi="Arial"/>
                <w:sz w:val="18"/>
                <w:szCs w:val="18"/>
                <w:color w:val="auto"/>
                <w:w w:val="92"/>
              </w:rPr>
              <w:t>(State or other jurisdiction of</w:t>
            </w:r>
          </w:p>
        </w:tc>
        <w:tc>
          <w:tcPr>
            <w:tcW w:w="3080" w:type="dxa"/>
            <w:vAlign w:val="bottom"/>
          </w:tcPr>
          <w:p>
            <w:pPr>
              <w:jc w:val="center"/>
              <w:spacing w:after="0"/>
              <w:rPr>
                <w:sz w:val="20"/>
                <w:szCs w:val="20"/>
                <w:color w:val="auto"/>
              </w:rPr>
            </w:pPr>
            <w:r>
              <w:rPr>
                <w:rFonts w:ascii="Arial" w:cs="Arial" w:eastAsia="Arial" w:hAnsi="Arial"/>
                <w:sz w:val="18"/>
                <w:szCs w:val="18"/>
                <w:color w:val="auto"/>
                <w:w w:val="93"/>
              </w:rPr>
              <w:t>(Commission File Number)</w:t>
            </w:r>
          </w:p>
        </w:tc>
        <w:tc>
          <w:tcPr>
            <w:tcW w:w="2980" w:type="dxa"/>
            <w:vAlign w:val="bottom"/>
          </w:tcPr>
          <w:p>
            <w:pPr>
              <w:jc w:val="center"/>
              <w:ind w:left="410"/>
              <w:spacing w:after="0"/>
              <w:rPr>
                <w:sz w:val="20"/>
                <w:szCs w:val="20"/>
                <w:color w:val="auto"/>
              </w:rPr>
            </w:pPr>
            <w:r>
              <w:rPr>
                <w:rFonts w:ascii="Arial" w:cs="Arial" w:eastAsia="Arial" w:hAnsi="Arial"/>
                <w:sz w:val="18"/>
                <w:szCs w:val="18"/>
                <w:color w:val="auto"/>
                <w:w w:val="94"/>
              </w:rPr>
              <w:t>(IRS Employer Identification No.)</w:t>
            </w:r>
          </w:p>
        </w:tc>
      </w:tr>
      <w:tr>
        <w:trPr>
          <w:trHeight w:val="230"/>
        </w:trPr>
        <w:tc>
          <w:tcPr>
            <w:tcW w:w="3740" w:type="dxa"/>
            <w:vAlign w:val="bottom"/>
          </w:tcPr>
          <w:p>
            <w:pPr>
              <w:jc w:val="center"/>
              <w:ind w:right="490"/>
              <w:spacing w:after="0"/>
              <w:rPr>
                <w:sz w:val="20"/>
                <w:szCs w:val="20"/>
                <w:color w:val="auto"/>
              </w:rPr>
            </w:pPr>
            <w:r>
              <w:rPr>
                <w:rFonts w:ascii="Arial" w:cs="Arial" w:eastAsia="Arial" w:hAnsi="Arial"/>
                <w:sz w:val="18"/>
                <w:szCs w:val="18"/>
                <w:color w:val="auto"/>
                <w:w w:val="94"/>
              </w:rPr>
              <w:t>incorporation)</w:t>
            </w:r>
          </w:p>
        </w:tc>
        <w:tc>
          <w:tcPr>
            <w:tcW w:w="3080" w:type="dxa"/>
            <w:vAlign w:val="bottom"/>
          </w:tcPr>
          <w:p>
            <w:pPr>
              <w:spacing w:after="0"/>
              <w:rPr>
                <w:sz w:val="20"/>
                <w:szCs w:val="20"/>
                <w:color w:val="auto"/>
              </w:rPr>
            </w:pPr>
          </w:p>
        </w:tc>
        <w:tc>
          <w:tcPr>
            <w:tcW w:w="2980" w:type="dxa"/>
            <w:vAlign w:val="bottom"/>
          </w:tcPr>
          <w:p>
            <w:pPr>
              <w:spacing w:after="0"/>
              <w:rPr>
                <w:sz w:val="20"/>
                <w:szCs w:val="20"/>
                <w:color w:val="auto"/>
              </w:rPr>
            </w:pPr>
          </w:p>
        </w:tc>
      </w:tr>
      <w:tr>
        <w:trPr>
          <w:trHeight w:val="252"/>
        </w:trPr>
        <w:tc>
          <w:tcPr>
            <w:tcW w:w="3740" w:type="dxa"/>
            <w:vAlign w:val="bottom"/>
          </w:tcPr>
          <w:p>
            <w:pPr>
              <w:jc w:val="center"/>
              <w:ind w:right="490"/>
              <w:spacing w:after="0"/>
              <w:rPr>
                <w:sz w:val="20"/>
                <w:szCs w:val="20"/>
                <w:color w:val="auto"/>
              </w:rPr>
            </w:pPr>
            <w:r>
              <w:rPr>
                <w:rFonts w:ascii="Arial" w:cs="Arial" w:eastAsia="Arial" w:hAnsi="Arial"/>
                <w:sz w:val="18"/>
                <w:szCs w:val="18"/>
                <w:b w:val="1"/>
                <w:bCs w:val="1"/>
                <w:color w:val="auto"/>
                <w:w w:val="90"/>
              </w:rPr>
              <w:t>One North Lexington Avenue</w:t>
            </w:r>
            <w:r>
              <w:rPr>
                <w:rFonts w:ascii="Arial" w:cs="Arial" w:eastAsia="Arial" w:hAnsi="Arial"/>
                <w:sz w:val="18"/>
                <w:szCs w:val="18"/>
                <w:b w:val="1"/>
                <w:bCs w:val="1"/>
                <w:color w:val="3051F2"/>
                <w:w w:val="90"/>
              </w:rPr>
              <w:t>,</w:t>
            </w:r>
            <w:r>
              <w:rPr>
                <w:rFonts w:ascii="Arial" w:cs="Arial" w:eastAsia="Arial" w:hAnsi="Arial"/>
                <w:sz w:val="18"/>
                <w:szCs w:val="18"/>
                <w:b w:val="1"/>
                <w:bCs w:val="1"/>
                <w:color w:val="auto"/>
                <w:w w:val="90"/>
              </w:rPr>
              <w:t xml:space="preserve"> Suite 1450</w:t>
            </w:r>
          </w:p>
        </w:tc>
        <w:tc>
          <w:tcPr>
            <w:tcW w:w="3080" w:type="dxa"/>
            <w:vAlign w:val="bottom"/>
          </w:tcPr>
          <w:p>
            <w:pPr>
              <w:spacing w:after="0"/>
              <w:rPr>
                <w:sz w:val="21"/>
                <w:szCs w:val="21"/>
                <w:color w:val="auto"/>
              </w:rPr>
            </w:pPr>
          </w:p>
        </w:tc>
        <w:tc>
          <w:tcPr>
            <w:tcW w:w="2980" w:type="dxa"/>
            <w:vAlign w:val="bottom"/>
          </w:tcPr>
          <w:p>
            <w:pPr>
              <w:spacing w:after="0"/>
              <w:rPr>
                <w:sz w:val="21"/>
                <w:szCs w:val="21"/>
                <w:color w:val="auto"/>
              </w:rPr>
            </w:pPr>
          </w:p>
        </w:tc>
      </w:tr>
      <w:tr>
        <w:trPr>
          <w:trHeight w:val="234"/>
        </w:trPr>
        <w:tc>
          <w:tcPr>
            <w:tcW w:w="3740" w:type="dxa"/>
            <w:vAlign w:val="bottom"/>
          </w:tcPr>
          <w:p>
            <w:pPr>
              <w:jc w:val="center"/>
              <w:ind w:right="490"/>
              <w:spacing w:after="0"/>
              <w:rPr>
                <w:sz w:val="20"/>
                <w:szCs w:val="20"/>
                <w:color w:val="auto"/>
              </w:rPr>
            </w:pPr>
            <w:r>
              <w:rPr>
                <w:rFonts w:ascii="Arial" w:cs="Arial" w:eastAsia="Arial" w:hAnsi="Arial"/>
                <w:sz w:val="18"/>
                <w:szCs w:val="18"/>
                <w:b w:val="1"/>
                <w:bCs w:val="1"/>
                <w:color w:val="auto"/>
                <w:w w:val="92"/>
              </w:rPr>
              <w:t>White Plains, New York</w:t>
            </w:r>
          </w:p>
        </w:tc>
        <w:tc>
          <w:tcPr>
            <w:tcW w:w="3080" w:type="dxa"/>
            <w:vAlign w:val="bottom"/>
          </w:tcPr>
          <w:p>
            <w:pPr>
              <w:spacing w:after="0"/>
              <w:rPr>
                <w:sz w:val="20"/>
                <w:szCs w:val="20"/>
                <w:color w:val="auto"/>
              </w:rPr>
            </w:pPr>
          </w:p>
        </w:tc>
        <w:tc>
          <w:tcPr>
            <w:tcW w:w="2980" w:type="dxa"/>
            <w:vAlign w:val="bottom"/>
          </w:tcPr>
          <w:p>
            <w:pPr>
              <w:jc w:val="right"/>
              <w:ind w:right="930"/>
              <w:spacing w:after="0"/>
              <w:rPr>
                <w:sz w:val="20"/>
                <w:szCs w:val="20"/>
                <w:color w:val="auto"/>
              </w:rPr>
            </w:pPr>
            <w:r>
              <w:rPr>
                <w:rFonts w:ascii="Arial" w:cs="Arial" w:eastAsia="Arial" w:hAnsi="Arial"/>
                <w:sz w:val="18"/>
                <w:szCs w:val="18"/>
                <w:b w:val="1"/>
                <w:bCs w:val="1"/>
                <w:color w:val="auto"/>
              </w:rPr>
              <w:t>10601</w:t>
            </w:r>
          </w:p>
        </w:tc>
      </w:tr>
      <w:tr>
        <w:trPr>
          <w:trHeight w:val="283"/>
        </w:trPr>
        <w:tc>
          <w:tcPr>
            <w:tcW w:w="3740" w:type="dxa"/>
            <w:vAlign w:val="bottom"/>
          </w:tcPr>
          <w:p>
            <w:pPr>
              <w:jc w:val="center"/>
              <w:ind w:right="490"/>
              <w:spacing w:after="0"/>
              <w:rPr>
                <w:sz w:val="20"/>
                <w:szCs w:val="20"/>
                <w:color w:val="auto"/>
              </w:rPr>
            </w:pPr>
            <w:r>
              <w:rPr>
                <w:rFonts w:ascii="Arial" w:cs="Arial" w:eastAsia="Arial" w:hAnsi="Arial"/>
                <w:sz w:val="18"/>
                <w:szCs w:val="18"/>
                <w:color w:val="auto"/>
                <w:w w:val="92"/>
              </w:rPr>
              <w:t>(Address of principal executive offices)</w:t>
            </w:r>
          </w:p>
        </w:tc>
        <w:tc>
          <w:tcPr>
            <w:tcW w:w="3080" w:type="dxa"/>
            <w:vAlign w:val="bottom"/>
          </w:tcPr>
          <w:p>
            <w:pPr>
              <w:spacing w:after="0"/>
              <w:rPr>
                <w:sz w:val="24"/>
                <w:szCs w:val="24"/>
                <w:color w:val="auto"/>
              </w:rPr>
            </w:pPr>
          </w:p>
        </w:tc>
        <w:tc>
          <w:tcPr>
            <w:tcW w:w="2980" w:type="dxa"/>
            <w:vAlign w:val="bottom"/>
          </w:tcPr>
          <w:p>
            <w:pPr>
              <w:jc w:val="center"/>
              <w:ind w:left="410"/>
              <w:spacing w:after="0"/>
              <w:rPr>
                <w:sz w:val="20"/>
                <w:szCs w:val="20"/>
                <w:color w:val="auto"/>
              </w:rPr>
            </w:pPr>
            <w:r>
              <w:rPr>
                <w:rFonts w:ascii="Arial" w:cs="Arial" w:eastAsia="Arial" w:hAnsi="Arial"/>
                <w:sz w:val="18"/>
                <w:szCs w:val="18"/>
                <w:color w:val="auto"/>
                <w:w w:val="94"/>
              </w:rPr>
              <w:t>(Zip Code)</w:t>
            </w:r>
          </w:p>
        </w:tc>
      </w:tr>
    </w:tbl>
    <w:p>
      <w:pPr>
        <w:spacing w:after="0" w:line="292" w:lineRule="exact"/>
        <w:rPr>
          <w:sz w:val="20"/>
          <w:szCs w:val="20"/>
          <w:color w:val="auto"/>
        </w:rPr>
      </w:pPr>
    </w:p>
    <w:p>
      <w:pPr>
        <w:ind w:left="318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(914) 705-4000</w:t>
      </w:r>
    </w:p>
    <w:p>
      <w:pPr>
        <w:spacing w:after="0" w:line="320"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Not Applicable</w:t>
      </w:r>
    </w:p>
    <w:p>
      <w:pPr>
        <w:spacing w:after="0" w:line="81"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48"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___________________________________</w:t>
      </w:r>
    </w:p>
    <w:p>
      <w:pPr>
        <w:spacing w:after="0" w:line="20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82" w:lineRule="exact"/>
        <w:rPr>
          <w:sz w:val="20"/>
          <w:szCs w:val="20"/>
          <w:color w:val="auto"/>
        </w:rPr>
      </w:pPr>
    </w:p>
    <w:p>
      <w:pPr>
        <w:ind w:left="700" w:hanging="449"/>
        <w:spacing w:after="0"/>
        <w:tabs>
          <w:tab w:leader="none" w:pos="700" w:val="left"/>
        </w:tabs>
        <w:numPr>
          <w:ilvl w:val="0"/>
          <w:numId w:val="1"/>
        </w:numPr>
        <w:rPr>
          <w:rFonts w:ascii="MS PGothic" w:cs="MS PGothic" w:eastAsia="MS PGothic" w:hAnsi="MS PGothic"/>
          <w:sz w:val="40"/>
          <w:szCs w:val="40"/>
          <w:color w:val="auto"/>
          <w:vertAlign w:val="subscript"/>
        </w:rPr>
      </w:pPr>
      <w:r>
        <w:rPr>
          <w:rFonts w:ascii="Arial" w:cs="Arial" w:eastAsia="Arial" w:hAnsi="Arial"/>
          <w:sz w:val="18"/>
          <w:szCs w:val="18"/>
          <w:color w:val="auto"/>
        </w:rPr>
        <w:t>Written communications pursuant to Rule 425 under the Securities Act (17 CFR 230.425)</w:t>
      </w:r>
    </w:p>
    <w:p>
      <w:pPr>
        <w:spacing w:after="0" w:line="161" w:lineRule="exact"/>
        <w:rPr>
          <w:sz w:val="20"/>
          <w:szCs w:val="20"/>
          <w:color w:val="auto"/>
        </w:rPr>
      </w:pPr>
    </w:p>
    <w:p>
      <w:pPr>
        <w:ind w:left="700" w:hanging="442"/>
        <w:spacing w:after="0"/>
        <w:tabs>
          <w:tab w:leader="none" w:pos="70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rPr>
      </w:pPr>
    </w:p>
    <w:p>
      <w:pPr>
        <w:ind w:left="700" w:hanging="442"/>
        <w:spacing w:after="0"/>
        <w:tabs>
          <w:tab w:leader="none" w:pos="70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rPr>
      </w:pPr>
    </w:p>
    <w:p>
      <w:pPr>
        <w:ind w:left="700" w:hanging="442"/>
        <w:spacing w:after="0"/>
        <w:tabs>
          <w:tab w:leader="none" w:pos="70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ectPr>
          <w:pgSz w:w="11900" w:h="16838" w:orient="portrait"/>
          <w:cols w:equalWidth="0" w:num="1">
            <w:col w:w="10720"/>
          </w:cols>
          <w:pgMar w:left="320" w:top="1143" w:right="859" w:bottom="1440" w:gutter="0" w:footer="0" w:header="0"/>
        </w:sectPr>
      </w:pPr>
    </w:p>
    <w:p>
      <w:pPr>
        <w:spacing w:after="0" w:line="29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73" w:lineRule="exact"/>
        <w:rPr>
          <w:sz w:val="20"/>
          <w:szCs w:val="20"/>
          <w:color w:val="auto"/>
        </w:rPr>
      </w:pPr>
    </w:p>
    <w:p>
      <w:pPr>
        <w:jc w:val="center"/>
        <w:ind w:left="120"/>
        <w:spacing w:after="0"/>
        <w:rPr>
          <w:sz w:val="20"/>
          <w:szCs w:val="20"/>
          <w:color w:val="auto"/>
        </w:rPr>
      </w:pPr>
      <w:r>
        <w:rPr>
          <w:rFonts w:ascii="Arial" w:cs="Arial" w:eastAsia="Arial" w:hAnsi="Arial"/>
          <w:sz w:val="18"/>
          <w:szCs w:val="18"/>
          <w:b w:val="1"/>
          <w:bCs w:val="1"/>
          <w:u w:val="single" w:color="auto"/>
          <w:color w:val="auto"/>
        </w:rPr>
        <w:t>Title of each class</w:t>
      </w:r>
    </w:p>
    <w:p>
      <w:pPr>
        <w:spacing w:after="0" w:line="67" w:lineRule="exact"/>
        <w:rPr>
          <w:sz w:val="20"/>
          <w:szCs w:val="20"/>
          <w:color w:val="auto"/>
        </w:rPr>
      </w:pPr>
    </w:p>
    <w:p>
      <w:pPr>
        <w:jc w:val="center"/>
        <w:ind w:left="120"/>
        <w:spacing w:after="0"/>
        <w:rPr>
          <w:sz w:val="20"/>
          <w:szCs w:val="20"/>
          <w:color w:val="auto"/>
        </w:rPr>
      </w:pPr>
      <w:r>
        <w:rPr>
          <w:rFonts w:ascii="Arial" w:cs="Arial" w:eastAsia="Arial" w:hAnsi="Arial"/>
          <w:sz w:val="18"/>
          <w:szCs w:val="18"/>
          <w:color w:val="auto"/>
        </w:rPr>
        <w:t>Class A Common Stock, par value $.0001 per share</w:t>
      </w:r>
    </w:p>
    <w:p>
      <w:pPr>
        <w:spacing w:after="0" w:line="77" w:lineRule="exact"/>
        <w:rPr>
          <w:sz w:val="20"/>
          <w:szCs w:val="20"/>
          <w:color w:val="auto"/>
        </w:rPr>
      </w:pPr>
    </w:p>
    <w:p>
      <w:pPr>
        <w:ind w:left="20"/>
        <w:spacing w:after="0" w:line="277" w:lineRule="auto"/>
        <w:rPr>
          <w:sz w:val="20"/>
          <w:szCs w:val="20"/>
          <w:color w:val="auto"/>
        </w:rPr>
      </w:pPr>
      <w:r>
        <w:rPr>
          <w:rFonts w:ascii="Arial" w:cs="Arial" w:eastAsia="Arial" w:hAnsi="Arial"/>
          <w:sz w:val="18"/>
          <w:szCs w:val="18"/>
          <w:color w:val="auto"/>
        </w:rPr>
        <w:t>Warrants, each whole warrant exercisable for one share of Class A Common Stock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Trading Symbol(s)</w:t>
      </w:r>
    </w:p>
    <w:p>
      <w:pPr>
        <w:spacing w:after="0" w:line="9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OPAL</w:t>
      </w:r>
    </w:p>
    <w:p>
      <w:pPr>
        <w:spacing w:after="0" w:line="18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OPALW</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2" w:lineRule="exact"/>
        <w:rPr>
          <w:sz w:val="20"/>
          <w:szCs w:val="20"/>
          <w:color w:val="auto"/>
        </w:rPr>
      </w:pPr>
    </w:p>
    <w:p>
      <w:pPr>
        <w:jc w:val="center"/>
        <w:ind w:right="120"/>
        <w:spacing w:after="0"/>
        <w:rPr>
          <w:sz w:val="20"/>
          <w:szCs w:val="20"/>
          <w:color w:val="auto"/>
        </w:rPr>
      </w:pPr>
      <w:r>
        <w:rPr>
          <w:rFonts w:ascii="Arial" w:cs="Arial" w:eastAsia="Arial" w:hAnsi="Arial"/>
          <w:sz w:val="15"/>
          <w:szCs w:val="15"/>
          <w:b w:val="1"/>
          <w:bCs w:val="1"/>
          <w:u w:val="single" w:color="auto"/>
          <w:color w:val="auto"/>
        </w:rPr>
        <w:t>Name of each exchange on which registered</w:t>
      </w:r>
    </w:p>
    <w:p>
      <w:pPr>
        <w:spacing w:after="0" w:line="102"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The Nasdaq Stock Market LLC</w:t>
      </w:r>
    </w:p>
    <w:p>
      <w:pPr>
        <w:spacing w:after="0" w:line="18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Nasdaq Stock Market LLC</w:t>
      </w:r>
    </w:p>
    <w:p>
      <w:pPr>
        <w:spacing w:after="0" w:line="346" w:lineRule="exact"/>
        <w:rPr>
          <w:sz w:val="20"/>
          <w:szCs w:val="20"/>
          <w:color w:val="auto"/>
        </w:rPr>
      </w:pPr>
    </w:p>
    <w:p>
      <w:pPr>
        <w:sectPr>
          <w:pgSz w:w="11900" w:h="16838" w:orient="portrait"/>
          <w:cols w:equalWidth="0" w:num="3">
            <w:col w:w="4640" w:space="120"/>
            <w:col w:w="1780" w:space="720"/>
            <w:col w:w="3460"/>
          </w:cols>
          <w:pgMar w:left="320" w:top="1143" w:right="859" w:bottom="1440" w:gutter="0" w:footer="0" w:header="0"/>
          <w:type w:val="continuous"/>
        </w:sect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ectPr>
          <w:pgSz w:w="11900" w:h="16838" w:orient="portrait"/>
          <w:cols w:equalWidth="0" w:num="1">
            <w:col w:w="10720"/>
          </w:cols>
          <w:pgMar w:left="320" w:top="1143" w:right="859" w:bottom="1440" w:gutter="0" w:footer="0" w:header="0"/>
          <w:type w:val="continuous"/>
        </w:sectPr>
      </w:pPr>
    </w:p>
    <w:bookmarkStart w:id="2" w:name="page3"/>
    <w:bookmarkEnd w:id="2"/>
    <w:p>
      <w:pPr>
        <w:spacing w:after="0" w:line="207" w:lineRule="exact"/>
        <w:tabs>
          <w:tab w:leader="none" w:pos="214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18"/>
          <w:szCs w:val="18"/>
          <w:color w:val="auto"/>
        </w:rPr>
        <w:t>☒</w:t>
      </w:r>
    </w:p>
    <w:p>
      <w:pPr>
        <w:spacing w:after="0" w:line="170" w:lineRule="exact"/>
        <w:rPr>
          <w:sz w:val="20"/>
          <w:szCs w:val="20"/>
          <w:color w:val="auto"/>
        </w:rPr>
      </w:pPr>
    </w:p>
    <w:p>
      <w:pPr>
        <w:spacing w:after="0" w:line="233" w:lineRule="exact"/>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MS PGothic" w:cs="MS PGothic" w:eastAsia="MS PGothic" w:hAnsi="MS PGothic"/>
          <w:sz w:val="18"/>
          <w:szCs w:val="18"/>
          <w:color w:val="auto"/>
          <w:highlight w:val="black"/>
        </w:rPr>
        <w:t>☐</w:t>
      </w:r>
    </w:p>
    <w:p>
      <w:pPr>
        <w:sectPr>
          <w:pgSz w:w="11900" w:h="16838" w:orient="portrait"/>
          <w:cols w:equalWidth="0" w:num="1">
            <w:col w:w="11240"/>
          </w:cols>
          <w:pgMar w:left="320" w:top="1152"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UPS Agreement</w:t>
      </w:r>
    </w:p>
    <w:p>
      <w:pPr>
        <w:spacing w:after="0" w:line="248" w:lineRule="exact"/>
        <w:rPr>
          <w:sz w:val="20"/>
          <w:szCs w:val="20"/>
          <w:color w:val="auto"/>
        </w:rPr>
      </w:pPr>
    </w:p>
    <w:p>
      <w:pPr>
        <w:jc w:val="both"/>
        <w:spacing w:after="0" w:line="314" w:lineRule="auto"/>
        <w:rPr>
          <w:sz w:val="20"/>
          <w:szCs w:val="20"/>
          <w:color w:val="auto"/>
        </w:rPr>
      </w:pPr>
      <w:r>
        <w:rPr>
          <w:rFonts w:ascii="Arial" w:cs="Arial" w:eastAsia="Arial" w:hAnsi="Arial"/>
          <w:sz w:val="16"/>
          <w:szCs w:val="16"/>
          <w:color w:val="auto"/>
        </w:rPr>
        <w:t>On December 15, 2022, OPAL Fuels Inc. (the “</w:t>
      </w:r>
      <w:r>
        <w:rPr>
          <w:rFonts w:ascii="Arial" w:cs="Arial" w:eastAsia="Arial" w:hAnsi="Arial"/>
          <w:sz w:val="16"/>
          <w:szCs w:val="16"/>
          <w:b w:val="1"/>
          <w:bCs w:val="1"/>
          <w:color w:val="auto"/>
        </w:rPr>
        <w:t>Company</w:t>
      </w:r>
      <w:r>
        <w:rPr>
          <w:rFonts w:ascii="Arial" w:cs="Arial" w:eastAsia="Arial" w:hAnsi="Arial"/>
          <w:sz w:val="16"/>
          <w:szCs w:val="16"/>
          <w:color w:val="auto"/>
        </w:rPr>
        <w:t>”) announced its entry into a long-term agreement with UPS ("UPS Agreement") pursuant to which the Company will provide operations and maintenance services to 51 UPS renewable natural gas dispensing stations across the United States. Under the terms of the agreement, the Company will receive an amount based on an agreed price per gas gallon equivalent (“</w:t>
      </w:r>
      <w:r>
        <w:rPr>
          <w:rFonts w:ascii="Arial" w:cs="Arial" w:eastAsia="Arial" w:hAnsi="Arial"/>
          <w:sz w:val="16"/>
          <w:szCs w:val="16"/>
          <w:b w:val="1"/>
          <w:bCs w:val="1"/>
          <w:color w:val="auto"/>
        </w:rPr>
        <w:t>GGE</w:t>
      </w:r>
      <w:r>
        <w:rPr>
          <w:rFonts w:ascii="Arial" w:cs="Arial" w:eastAsia="Arial" w:hAnsi="Arial"/>
          <w:sz w:val="16"/>
          <w:szCs w:val="16"/>
          <w:color w:val="auto"/>
        </w:rPr>
        <w:t>”) dispensed at each station.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FM3 Credit Agreement</w:t>
      </w:r>
    </w:p>
    <w:p>
      <w:pPr>
        <w:spacing w:after="0" w:line="24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Also, on December 19, 2022, Fortistar Methane 3 LLC (“</w:t>
      </w:r>
      <w:r>
        <w:rPr>
          <w:rFonts w:ascii="Arial" w:cs="Arial" w:eastAsia="Arial" w:hAnsi="Arial"/>
          <w:sz w:val="17"/>
          <w:szCs w:val="17"/>
          <w:b w:val="1"/>
          <w:bCs w:val="1"/>
          <w:color w:val="auto"/>
        </w:rPr>
        <w:t>FM3</w:t>
      </w:r>
      <w:r>
        <w:rPr>
          <w:rFonts w:ascii="Arial" w:cs="Arial" w:eastAsia="Arial" w:hAnsi="Arial"/>
          <w:sz w:val="17"/>
          <w:szCs w:val="17"/>
          <w:color w:val="auto"/>
        </w:rPr>
        <w:t>”), an indirect subsidiary of Opal Fuels Inc. (the “</w:t>
      </w:r>
      <w:r>
        <w:rPr>
          <w:rFonts w:ascii="Arial" w:cs="Arial" w:eastAsia="Arial" w:hAnsi="Arial"/>
          <w:sz w:val="17"/>
          <w:szCs w:val="17"/>
          <w:b w:val="1"/>
          <w:bCs w:val="1"/>
          <w:color w:val="auto"/>
        </w:rPr>
        <w:t>Company</w:t>
      </w:r>
      <w:r>
        <w:rPr>
          <w:rFonts w:ascii="Arial" w:cs="Arial" w:eastAsia="Arial" w:hAnsi="Arial"/>
          <w:sz w:val="17"/>
          <w:szCs w:val="17"/>
          <w:color w:val="auto"/>
        </w:rPr>
        <w:t>”), which is the borrower under that $150 million Second Amended and Restated Credit Agreement, dated as of September 21, 2015, as amended (as so amended, the “</w:t>
      </w:r>
      <w:r>
        <w:rPr>
          <w:rFonts w:ascii="Arial" w:cs="Arial" w:eastAsia="Arial" w:hAnsi="Arial"/>
          <w:sz w:val="17"/>
          <w:szCs w:val="17"/>
          <w:b w:val="1"/>
          <w:bCs w:val="1"/>
          <w:color w:val="auto"/>
        </w:rPr>
        <w:t>FM3 Credit</w:t>
      </w:r>
      <w:r>
        <w:rPr>
          <w:rFonts w:ascii="Arial" w:cs="Arial" w:eastAsia="Arial" w:hAnsi="Arial"/>
          <w:sz w:val="17"/>
          <w:szCs w:val="17"/>
          <w:color w:val="auto"/>
        </w:rPr>
        <w:t xml:space="preserve"> </w:t>
      </w:r>
      <w:r>
        <w:rPr>
          <w:rFonts w:ascii="Arial" w:cs="Arial" w:eastAsia="Arial" w:hAnsi="Arial"/>
          <w:sz w:val="17"/>
          <w:szCs w:val="17"/>
          <w:b w:val="1"/>
          <w:bCs w:val="1"/>
          <w:color w:val="auto"/>
        </w:rPr>
        <w:t>Agreement</w:t>
      </w:r>
      <w:r>
        <w:rPr>
          <w:rFonts w:ascii="Arial" w:cs="Arial" w:eastAsia="Arial" w:hAnsi="Arial"/>
          <w:sz w:val="17"/>
          <w:szCs w:val="17"/>
          <w:color w:val="auto"/>
        </w:rPr>
        <w:t>”), provided by a lender group led by MUFG Union Bank Ltd, as administrative agent, and guaranteed by certain direct subsidiaries of FM3,</w:t>
      </w:r>
      <w:r>
        <w:rPr>
          <w:rFonts w:ascii="Arial" w:cs="Arial" w:eastAsia="Arial" w:hAnsi="Arial"/>
          <w:sz w:val="17"/>
          <w:szCs w:val="17"/>
          <w:b w:val="1"/>
          <w:bCs w:val="1"/>
          <w:color w:val="auto"/>
        </w:rPr>
        <w:t xml:space="preserve"> </w:t>
      </w:r>
      <w:r>
        <w:rPr>
          <w:rFonts w:ascii="Arial" w:cs="Arial" w:eastAsia="Arial" w:hAnsi="Arial"/>
          <w:sz w:val="17"/>
          <w:szCs w:val="17"/>
          <w:color w:val="auto"/>
        </w:rPr>
        <w:t>and Opal Fuels LLC (“</w:t>
      </w:r>
      <w:r>
        <w:rPr>
          <w:rFonts w:ascii="Arial" w:cs="Arial" w:eastAsia="Arial" w:hAnsi="Arial"/>
          <w:sz w:val="17"/>
          <w:szCs w:val="17"/>
          <w:b w:val="1"/>
          <w:bCs w:val="1"/>
          <w:color w:val="auto"/>
        </w:rPr>
        <w:t>Opal Fuels</w:t>
      </w:r>
      <w:r>
        <w:rPr>
          <w:rFonts w:ascii="Arial" w:cs="Arial" w:eastAsia="Arial" w:hAnsi="Arial"/>
          <w:sz w:val="17"/>
          <w:szCs w:val="17"/>
          <w:color w:val="auto"/>
        </w:rPr>
        <w:t>”), a direct subsidiary of the Company, and the other parties to the FM3 Credit Agreement entered into that Omnibus and Consent Agreement (the “</w:t>
      </w:r>
      <w:r>
        <w:rPr>
          <w:rFonts w:ascii="Arial" w:cs="Arial" w:eastAsia="Arial" w:hAnsi="Arial"/>
          <w:sz w:val="17"/>
          <w:szCs w:val="17"/>
          <w:b w:val="1"/>
          <w:bCs w:val="1"/>
          <w:color w:val="auto"/>
        </w:rPr>
        <w:t>FM3 Amendment</w:t>
      </w:r>
      <w:r>
        <w:rPr>
          <w:rFonts w:ascii="Arial" w:cs="Arial" w:eastAsia="Arial" w:hAnsi="Arial"/>
          <w:sz w:val="17"/>
          <w:szCs w:val="17"/>
          <w:color w:val="auto"/>
        </w:rPr>
        <w:t>”). The FM3 Amendment amended the FM3 Credit Agreement, among other things, to (a) extend the maturity date of the obligations thereunder from December 20, 2022 to March 20, 2023, (b) permit Opal Fuels to purchase the rights and obligations of certain exiting lenders at par, (c) prepay a portion of the outstanding loans made by the remaining lenders and (d) permit the release of certain project company subsidiaries of FM3 from the collateral securing the obligations under the FM3 Credit Agreement. Upon consummation of the FM3 Amendment, Opal Fuels holds approximately $45 million of the outstanding loans under the FM3 Credit Agreement as an affiliate lender.</w:t>
      </w:r>
    </w:p>
    <w:p>
      <w:pPr>
        <w:spacing w:after="0" w:line="20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foregoing descriptions of the UPS Agreement and FM3 Credit Agreement are qualified in entirety by reference to the UPS Agreement and FM3 Credit Agreement, which are filed as Exhibit 10.1 and 10.2, respectively, to this Current Report on Form 8-K and is incorporated by reference herein.</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5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This Current Report on Form 8-K contains forward-looking statements within the meaning of the federal securities laws, including statements regarding the expected acceptance by the Company of all validly tendered warrants for exchange, the closing of the Offer and Consent Solicitation, and the consummation of the Post-Offer Exchange. These forward-looking statements generally are identified by the words “believe,” “project,” “expect,” “anticipate,” “estimate,” “intend,” “strategy,” “future,” “opportunity,” “plan,” “may,” “should,” “will,” “would,” “will be,” “will continue,” “will likely result,” and similar expressions, but the absence of these words does not mean that a statement is not forward-looking. Forward-looking statements are predictions, projections, and other statements about future events that are based on current expectations and assumptions and, as a result, are subject to risks and uncertainties. Many factors could cause actual future events to differ materially from the forward-looking statements in this Current Report on Form 8-K, including, but not limited to those described under the section entitled “Risk Factors” in the Company’s Registration Statement on Form S-4, filed November 18, 2022, as such factors may be updated from time to time in the Company’s periodic filings with the SEC, which are accessible on the SEC’s website at www.sec.gov.</w:t>
      </w:r>
    </w:p>
    <w:p>
      <w:pPr>
        <w:spacing w:after="0" w:line="22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Current Report on Form 8-K may not occur and actual results could differ materially and adversely from those anticipated.</w:t>
      </w:r>
    </w:p>
    <w:p>
      <w:pPr>
        <w:spacing w:after="0" w:line="1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Forward-looking statements speak only as of the date they are made. Readers are cautioned not to put undue reliance on forward-looking statements, and we assume no obligation and do not intend to update or revise these forward-looking statements, whether as a result of new information, future events or otherwise. We do not give any assurance that we will achieve our expectations.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ectPr>
          <w:pgSz w:w="11900" w:h="16838" w:orient="portrait"/>
          <w:cols w:equalWidth="0" w:num="1">
            <w:col w:w="11240"/>
          </w:cols>
          <w:pgMar w:left="320" w:top="1323" w:right="339" w:bottom="1440" w:gutter="0" w:footer="0" w:header="0"/>
        </w:sectPr>
      </w:pPr>
    </w:p>
    <w:bookmarkStart w:id="4" w:name="page5"/>
    <w:bookmarkEnd w:id="4"/>
    <w:p>
      <w:pPr>
        <w:spacing w:after="0" w:line="63" w:lineRule="exact"/>
        <w:rPr>
          <w:sz w:val="20"/>
          <w:szCs w:val="20"/>
          <w:color w:val="auto"/>
        </w:rPr>
      </w:pPr>
    </w:p>
    <w:p>
      <w:pPr>
        <w:spacing w:after="0"/>
        <w:tabs>
          <w:tab w:leader="none" w:pos="2300" w:val="left"/>
        </w:tabs>
        <w:rPr>
          <w:sz w:val="20"/>
          <w:szCs w:val="20"/>
          <w:color w:val="auto"/>
        </w:rPr>
      </w:pPr>
      <w:r>
        <w:rPr>
          <w:rFonts w:ascii="Arial" w:cs="Arial" w:eastAsia="Arial" w:hAnsi="Arial"/>
          <w:sz w:val="18"/>
          <w:szCs w:val="18"/>
          <w:color w:val="auto"/>
        </w:rPr>
        <w:t>Exhibit Number</w:t>
      </w:r>
      <w:r>
        <w:rPr>
          <w:sz w:val="20"/>
          <w:szCs w:val="20"/>
          <w:color w:val="auto"/>
        </w:rPr>
        <w:tab/>
      </w:r>
      <w:r>
        <w:rPr>
          <w:rFonts w:ascii="Arial" w:cs="Arial" w:eastAsia="Arial" w:hAnsi="Arial"/>
          <w:sz w:val="16"/>
          <w:szCs w:val="16"/>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40640</wp:posOffset>
            </wp:positionV>
            <wp:extent cx="69265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26580" cy="8890"/>
                    </a:xfrm>
                    <a:prstGeom prst="rect">
                      <a:avLst/>
                    </a:prstGeom>
                    <a:noFill/>
                  </pic:spPr>
                </pic:pic>
              </a:graphicData>
            </a:graphic>
          </wp:anchor>
        </w:drawing>
      </w:r>
    </w:p>
    <w:p>
      <w:pPr>
        <w:sectPr>
          <w:pgSz w:w="11900" w:h="16838" w:orient="portrait"/>
          <w:cols w:equalWidth="0" w:num="1">
            <w:col w:w="10880"/>
          </w:cols>
          <w:pgMar w:left="340" w:top="1440" w:right="679" w:bottom="1440" w:gutter="0" w:footer="0" w:header="0"/>
        </w:sect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320" w:type="dxa"/>
            <w:vAlign w:val="bottom"/>
          </w:tcPr>
          <w:p>
            <w:pPr>
              <w:spacing w:after="0"/>
              <w:rPr>
                <w:sz w:val="20"/>
                <w:szCs w:val="20"/>
                <w:color w:val="auto"/>
              </w:rPr>
            </w:pPr>
            <w:r>
              <w:rPr>
                <w:rFonts w:ascii="Arial" w:cs="Arial" w:eastAsia="Arial" w:hAnsi="Arial"/>
                <w:sz w:val="18"/>
                <w:szCs w:val="18"/>
                <w:color w:val="auto"/>
              </w:rPr>
              <w:t>10.1</w:t>
            </w:r>
          </w:p>
        </w:tc>
        <w:tc>
          <w:tcPr>
            <w:tcW w:w="8560" w:type="dxa"/>
            <w:vAlign w:val="bottom"/>
            <w:tcBorders>
              <w:bottom w:val="single" w:sz="8" w:color="0000FF"/>
            </w:tcBorders>
            <w:gridSpan w:val="3"/>
          </w:tcPr>
          <w:p>
            <w:pPr>
              <w:spacing w:after="0"/>
              <w:rPr>
                <w:rFonts w:ascii="Arial" w:cs="Arial" w:eastAsia="Arial" w:hAnsi="Arial"/>
                <w:sz w:val="18"/>
                <w:szCs w:val="18"/>
                <w:color w:val="0000FF"/>
                <w:w w:val="91"/>
              </w:rPr>
            </w:pPr>
            <w:hyperlink r:id="rId10">
              <w:r>
                <w:rPr>
                  <w:rFonts w:ascii="Arial" w:cs="Arial" w:eastAsia="Arial" w:hAnsi="Arial"/>
                  <w:sz w:val="18"/>
                  <w:szCs w:val="18"/>
                  <w:color w:val="0000FF"/>
                  <w:w w:val="91"/>
                </w:rPr>
                <w:t>Service Contract Agreement , dated December 15, 2022, by and between OPAL Fuels Inc. and United Parcel Service</w:t>
              </w:r>
            </w:hyperlink>
          </w:p>
        </w:tc>
      </w:tr>
      <w:tr>
        <w:trPr>
          <w:trHeight w:val="210"/>
        </w:trPr>
        <w:tc>
          <w:tcPr>
            <w:tcW w:w="2320" w:type="dxa"/>
            <w:vAlign w:val="bottom"/>
          </w:tcPr>
          <w:p>
            <w:pPr>
              <w:spacing w:after="0"/>
              <w:rPr>
                <w:sz w:val="18"/>
                <w:szCs w:val="18"/>
                <w:color w:val="auto"/>
              </w:rPr>
            </w:pPr>
          </w:p>
        </w:tc>
        <w:tc>
          <w:tcPr>
            <w:tcW w:w="1880" w:type="dxa"/>
            <w:vAlign w:val="bottom"/>
            <w:tcBorders>
              <w:bottom w:val="single" w:sz="8" w:color="0000FF"/>
            </w:tcBorders>
          </w:tcPr>
          <w:p>
            <w:pPr>
              <w:spacing w:after="0"/>
              <w:rPr>
                <w:rFonts w:ascii="Arial" w:cs="Arial" w:eastAsia="Arial" w:hAnsi="Arial"/>
                <w:sz w:val="18"/>
                <w:szCs w:val="18"/>
                <w:color w:val="0000FF"/>
                <w:w w:val="90"/>
              </w:rPr>
            </w:pPr>
            <w:hyperlink r:id="rId10">
              <w:r>
                <w:rPr>
                  <w:rFonts w:ascii="Arial" w:cs="Arial" w:eastAsia="Arial" w:hAnsi="Arial"/>
                  <w:sz w:val="18"/>
                  <w:szCs w:val="18"/>
                  <w:color w:val="0000FF"/>
                  <w:w w:val="90"/>
                </w:rPr>
                <w:t>Oasis Supply Corporation</w:t>
              </w:r>
            </w:hyperlink>
          </w:p>
        </w:tc>
        <w:tc>
          <w:tcPr>
            <w:tcW w:w="6680" w:type="dxa"/>
            <w:vAlign w:val="bottom"/>
            <w:gridSpan w:val="2"/>
          </w:tcPr>
          <w:p>
            <w:pPr>
              <w:spacing w:after="0"/>
              <w:rPr>
                <w:sz w:val="18"/>
                <w:szCs w:val="18"/>
                <w:color w:val="auto"/>
              </w:rPr>
            </w:pPr>
          </w:p>
        </w:tc>
      </w:tr>
      <w:tr>
        <w:trPr>
          <w:trHeight w:val="250"/>
        </w:trPr>
        <w:tc>
          <w:tcPr>
            <w:tcW w:w="2320" w:type="dxa"/>
            <w:vAlign w:val="bottom"/>
          </w:tcPr>
          <w:p>
            <w:pPr>
              <w:spacing w:after="0"/>
              <w:rPr>
                <w:sz w:val="20"/>
                <w:szCs w:val="20"/>
                <w:color w:val="auto"/>
              </w:rPr>
            </w:pPr>
            <w:r>
              <w:rPr>
                <w:rFonts w:ascii="Arial" w:cs="Arial" w:eastAsia="Arial" w:hAnsi="Arial"/>
                <w:sz w:val="18"/>
                <w:szCs w:val="18"/>
                <w:color w:val="auto"/>
              </w:rPr>
              <w:t>10.2</w:t>
            </w:r>
          </w:p>
        </w:tc>
        <w:tc>
          <w:tcPr>
            <w:tcW w:w="8560" w:type="dxa"/>
            <w:vAlign w:val="bottom"/>
            <w:tcBorders>
              <w:bottom w:val="single" w:sz="8" w:color="0000FF"/>
            </w:tcBorders>
            <w:gridSpan w:val="3"/>
          </w:tcPr>
          <w:p>
            <w:pPr>
              <w:spacing w:after="0"/>
              <w:rPr>
                <w:rFonts w:ascii="Arial" w:cs="Arial" w:eastAsia="Arial" w:hAnsi="Arial"/>
                <w:sz w:val="18"/>
                <w:szCs w:val="18"/>
                <w:color w:val="0000FF"/>
                <w:w w:val="93"/>
              </w:rPr>
            </w:pPr>
            <w:hyperlink r:id="rId11">
              <w:r>
                <w:rPr>
                  <w:rFonts w:ascii="Arial" w:cs="Arial" w:eastAsia="Arial" w:hAnsi="Arial"/>
                  <w:sz w:val="18"/>
                  <w:szCs w:val="18"/>
                  <w:color w:val="0000FF"/>
                  <w:w w:val="93"/>
                </w:rPr>
                <w:t>FM3 Credit Agreement, dated December 19, 2022, by and between Fortistar Methane LLC, OPAL Fuels LLC and a</w:t>
              </w:r>
            </w:hyperlink>
          </w:p>
        </w:tc>
      </w:tr>
      <w:tr>
        <w:trPr>
          <w:trHeight w:val="209"/>
        </w:trPr>
        <w:tc>
          <w:tcPr>
            <w:tcW w:w="2320" w:type="dxa"/>
            <w:vAlign w:val="bottom"/>
          </w:tcPr>
          <w:p>
            <w:pPr>
              <w:spacing w:after="0"/>
              <w:rPr>
                <w:sz w:val="18"/>
                <w:szCs w:val="18"/>
                <w:color w:val="auto"/>
              </w:rPr>
            </w:pPr>
          </w:p>
        </w:tc>
        <w:tc>
          <w:tcPr>
            <w:tcW w:w="8560" w:type="dxa"/>
            <w:vAlign w:val="bottom"/>
            <w:gridSpan w:val="3"/>
          </w:tcPr>
          <w:p>
            <w:pPr>
              <w:spacing w:after="0"/>
              <w:rPr>
                <w:rFonts w:ascii="Arial" w:cs="Arial" w:eastAsia="Arial" w:hAnsi="Arial"/>
                <w:sz w:val="18"/>
                <w:szCs w:val="18"/>
                <w:color w:val="0000FF"/>
              </w:rPr>
            </w:pPr>
            <w:hyperlink r:id="rId11">
              <w:r>
                <w:rPr>
                  <w:rFonts w:ascii="Arial" w:cs="Arial" w:eastAsia="Arial" w:hAnsi="Arial"/>
                  <w:sz w:val="18"/>
                  <w:szCs w:val="18"/>
                  <w:color w:val="0000FF"/>
                </w:rPr>
                <w:t>syndicate of lenders led by MUFG Union Bank N.A. as administrative agent.</w:t>
              </w:r>
            </w:hyperlink>
          </w:p>
        </w:tc>
      </w:tr>
      <w:tr>
        <w:trPr>
          <w:trHeight w:val="20"/>
        </w:trPr>
        <w:tc>
          <w:tcPr>
            <w:tcW w:w="2320" w:type="dxa"/>
            <w:vAlign w:val="bottom"/>
          </w:tcPr>
          <w:p>
            <w:pPr>
              <w:spacing w:after="0" w:line="20" w:lineRule="exact"/>
              <w:rPr>
                <w:sz w:val="1"/>
                <w:szCs w:val="1"/>
                <w:color w:val="auto"/>
              </w:rPr>
            </w:pPr>
          </w:p>
        </w:tc>
        <w:tc>
          <w:tcPr>
            <w:tcW w:w="5560" w:type="dxa"/>
            <w:vAlign w:val="bottom"/>
            <w:gridSpan w:val="2"/>
            <w:shd w:val="clear" w:color="auto" w:fill="0000FF"/>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r>
      <w:tr>
        <w:trPr>
          <w:trHeight w:val="291"/>
        </w:trPr>
        <w:tc>
          <w:tcPr>
            <w:tcW w:w="2320" w:type="dxa"/>
            <w:vAlign w:val="bottom"/>
          </w:tcPr>
          <w:p>
            <w:pPr>
              <w:spacing w:after="0"/>
              <w:rPr>
                <w:sz w:val="20"/>
                <w:szCs w:val="20"/>
                <w:color w:val="auto"/>
              </w:rPr>
            </w:pPr>
            <w:r>
              <w:rPr>
                <w:rFonts w:ascii="Arial" w:cs="Arial" w:eastAsia="Arial" w:hAnsi="Arial"/>
                <w:sz w:val="18"/>
                <w:szCs w:val="18"/>
                <w:color w:val="auto"/>
              </w:rPr>
              <w:t>104</w:t>
            </w:r>
          </w:p>
        </w:tc>
        <w:tc>
          <w:tcPr>
            <w:tcW w:w="8560" w:type="dxa"/>
            <w:vAlign w:val="bottom"/>
            <w:gridSpan w:val="3"/>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bl>
    <w:p>
      <w:pPr>
        <w:sectPr>
          <w:pgSz w:w="11900" w:h="16838" w:orient="portrait"/>
          <w:cols w:equalWidth="0" w:num="1">
            <w:col w:w="10880"/>
          </w:cols>
          <w:pgMar w:left="340" w:top="1440" w:right="679" w:bottom="1440" w:gutter="0" w:footer="0" w:header="0"/>
          <w:type w:val="continuous"/>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SIGNATURE</w:t>
      </w:r>
    </w:p>
    <w:p>
      <w:pPr>
        <w:spacing w:after="0" w:line="27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20"/>
          <w:szCs w:val="20"/>
          <w:color w:val="auto"/>
        </w:rPr>
        <w:t>Date: December 21, 2022</w:t>
      </w:r>
    </w:p>
    <w:p>
      <w:pPr>
        <w:spacing w:after="0" w:line="61" w:lineRule="exact"/>
        <w:rPr>
          <w:sz w:val="20"/>
          <w:szCs w:val="20"/>
          <w:color w:val="auto"/>
        </w:rPr>
      </w:pPr>
    </w:p>
    <w:p>
      <w:pPr>
        <w:ind w:left="5820"/>
        <w:spacing w:after="0"/>
        <w:rPr>
          <w:sz w:val="20"/>
          <w:szCs w:val="20"/>
          <w:color w:val="auto"/>
        </w:rPr>
      </w:pPr>
      <w:r>
        <w:rPr>
          <w:rFonts w:ascii="Arial" w:cs="Arial" w:eastAsia="Arial" w:hAnsi="Arial"/>
          <w:sz w:val="20"/>
          <w:szCs w:val="20"/>
          <w:b w:val="1"/>
          <w:bCs w:val="1"/>
          <w:color w:val="auto"/>
        </w:rPr>
        <w:t>OPAL Fuels Inc.</w:t>
      </w:r>
    </w:p>
    <w:p>
      <w:pPr>
        <w:spacing w:after="0" w:line="332" w:lineRule="exact"/>
        <w:rPr>
          <w:sz w:val="20"/>
          <w:szCs w:val="20"/>
          <w:color w:val="auto"/>
        </w:rPr>
      </w:pPr>
    </w:p>
    <w:tbl>
      <w:tblPr>
        <w:tblLayout w:type="fixed"/>
        <w:tblInd w:w="5820" w:type="dxa"/>
        <w:tblCellMar>
          <w:top w:w="0" w:type="dxa"/>
          <w:left w:w="0" w:type="dxa"/>
          <w:bottom w:w="0" w:type="dxa"/>
          <w:right w:w="0" w:type="dxa"/>
        </w:tblCellMar>
      </w:tblP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4680" w:type="dxa"/>
            <w:vAlign w:val="bottom"/>
          </w:tcPr>
          <w:p>
            <w:pPr>
              <w:ind w:left="40"/>
              <w:spacing w:after="0"/>
              <w:rPr>
                <w:sz w:val="20"/>
                <w:szCs w:val="20"/>
                <w:color w:val="auto"/>
              </w:rPr>
            </w:pPr>
            <w:r>
              <w:rPr>
                <w:rFonts w:ascii="Arial" w:cs="Arial" w:eastAsia="Arial" w:hAnsi="Arial"/>
                <w:sz w:val="18"/>
                <w:szCs w:val="18"/>
                <w:color w:val="auto"/>
              </w:rPr>
              <w:t>/s/ Ann Anthony</w:t>
            </w:r>
          </w:p>
        </w:tc>
        <w:tc>
          <w:tcPr>
            <w:tcW w:w="0" w:type="dxa"/>
            <w:vAlign w:val="bottom"/>
          </w:tcPr>
          <w:p>
            <w:pPr>
              <w:spacing w:after="0"/>
              <w:rPr>
                <w:sz w:val="1"/>
                <w:szCs w:val="1"/>
                <w:color w:val="auto"/>
              </w:rPr>
            </w:pPr>
          </w:p>
        </w:tc>
      </w:tr>
      <w:tr>
        <w:trPr>
          <w:trHeight w:val="40"/>
        </w:trPr>
        <w:tc>
          <w:tcPr>
            <w:tcW w:w="740" w:type="dxa"/>
            <w:vAlign w:val="bottom"/>
            <w:vMerge w:val="restart"/>
          </w:tcPr>
          <w:p>
            <w:pPr>
              <w:spacing w:after="0"/>
              <w:rPr>
                <w:sz w:val="20"/>
                <w:szCs w:val="20"/>
                <w:color w:val="auto"/>
              </w:rPr>
            </w:pPr>
            <w:r>
              <w:rPr>
                <w:rFonts w:ascii="Arial" w:cs="Arial" w:eastAsia="Arial" w:hAnsi="Arial"/>
                <w:sz w:val="18"/>
                <w:szCs w:val="18"/>
                <w:color w:val="auto"/>
              </w:rPr>
              <w:t>Name:</w:t>
            </w:r>
          </w:p>
        </w:tc>
        <w:tc>
          <w:tcPr>
            <w:tcW w:w="46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740" w:type="dxa"/>
            <w:vAlign w:val="bottom"/>
            <w:vMerge w:val="continue"/>
          </w:tcPr>
          <w:p>
            <w:pPr>
              <w:spacing w:after="0"/>
              <w:rPr>
                <w:sz w:val="20"/>
                <w:szCs w:val="20"/>
                <w:color w:val="auto"/>
              </w:rPr>
            </w:pPr>
          </w:p>
        </w:tc>
        <w:tc>
          <w:tcPr>
            <w:tcW w:w="4680" w:type="dxa"/>
            <w:vAlign w:val="bottom"/>
          </w:tcPr>
          <w:p>
            <w:pPr>
              <w:ind w:left="40"/>
              <w:spacing w:after="0"/>
              <w:rPr>
                <w:sz w:val="20"/>
                <w:szCs w:val="20"/>
                <w:color w:val="auto"/>
              </w:rPr>
            </w:pPr>
            <w:r>
              <w:rPr>
                <w:rFonts w:ascii="Arial" w:cs="Arial" w:eastAsia="Arial" w:hAnsi="Arial"/>
                <w:sz w:val="18"/>
                <w:szCs w:val="18"/>
                <w:color w:val="auto"/>
              </w:rPr>
              <w:t>Ann Anthony</w:t>
            </w:r>
          </w:p>
        </w:tc>
        <w:tc>
          <w:tcPr>
            <w:tcW w:w="0" w:type="dxa"/>
            <w:vAlign w:val="bottom"/>
          </w:tcPr>
          <w:p>
            <w:pPr>
              <w:spacing w:after="0"/>
              <w:rPr>
                <w:sz w:val="1"/>
                <w:szCs w:val="1"/>
                <w:color w:val="auto"/>
              </w:rPr>
            </w:pPr>
          </w:p>
        </w:tc>
      </w:tr>
      <w:tr>
        <w:trPr>
          <w:trHeight w:val="283"/>
        </w:trPr>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4680" w:type="dxa"/>
            <w:vAlign w:val="bottom"/>
          </w:tcPr>
          <w:p>
            <w:pPr>
              <w:ind w:left="40"/>
              <w:spacing w:after="0"/>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1336" w:right="339" w:bottom="1440" w:gutter="0" w:footer="0" w:header="0"/>
        </w:sectPr>
      </w:pPr>
    </w:p>
    <w:bookmarkStart w:id="6" w:name="page7"/>
    <w:bookmarkEnd w:id="6"/>
    <w:p>
      <w:pPr>
        <w:spacing w:after="0" w:line="1" w:lineRule="exact"/>
        <w:rPr>
          <w:sz w:val="20"/>
          <w:szCs w:val="20"/>
          <w:color w:val="auto"/>
        </w:rPr>
      </w:pP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hyperlink" Target="https://www.sec.gov/Archives/edgar/data/1842279/000184227922000070/opal-upsxagreementxredacte.htm" TargetMode="External"/><Relationship Id="rId11" Type="http://schemas.openxmlformats.org/officeDocument/2006/relationships/hyperlink" Target="https://www.sec.gov/Archives/edgar/data/1842279/000184227922000070/fm3-omnibusamendmentandcon.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2022-12-22T05:11:08Z</dcterms:created>
  <dcterms:modified xsi:type="dcterms:W3CDTF">2022-12-22T05:11:08Z</dcterms:modified>
</cp:coreProperties>
</file>