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27,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20" w:type="dxa"/>
            <w:vAlign w:val="bottom"/>
          </w:tcPr>
          <w:p>
            <w:pPr>
              <w:spacing w:after="0"/>
              <w:rPr>
                <w:sz w:val="21"/>
                <w:szCs w:val="21"/>
                <w:color w:val="auto"/>
              </w:rPr>
            </w:pP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Trading Symbol(s)</w:t>
            </w:r>
          </w:p>
        </w:tc>
        <w:tc>
          <w:tcPr>
            <w:tcW w:w="46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Class A common stock, par value $.0001 per share</w:t>
            </w:r>
          </w:p>
        </w:tc>
        <w:tc>
          <w:tcPr>
            <w:tcW w:w="2320" w:type="dxa"/>
            <w:vAlign w:val="bottom"/>
          </w:tcPr>
          <w:p>
            <w:pPr>
              <w:ind w:left="980"/>
              <w:spacing w:after="0"/>
              <w:rPr>
                <w:sz w:val="20"/>
                <w:szCs w:val="20"/>
                <w:color w:val="auto"/>
              </w:rPr>
            </w:pPr>
            <w:r>
              <w:rPr>
                <w:rFonts w:ascii="Arial" w:cs="Arial" w:eastAsia="Arial" w:hAnsi="Arial"/>
                <w:sz w:val="18"/>
                <w:szCs w:val="18"/>
                <w:color w:val="auto"/>
              </w:rPr>
              <w:t>OPAL</w:t>
            </w:r>
          </w:p>
        </w:tc>
        <w:tc>
          <w:tcPr>
            <w:tcW w:w="4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0" w:lineRule="exact"/>
        <w:rPr>
          <w:sz w:val="20"/>
          <w:szCs w:val="20"/>
          <w:color w:val="auto"/>
        </w:rPr>
      </w:pPr>
    </w:p>
    <w:p>
      <w:pPr>
        <w:spacing w:after="0" w:line="299"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On March 27, 2023, OPAL Fuels Inc. (the ”Company”) issued a press release regarding its financial results for the three and twelve months ended December 31, 2022. A copy of the press release is furnished as Exhibit 99.1 hereto.</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7"/>
          <w:szCs w:val="17"/>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Additionally, to supplement the Company’s consolidated financial statements presented in accordance with accounting principles generally accepted in the United States of America (“GAAP”) in Exhibit 99.1, the Company uses a non-GAAP financial measure that it calls adjusted EBITDA (“Adjusted EBITDA”). This non-GAAP Measure adjusts net income for realized and unrealized gain on interest rate swaps, net loss attributable to non-redeemable non-controlling interests, stock-based compensation expense, transaction costs and other one time non recurring charges, other non-cash charges, major maintenance for renewable power, unrealized loss (gain) for derivative instruments, non cash gain on reversal of a liability to non redeemable non-controlling interests, loss on disposal of assets, gain on redemption of Note receivable, gas in storage with forward purchase agreement and gain on equity method investments.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0000FF"/>
              </w:rPr>
              <w:t>Press release, issued by OPAL Fuels Inc., dated March 27, 2023</w:t>
            </w:r>
          </w:p>
        </w:tc>
      </w:tr>
      <w:tr>
        <w:trPr>
          <w:trHeight w:val="135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20" w:type="dxa"/>
            <w:vAlign w:val="bottom"/>
            <w:tcBorders>
              <w:top w:val="single" w:sz="8" w:color="0000FF"/>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March 27,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60" w:lineRule="exact"/>
        <w:rPr>
          <w:sz w:val="20"/>
          <w:szCs w:val="20"/>
          <w:color w:val="auto"/>
        </w:rPr>
      </w:pPr>
    </w:p>
    <w:p>
      <w:pPr>
        <w:jc w:val="center"/>
        <w:spacing w:after="0" w:line="272" w:lineRule="auto"/>
        <w:rPr>
          <w:sz w:val="20"/>
          <w:szCs w:val="20"/>
          <w:color w:val="auto"/>
        </w:rPr>
      </w:pPr>
      <w:r>
        <w:rPr>
          <w:rFonts w:ascii="Arial" w:cs="Arial" w:eastAsia="Arial" w:hAnsi="Arial"/>
          <w:sz w:val="29"/>
          <w:szCs w:val="29"/>
          <w:b w:val="1"/>
          <w:bCs w:val="1"/>
          <w:color w:val="auto"/>
        </w:rPr>
        <w:t>OPAL Fuels Reports Revenue of $235.5 million and 2.2 million MMBtu of RNG Produced in 2022, Representing 42% and 38% Annual Increases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 xml:space="preserve">WHITE PLAINS, N.Y. – (March 27, 2023) – </w:t>
      </w:r>
      <w:r>
        <w:rPr>
          <w:rFonts w:ascii="Arial" w:cs="Arial" w:eastAsia="Arial" w:hAnsi="Arial"/>
          <w:sz w:val="22"/>
          <w:szCs w:val="22"/>
          <w:u w:val="single" w:color="auto"/>
          <w:color w:val="0000FF"/>
        </w:rPr>
        <w:t>OPAL Fuels Inc.</w:t>
      </w:r>
      <w:r>
        <w:rPr>
          <w:rFonts w:ascii="Arial" w:cs="Arial" w:eastAsia="Arial" w:hAnsi="Arial"/>
          <w:sz w:val="22"/>
          <w:szCs w:val="22"/>
          <w:color w:val="auto"/>
        </w:rPr>
        <w:t xml:space="preserve"> (“OPAL Fuels” or the “Company”) (Nasdaq: OPAL), a leading vertically integrated producer and distributor of renewable natural gas (RNG), today announced financial and operating results for the three and twelve months ended December 31, 2022.</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“OPAL Fuels has continued to execute on its strategic and operational goals,” said Co-CEO Adam Comora. “After bringing three RNG projects online in 2022, we now have seven in operation, six under construction and a growing Advanced Development Pipeline.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“RNG production in 2022 grew 38% compared to 2021, and we are forecasting production growth to accelerate to over 50% in 2023. We also expect accelerated production growth in 2024 as our projects in construction become operational. In addition, as projects continue to move into and through our Advanced Development Pipeline (ADP) and into construction, we are setting the foundation for meaningful production growth over the coming years.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RNG industry continues to benefit from tailwinds as the potential benefits of the Inflation Reduction Act (IRA) become clearer. Additionally, new pathways under the Renewable Fuel Standard (RFS) such as eRINs are being established and new offtake markets are developing.</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“More importantly, the flexibility of OPAL Fuels’ vertically integrated business platform continues to maximize value for stakeholders, reduces volatility from environmental credit pricing and provides optionality as public policy and markets continue to evolve. We expect that in the second half of 2023 we will begin to see the benefits of the IRA’s Investment Tax Credits (ITC) provisions. Additionally, guidance on the 45Z production tax credits, and clarification on the proposed eRIN pathway under the RFS program should be available. This should add to the industry tailwinds, providing meaningful benefits to our vertically integrated business.”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anticipate putting at least 2.0 million MMBtu of RNG projects into construction this calendar year,” said Co-CEO Jonathan Maurer. “We also continue to expand our Advanced Development Pipeline</w:t>
      </w:r>
      <w:r>
        <w:rPr>
          <w:rFonts w:ascii="Arial" w:cs="Arial" w:eastAsia="Arial" w:hAnsi="Arial"/>
          <w:sz w:val="26"/>
          <w:szCs w:val="26"/>
          <w:color w:val="auto"/>
          <w:vertAlign w:val="superscript"/>
        </w:rPr>
        <w:t>1</w:t>
      </w:r>
      <w:r>
        <w:rPr>
          <w:rFonts w:ascii="Arial" w:cs="Arial" w:eastAsia="Arial" w:hAnsi="Arial"/>
          <w:sz w:val="20"/>
          <w:szCs w:val="20"/>
          <w:color w:val="auto"/>
        </w:rPr>
        <w:t>. Recently we added 0.8 million MMBtu of anticipated nameplate capacity to ADP, and now have a total of approximately 8.3 million MMBtu, across 19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ind w:right="20"/>
        <w:spacing w:after="0" w:line="263" w:lineRule="auto"/>
        <w:rPr>
          <w:sz w:val="20"/>
          <w:szCs w:val="20"/>
          <w:color w:val="auto"/>
        </w:rPr>
      </w:pPr>
      <w:r>
        <w:rPr>
          <w:rFonts w:ascii="Arial" w:cs="Arial" w:eastAsia="Arial" w:hAnsi="Arial"/>
          <w:sz w:val="22"/>
          <w:szCs w:val="22"/>
          <w:color w:val="auto"/>
        </w:rPr>
        <w:t>“In addition, as we continue to evaluate projects across the sector, we expect our pipeline of opportunities to grow. We are pleased that some of the development headwinds we experienced in 2022 have begun to subside.”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37" w:lineRule="exact"/>
        <w:rPr>
          <w:sz w:val="20"/>
          <w:szCs w:val="20"/>
          <w:color w:val="auto"/>
        </w:rPr>
      </w:pPr>
    </w:p>
    <w:p>
      <w:pPr>
        <w:ind w:left="660" w:right="2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 for the three and twelve months ended December 31, 2022, was $66.7 million and $235.5 million, respectively, up 9% and 42%, compared to prior-year periods.</w:t>
      </w:r>
    </w:p>
    <w:p>
      <w:pPr>
        <w:spacing w:after="0" w:line="185"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income for the three and twelve months ended December 31, 2022, was $32.0 million and $32.6 million, respectively, compared to $21.8 million and $40.8 million, in the same period last year.</w:t>
      </w:r>
    </w:p>
    <w:p>
      <w:pPr>
        <w:spacing w:after="0" w:line="178" w:lineRule="exact"/>
        <w:rPr>
          <w:rFonts w:ascii="Arial" w:cs="Arial" w:eastAsia="Arial" w:hAnsi="Arial"/>
          <w:sz w:val="22"/>
          <w:szCs w:val="22"/>
          <w:color w:val="auto"/>
        </w:rPr>
      </w:pPr>
    </w:p>
    <w:p>
      <w:pPr>
        <w:ind w:left="660" w:hanging="328"/>
        <w:spacing w:after="0" w:line="20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EBITDA</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for the three and twelve months ended December 31, 2022, was $20.2 million and $60.7 million, respectively, up 13% and 50%, compared to prior-year periods.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Highlights</w:t>
      </w:r>
    </w:p>
    <w:p>
      <w:pPr>
        <w:spacing w:after="0" w:line="239" w:lineRule="exact"/>
        <w:rPr>
          <w:sz w:val="20"/>
          <w:szCs w:val="20"/>
          <w:color w:val="auto"/>
        </w:rPr>
      </w:pPr>
    </w:p>
    <w:p>
      <w:pPr>
        <w:ind w:left="660" w:right="20" w:hanging="328"/>
        <w:spacing w:after="0" w:line="250"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Produced 0.6 million and 2.2 million MMBtu of RNG, for the three and twelve months ended December 31, 2022, up 49% and 38%, compared to prior-year periods.</w:t>
      </w:r>
    </w:p>
    <w:p>
      <w:pPr>
        <w:spacing w:after="0" w:line="201" w:lineRule="exact"/>
        <w:rPr>
          <w:rFonts w:ascii="Arial" w:cs="Arial" w:eastAsia="Arial" w:hAnsi="Arial"/>
          <w:sz w:val="22"/>
          <w:szCs w:val="22"/>
          <w:color w:val="auto"/>
        </w:rPr>
      </w:pPr>
    </w:p>
    <w:p>
      <w:pPr>
        <w:jc w:val="both"/>
        <w:ind w:left="660" w:hanging="328"/>
        <w:spacing w:after="0" w:line="252"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21"/>
          <w:szCs w:val="21"/>
          <w:color w:val="auto"/>
        </w:rPr>
        <w:t>Fuel Station Services segment sold, dispensed, and serviced an aggregate of 33.3 million and 115.9 million GGEs of transportation fuel for the three and twelve months ended December 31, 2022, up 21% and 20%, compared to prior-year periods. This volume includes 8.9 million and 29.4 million GGEs of RNG dispensing for the three and twelve months ended December 31, 2022, up 33% and 41%, compared to prior-year periods.</w:t>
      </w:r>
    </w:p>
    <w:p>
      <w:pPr>
        <w:spacing w:after="0" w:line="200" w:lineRule="exact"/>
        <w:rPr>
          <w:rFonts w:ascii="Arial" w:cs="Arial" w:eastAsia="Arial" w:hAnsi="Arial"/>
          <w:sz w:val="21"/>
          <w:szCs w:val="21"/>
          <w:color w:val="auto"/>
        </w:rPr>
      </w:pPr>
    </w:p>
    <w:p>
      <w:pPr>
        <w:ind w:left="660" w:right="20" w:hanging="328"/>
        <w:spacing w:after="0" w:line="250"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Recently renewed agreement with UPS to provide operations and maintenance services for 51 fueling stations for an additional ten years.</w:t>
      </w:r>
    </w:p>
    <w:p>
      <w:pPr>
        <w:spacing w:after="0" w:line="188" w:lineRule="exact"/>
        <w:rPr>
          <w:rFonts w:ascii="Arial" w:cs="Arial" w:eastAsia="Arial" w:hAnsi="Arial"/>
          <w:sz w:val="22"/>
          <w:szCs w:val="22"/>
          <w:color w:val="auto"/>
        </w:rPr>
      </w:pPr>
    </w:p>
    <w:p>
      <w:pPr>
        <w:ind w:left="660" w:hanging="328"/>
        <w:spacing w:after="0" w:line="250"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During 2022, signed long-term agreements for sales of 10.6 million annual GGE for 17 new OPAL Fuels stations, which are now under construction.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8" w:lineRule="exact"/>
        <w:rPr>
          <w:sz w:val="20"/>
          <w:szCs w:val="20"/>
          <w:color w:val="auto"/>
        </w:rPr>
      </w:pPr>
    </w:p>
    <w:p>
      <w:pPr>
        <w:jc w:val="both"/>
        <w:ind w:firstLine="8"/>
        <w:spacing w:after="0"/>
        <w:tabs>
          <w:tab w:leader="none" w:pos="105" w:val="left"/>
        </w:tabs>
        <w:numPr>
          <w:ilvl w:val="0"/>
          <w:numId w:val="4"/>
        </w:numPr>
        <w:rPr>
          <w:rFonts w:ascii="Arial" w:cs="Arial" w:eastAsia="Arial" w:hAnsi="Arial"/>
          <w:sz w:val="26"/>
          <w:szCs w:val="26"/>
          <w:color w:val="auto"/>
          <w:vertAlign w:val="superscript"/>
        </w:rPr>
      </w:pPr>
      <w:r>
        <w:rPr>
          <w:rFonts w:ascii="Arial" w:cs="Arial" w:eastAsia="Arial" w:hAnsi="Arial"/>
          <w:sz w:val="20"/>
          <w:szCs w:val="20"/>
          <w:color w:val="auto"/>
        </w:rPr>
        <w:t>T</w:t>
      </w:r>
      <w:r>
        <w:rPr>
          <w:rFonts w:ascii="Arial" w:cs="Arial" w:eastAsia="Arial" w:hAnsi="Arial"/>
          <w:sz w:val="16"/>
          <w:szCs w:val="16"/>
          <w:color w:val="auto"/>
        </w:rPr>
        <w:t>he Company's Advanced Development Pipeline ("ADP") comprises projects that have been qualified and are reasonably expected to be in construction</w:t>
      </w:r>
      <w:r>
        <w:rPr>
          <w:rFonts w:ascii="Arial" w:cs="Arial" w:eastAsia="Arial" w:hAnsi="Arial"/>
          <w:sz w:val="20"/>
          <w:szCs w:val="20"/>
          <w:color w:val="auto"/>
        </w:rPr>
        <w:t xml:space="preserve"> </w:t>
      </w:r>
      <w:r>
        <w:rPr>
          <w:rFonts w:ascii="Arial" w:cs="Arial" w:eastAsia="Arial" w:hAnsi="Arial"/>
          <w:sz w:val="16"/>
          <w:szCs w:val="16"/>
          <w:color w:val="auto"/>
        </w:rPr>
        <w:t>within the next twelve to eighteen months. The MMBtu associated with these projects is presented as anticipated nameplate capacity. Anticipated nameplate capacity is the Company’s currently anticipated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200" w:lineRule="exact"/>
        <w:rPr>
          <w:sz w:val="20"/>
          <w:szCs w:val="20"/>
          <w:color w:val="auto"/>
        </w:rPr>
      </w:pPr>
    </w:p>
    <w:p>
      <w:pPr>
        <w:spacing w:after="0" w:line="215" w:lineRule="exact"/>
        <w:rPr>
          <w:sz w:val="20"/>
          <w:szCs w:val="20"/>
          <w:color w:val="auto"/>
        </w:rPr>
      </w:pPr>
    </w:p>
    <w:p>
      <w:pPr>
        <w:jc w:val="both"/>
        <w:ind w:firstLine="8"/>
        <w:spacing w:after="0" w:line="207" w:lineRule="auto"/>
        <w:tabs>
          <w:tab w:leader="none" w:pos="138" w:val="left"/>
        </w:tabs>
        <w:numPr>
          <w:ilvl w:val="0"/>
          <w:numId w:val="5"/>
        </w:numPr>
        <w:rPr>
          <w:rFonts w:ascii="Arial" w:cs="Arial" w:eastAsia="Arial" w:hAnsi="Arial"/>
          <w:sz w:val="28"/>
          <w:szCs w:val="28"/>
          <w:color w:val="auto"/>
          <w:vertAlign w:val="superscript"/>
        </w:rPr>
      </w:pPr>
      <w:r>
        <w:rPr>
          <w:rFonts w:ascii="Arial" w:cs="Arial" w:eastAsia="Arial" w:hAnsi="Arial"/>
          <w:sz w:val="18"/>
          <w:szCs w:val="18"/>
          <w:color w:val="auto"/>
        </w:rPr>
        <w:t>Adjusted EBITDA is a non-GAAP measure. A reconciliation of GAAP Net Income to Adjusted EBITDA has been provided in the financial tables included in this press release. An explanation of this measure and how it is calculated is also included below under the heading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8" w:right="339" w:bottom="1440" w:gutter="0" w:footer="0" w:header="0"/>
        </w:sectPr>
      </w:pPr>
    </w:p>
    <w:bookmarkStart w:id="6" w:name="page7"/>
    <w:bookmarkEnd w:id="6"/>
    <w:p>
      <w:pPr>
        <w:jc w:val="both"/>
        <w:ind w:left="660" w:hanging="328"/>
        <w:spacing w:after="0" w:line="25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As of December 31, 2022, the Company had 137 fueling stations in its dispensing network, of which 26 are under construction. As part of its dispensing network, OPAL Fuels owns 46 fueling stations including 20 sites under construction.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Construction Update</w:t>
      </w:r>
    </w:p>
    <w:p>
      <w:pPr>
        <w:spacing w:after="0" w:line="22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BioTown dairy RNG project commenced commercial operations in February 2023.</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Anticipate three landfill gas projects to commence operations in 2023</w:t>
      </w:r>
    </w:p>
    <w:p>
      <w:pPr>
        <w:spacing w:after="0" w:line="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Emerald RNG in mid-2023, as well as Prince William RNG and Sapphire RNG in the fourth quarter of 2023.</w:t>
      </w:r>
    </w:p>
    <w:p>
      <w:pPr>
        <w:spacing w:after="0" w:line="220" w:lineRule="exact"/>
        <w:rPr>
          <w:rFonts w:ascii="Arial" w:cs="Arial" w:eastAsia="Arial" w:hAnsi="Arial"/>
          <w:sz w:val="22"/>
          <w:szCs w:val="22"/>
          <w:color w:val="auto"/>
        </w:rPr>
      </w:pPr>
    </w:p>
    <w:p>
      <w:pPr>
        <w:ind w:left="660" w:right="300" w:hanging="328"/>
        <w:spacing w:after="0" w:line="219"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OPAL Fuels’ share of annual nameplate capacity</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for Emerald, Prince William, and Sapphire projects is approximately 3.8 million MMBtu.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Development Update</w:t>
      </w:r>
    </w:p>
    <w:p>
      <w:pPr>
        <w:spacing w:after="0" w:line="226" w:lineRule="exact"/>
        <w:rPr>
          <w:sz w:val="20"/>
          <w:szCs w:val="20"/>
          <w:color w:val="auto"/>
        </w:rPr>
      </w:pPr>
    </w:p>
    <w:p>
      <w:pPr>
        <w:ind w:left="660" w:hanging="328"/>
        <w:spacing w:after="0" w:line="250"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2"/>
          <w:szCs w:val="22"/>
          <w:color w:val="auto"/>
        </w:rPr>
        <w:t>Anticipate placing at least 2.0 million MMBtu of RNG projects (representing OPAL Fuels’ proportional ownership) into construction in 2023.</w:t>
      </w:r>
    </w:p>
    <w:p>
      <w:pPr>
        <w:spacing w:after="0" w:line="201" w:lineRule="exact"/>
        <w:rPr>
          <w:rFonts w:ascii="Arial" w:cs="Arial" w:eastAsia="Arial" w:hAnsi="Arial"/>
          <w:sz w:val="22"/>
          <w:szCs w:val="22"/>
          <w:color w:val="auto"/>
        </w:rPr>
      </w:pPr>
    </w:p>
    <w:p>
      <w:pPr>
        <w:ind w:left="660" w:right="20" w:hanging="328"/>
        <w:spacing w:after="0" w:line="224" w:lineRule="auto"/>
        <w:tabs>
          <w:tab w:leader="none" w:pos="655" w:val="left"/>
        </w:tabs>
        <w:numPr>
          <w:ilvl w:val="0"/>
          <w:numId w:val="8"/>
        </w:numPr>
        <w:rPr>
          <w:rFonts w:ascii="Arial" w:cs="Arial" w:eastAsia="Arial" w:hAnsi="Arial"/>
          <w:sz w:val="21"/>
          <w:szCs w:val="21"/>
          <w:color w:val="auto"/>
        </w:rPr>
      </w:pPr>
      <w:r>
        <w:rPr>
          <w:rFonts w:ascii="Arial" w:cs="Arial" w:eastAsia="Arial" w:hAnsi="Arial"/>
          <w:sz w:val="21"/>
          <w:szCs w:val="21"/>
          <w:color w:val="auto"/>
        </w:rPr>
        <w:t>Added 0.8 million MMBtu of anticipated nameplate capacity to the Company’s Advanced Development Pipeline</w:t>
      </w:r>
      <w:r>
        <w:rPr>
          <w:rFonts w:ascii="Arial" w:cs="Arial" w:eastAsia="Arial" w:hAnsi="Arial"/>
          <w:sz w:val="27"/>
          <w:szCs w:val="27"/>
          <w:color w:val="auto"/>
          <w:vertAlign w:val="superscript"/>
        </w:rPr>
        <w:t>4</w:t>
      </w:r>
      <w:r>
        <w:rPr>
          <w:rFonts w:ascii="Arial" w:cs="Arial" w:eastAsia="Arial" w:hAnsi="Arial"/>
          <w:sz w:val="21"/>
          <w:szCs w:val="21"/>
          <w:color w:val="auto"/>
        </w:rPr>
        <w:t>, bringing it to approximately 8.3 million MMBtu across 19 projects, which are primarily landfill gas projects.</w:t>
      </w:r>
    </w:p>
    <w:p>
      <w:pPr>
        <w:spacing w:after="0" w:line="213" w:lineRule="exact"/>
        <w:rPr>
          <w:rFonts w:ascii="Arial" w:cs="Arial" w:eastAsia="Arial" w:hAnsi="Arial"/>
          <w:sz w:val="21"/>
          <w:szCs w:val="21"/>
          <w:color w:val="auto"/>
        </w:rPr>
      </w:pPr>
    </w:p>
    <w:p>
      <w:pPr>
        <w:ind w:left="660" w:hanging="328"/>
        <w:spacing w:after="0" w:line="250"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Advanced Development Pipeline includes four landfill gas-to-electric projects that are candidates for conversion to RNG.</w:t>
      </w:r>
    </w:p>
    <w:p>
      <w:pPr>
        <w:spacing w:after="0" w:line="201" w:lineRule="exact"/>
        <w:rPr>
          <w:rFonts w:ascii="Arial" w:cs="Arial" w:eastAsia="Arial" w:hAnsi="Arial"/>
          <w:sz w:val="22"/>
          <w:szCs w:val="22"/>
          <w:color w:val="auto"/>
        </w:rPr>
      </w:pPr>
    </w:p>
    <w:p>
      <w:pPr>
        <w:ind w:left="660" w:hanging="328"/>
        <w:spacing w:after="0" w:line="274" w:lineRule="auto"/>
        <w:tabs>
          <w:tab w:leader="none" w:pos="655"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Advanced Development Pipeline excludes 12 landfill gas-to-electric projects in our portfolio, which may be available to generate eRINs from a potential new RFS pathway proposed by the EPA in their proposed set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43" w:lineRule="exact"/>
        <w:rPr>
          <w:sz w:val="20"/>
          <w:szCs w:val="20"/>
          <w:color w:val="auto"/>
        </w:rPr>
      </w:pPr>
    </w:p>
    <w:p>
      <w:pPr>
        <w:ind w:firstLine="8"/>
        <w:spacing w:after="0" w:line="231" w:lineRule="auto"/>
        <w:tabs>
          <w:tab w:leader="none" w:pos="103"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Nameplate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203" w:lineRule="exact"/>
        <w:rPr>
          <w:sz w:val="20"/>
          <w:szCs w:val="20"/>
          <w:color w:val="auto"/>
        </w:rPr>
      </w:pPr>
    </w:p>
    <w:p>
      <w:pPr>
        <w:jc w:val="both"/>
        <w:ind w:firstLine="8"/>
        <w:spacing w:after="0" w:line="257" w:lineRule="auto"/>
        <w:tabs>
          <w:tab w:leader="none" w:pos="106"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Company's Advanced Development Pipeline comprises projects that have been qualified and are reasonably expected to be in construction within the next twelve to eighteen months. The MMBtu associated with these projects is presented as anticipated nameplate capacity. Anticipated nameplate capacity is the Company’s currently anticipated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7" w:name="page8"/>
    <w:bookmarkEnd w:id="7"/>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Guidance Expectations</w:t>
      </w:r>
    </w:p>
    <w:p>
      <w:pPr>
        <w:spacing w:after="0" w:line="245" w:lineRule="exact"/>
        <w:rPr>
          <w:sz w:val="20"/>
          <w:szCs w:val="20"/>
          <w:color w:val="auto"/>
        </w:rPr>
      </w:pPr>
    </w:p>
    <w:p>
      <w:pPr>
        <w:jc w:val="both"/>
        <w:ind w:left="660" w:hanging="328"/>
        <w:spacing w:after="0" w:line="266" w:lineRule="auto"/>
        <w:tabs>
          <w:tab w:leader="none" w:pos="655"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Company currently estimates that Adjusted EBITDA</w:t>
      </w:r>
      <w:r>
        <w:rPr>
          <w:rFonts w:ascii="Arial" w:cs="Arial" w:eastAsia="Arial" w:hAnsi="Arial"/>
          <w:sz w:val="26"/>
          <w:szCs w:val="26"/>
          <w:color w:val="auto"/>
          <w:vertAlign w:val="superscript"/>
        </w:rPr>
        <w:t>9</w:t>
      </w:r>
      <w:r>
        <w:rPr>
          <w:rFonts w:ascii="Arial" w:cs="Arial" w:eastAsia="Arial" w:hAnsi="Arial"/>
          <w:sz w:val="20"/>
          <w:szCs w:val="20"/>
          <w:color w:val="auto"/>
        </w:rPr>
        <w:t xml:space="preserve"> for the full year 2023 will range between $85 and $95 million. This guidance assumes an average annual price of $2.25/gallon for a D3 RIN, $3.00/MMBtu brown gas, and $90/MT LCFS credit pricing and is based off the midpoint of the expected range of expected RNG production. </w:t>
      </w:r>
      <w:r>
        <w:rPr>
          <w:rFonts w:ascii="Arial" w:cs="Arial" w:eastAsia="Arial" w:hAnsi="Arial"/>
          <w:sz w:val="26"/>
          <w:szCs w:val="26"/>
          <w:color w:val="auto"/>
          <w:vertAlign w:val="superscript"/>
        </w:rPr>
        <w:t>5</w:t>
      </w:r>
    </w:p>
    <w:p>
      <w:pPr>
        <w:spacing w:after="0" w:line="102" w:lineRule="exact"/>
        <w:rPr>
          <w:rFonts w:ascii="Arial" w:cs="Arial" w:eastAsia="Arial" w:hAnsi="Arial"/>
          <w:sz w:val="20"/>
          <w:szCs w:val="20"/>
          <w:color w:val="auto"/>
        </w:rPr>
      </w:pPr>
    </w:p>
    <w:p>
      <w:pPr>
        <w:ind w:left="660" w:hanging="328"/>
        <w:spacing w:after="0" w:line="280"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RNG produced for the full year 2023 is anticipated to range between 3.2 million MMBtu and 3.6 million MMBtu compared with 2.2 million MMBtu in 2022.</w:t>
      </w:r>
      <w:r>
        <w:rPr>
          <w:rFonts w:ascii="Arial" w:cs="Arial" w:eastAsia="Arial" w:hAnsi="Arial"/>
          <w:sz w:val="28"/>
          <w:szCs w:val="28"/>
          <w:color w:val="auto"/>
          <w:vertAlign w:val="superscript"/>
        </w:rPr>
        <w:t>6</w:t>
      </w:r>
    </w:p>
    <w:p>
      <w:pPr>
        <w:spacing w:after="0" w:line="98" w:lineRule="exact"/>
        <w:rPr>
          <w:rFonts w:ascii="Arial" w:cs="Arial" w:eastAsia="Arial" w:hAnsi="Arial"/>
          <w:sz w:val="22"/>
          <w:szCs w:val="22"/>
          <w:color w:val="auto"/>
        </w:rPr>
      </w:pPr>
    </w:p>
    <w:p>
      <w:pPr>
        <w:ind w:left="660" w:right="20" w:hanging="328"/>
        <w:spacing w:after="0" w:line="270"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RNG dispensing volume is anticipated to range between 53 million GGEs and 57 million GGEs, compared with 29.4 million GGEs in 2022, an increase ranging from 80% to 94%.</w:t>
      </w:r>
      <w:r>
        <w:rPr>
          <w:rFonts w:ascii="Arial" w:cs="Arial" w:eastAsia="Arial" w:hAnsi="Arial"/>
          <w:sz w:val="28"/>
          <w:szCs w:val="28"/>
          <w:color w:val="auto"/>
          <w:vertAlign w:val="superscript"/>
        </w:rPr>
        <w:t>7</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All guidance is current as of the date of this release and is subject to change.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shd w:val="clear" w:color="auto" w:fill="CCEEFF"/>
          </w:tcPr>
          <w:p>
            <w:pPr>
              <w:spacing w:after="0"/>
              <w:rPr>
                <w:sz w:val="17"/>
                <w:szCs w:val="17"/>
                <w:color w:val="auto"/>
              </w:rPr>
            </w:pPr>
          </w:p>
        </w:tc>
        <w:tc>
          <w:tcPr>
            <w:tcW w:w="4220" w:type="dxa"/>
            <w:vAlign w:val="bottom"/>
            <w:gridSpan w:val="4"/>
            <w:shd w:val="clear" w:color="auto" w:fill="CCEEFF"/>
          </w:tcPr>
          <w:p>
            <w:pPr>
              <w:ind w:left="2360"/>
              <w:spacing w:after="0"/>
              <w:rPr>
                <w:sz w:val="20"/>
                <w:szCs w:val="20"/>
                <w:color w:val="auto"/>
              </w:rPr>
            </w:pPr>
            <w:r>
              <w:rPr>
                <w:rFonts w:ascii="Arial" w:cs="Arial" w:eastAsia="Arial" w:hAnsi="Arial"/>
                <w:sz w:val="18"/>
                <w:szCs w:val="18"/>
                <w:color w:val="auto"/>
                <w:w w:val="91"/>
              </w:rPr>
              <w:t>Estimated Full Year 2023</w:t>
            </w: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millions, except production data)</w:t>
            </w:r>
          </w:p>
        </w:tc>
        <w:tc>
          <w:tcPr>
            <w:tcW w:w="27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Ranges</w:t>
            </w:r>
          </w:p>
        </w:tc>
        <w:tc>
          <w:tcPr>
            <w:tcW w:w="460" w:type="dxa"/>
            <w:vAlign w:val="bottom"/>
            <w:shd w:val="clear" w:color="auto" w:fill="CCEEFF"/>
          </w:tcPr>
          <w:p>
            <w:pPr>
              <w:spacing w:after="0"/>
              <w:rPr>
                <w:sz w:val="21"/>
                <w:szCs w:val="21"/>
                <w:color w:val="auto"/>
              </w:rPr>
            </w:pPr>
          </w:p>
        </w:tc>
      </w:tr>
      <w:tr>
        <w:trPr>
          <w:trHeight w:val="230"/>
        </w:trPr>
        <w:tc>
          <w:tcPr>
            <w:tcW w:w="5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RNG Production (million MMBtu) </w:t>
            </w:r>
            <w:r>
              <w:rPr>
                <w:rFonts w:ascii="Arial" w:cs="Arial" w:eastAsia="Arial" w:hAnsi="Arial"/>
                <w:sz w:val="23"/>
                <w:szCs w:val="23"/>
                <w:color w:val="auto"/>
                <w:vertAlign w:val="superscript"/>
              </w:rPr>
              <w:t>8</w:t>
            </w:r>
          </w:p>
        </w:tc>
        <w:tc>
          <w:tcPr>
            <w:tcW w:w="2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RNG Fuel sold as transport fuel (million GGE)</w:t>
            </w:r>
          </w:p>
        </w:tc>
        <w:tc>
          <w:tcPr>
            <w:tcW w:w="2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Estimated Adjusted EBITDA </w:t>
            </w:r>
            <w:r>
              <w:rPr>
                <w:rFonts w:ascii="Arial" w:cs="Arial" w:eastAsia="Arial" w:hAnsi="Arial"/>
                <w:sz w:val="23"/>
                <w:szCs w:val="23"/>
                <w:color w:val="auto"/>
                <w:vertAlign w:val="superscript"/>
              </w:rPr>
              <w:t>9</w:t>
            </w:r>
          </w:p>
        </w:tc>
        <w:tc>
          <w:tcPr>
            <w:tcW w:w="2700" w:type="dxa"/>
            <w:vAlign w:val="bottom"/>
          </w:tcPr>
          <w:p>
            <w:pPr>
              <w:ind w:left="2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460" w:type="dxa"/>
            <w:vAlign w:val="bottom"/>
          </w:tcPr>
          <w:p>
            <w:pPr>
              <w:ind w:left="2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Capex</w:t>
            </w:r>
          </w:p>
        </w:tc>
        <w:tc>
          <w:tcPr>
            <w:tcW w:w="270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212" w:lineRule="exact"/>
        <w:rPr>
          <w:sz w:val="20"/>
          <w:szCs w:val="20"/>
          <w:color w:val="auto"/>
        </w:rPr>
      </w:pPr>
    </w:p>
    <w:p>
      <w:pPr>
        <w:jc w:val="both"/>
        <w:ind w:firstLine="8"/>
        <w:spacing w:after="0" w:line="224" w:lineRule="auto"/>
        <w:tabs>
          <w:tab w:leader="none" w:pos="116"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Estimated 2023 annualized commodity and environmental attribute sensitivities to 2023 Estimated Adjusted EBITDA are as follows: approximately $8 million change for every $0.25/gallon change in D3 RIN price, a $1.4 million change for every $0.50/MMBtu change in natural gas price, and a $0.4 million change for every $10/MT change in LCFS credit price.</w:t>
      </w:r>
    </w:p>
    <w:p>
      <w:pPr>
        <w:spacing w:after="0" w:line="170"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Reflects OPAL Fuels proportional ownership with respect to RNG projects owned with joint venture partners.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7</w:t>
      </w:r>
      <w:r>
        <w:rPr>
          <w:rFonts w:ascii="Arial" w:cs="Arial" w:eastAsia="Arial" w:hAnsi="Arial"/>
          <w:sz w:val="16"/>
          <w:szCs w:val="16"/>
          <w:color w:val="auto"/>
        </w:rPr>
        <w:t>Includes volumes sold in OPAL Fuel's proprietary dispensing network as well as third party stations that are serviced and maintained by OPAL Fuels.</w:t>
      </w:r>
    </w:p>
    <w:p>
      <w:pPr>
        <w:spacing w:after="0" w:line="152"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RNG Production reflects OPAL Fuels' proportional share with respect to RNG projects owned with joint venture partners.</w:t>
      </w:r>
    </w:p>
    <w:p>
      <w:pPr>
        <w:spacing w:after="0" w:line="256" w:lineRule="exact"/>
        <w:rPr>
          <w:sz w:val="20"/>
          <w:szCs w:val="20"/>
          <w:color w:val="auto"/>
        </w:rPr>
      </w:pPr>
    </w:p>
    <w:p>
      <w:pPr>
        <w:jc w:val="both"/>
        <w:ind w:firstLine="8"/>
        <w:spacing w:after="0" w:line="227" w:lineRule="auto"/>
        <w:tabs>
          <w:tab w:leader="none" w:pos="124"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Estimated Adjusted EBITDA is a non-GAAP financial measure. A reconciliation of the full year estimated Adjusted EBITDA to net income, the closest GAAP measure, cannot be provided due to the inherent difficulty in quantifying certain amounts including but not limited to changes in fair value of the derivative instruments and other items, due to a number of factors including the unpredictability of underlying price movements, which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gridSpan w:val="6"/>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Three Months Ended December</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200" w:type="dxa"/>
            <w:vAlign w:val="bottom"/>
            <w:tcBorders>
              <w:top w:val="single" w:sz="8" w:color="auto"/>
            </w:tcBorders>
            <w:gridSpan w:val="4"/>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w w:val="99"/>
              </w:rPr>
              <w:t>Twelve Months Ended</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thousands of dollars)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79"/>
              </w:rPr>
              <w:t>31,</w:t>
            </w: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gridSpan w:val="4"/>
            <w:shd w:val="clear" w:color="auto" w:fill="CCEEFF"/>
          </w:tcPr>
          <w:p>
            <w:pPr>
              <w:jc w:val="right"/>
              <w:ind w:right="630"/>
              <w:spacing w:after="0"/>
              <w:rPr>
                <w:sz w:val="20"/>
                <w:szCs w:val="20"/>
                <w:color w:val="auto"/>
              </w:rPr>
            </w:pPr>
            <w:r>
              <w:rPr>
                <w:rFonts w:ascii="Arial" w:cs="Arial" w:eastAsia="Arial" w:hAnsi="Arial"/>
                <w:sz w:val="18"/>
                <w:szCs w:val="18"/>
                <w:color w:val="auto"/>
              </w:rPr>
              <w:t>December 31,</w:t>
            </w:r>
          </w:p>
        </w:tc>
      </w:tr>
      <w:tr>
        <w:trPr>
          <w:trHeight w:val="223"/>
        </w:trPr>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320" w:type="dxa"/>
            <w:vAlign w:val="bottom"/>
          </w:tcPr>
          <w:p>
            <w:pPr>
              <w:ind w:left="200"/>
              <w:spacing w:after="0"/>
              <w:rPr>
                <w:sz w:val="20"/>
                <w:szCs w:val="20"/>
                <w:color w:val="auto"/>
              </w:rPr>
            </w:pPr>
            <w:r>
              <w:rPr>
                <w:rFonts w:ascii="Arial" w:cs="Arial" w:eastAsia="Arial" w:hAnsi="Arial"/>
                <w:sz w:val="18"/>
                <w:szCs w:val="18"/>
                <w:color w:val="auto"/>
              </w:rPr>
              <w:t>RNG Fuel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43,634</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33,294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126,830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70,360</w:t>
            </w:r>
          </w:p>
        </w:tc>
      </w:tr>
      <w:tr>
        <w:trPr>
          <w:trHeight w:val="324"/>
        </w:trPr>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Fuel Station Services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50,440</w:t>
            </w:r>
          </w:p>
        </w:tc>
      </w:tr>
      <w:tr>
        <w:trPr>
          <w:trHeight w:val="229"/>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Renewable Power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45,324</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166,124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32,019</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40,769</w:t>
            </w:r>
          </w:p>
        </w:tc>
      </w:tr>
      <w:tr>
        <w:trPr>
          <w:trHeight w:val="256"/>
        </w:trPr>
        <w:tc>
          <w:tcPr>
            <w:tcW w:w="6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40,609</w:t>
            </w:r>
          </w:p>
        </w:tc>
      </w:tr>
      <w:tr>
        <w:trPr>
          <w:trHeight w:val="256"/>
        </w:trPr>
        <w:tc>
          <w:tcPr>
            <w:tcW w:w="6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RNG Fuel volume produced (Million MMBtus)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RNG Fuel volume sold (Million GGEs)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volume delivered (Million GGEs)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bl>
    <w:p>
      <w:pPr>
        <w:spacing w:after="0" w:line="33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Revenue for the three months ended December 31, 2022, was $66.7 million, an increase of 9%, or $5.6 million, compared to $61.2 million in the prior year. While two of our three business segments experienced growth during the year, the increase was primarily driven by the RNG Fuel segment. Total revenue for the twelve months ended December 31, 2022, was $235.5 million compared to $166.1 million in the prior-year period.</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Net income for the three months ended December 31, 2022, was $32.0 million, compared to $21.8 million in the prior year. The fourth quarter includes $33.1 million of change in derivative instruments primarily attributable to our earnout liabilities assumed after the closing of the business combination.</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Net income for the twelve months ended December 31, 2022, was $32.6 million compared to $40.8 million for the prior year. Full year 2022 net income was impacted by lower margins reducing our operating income year-over-year and higher transaction costs associated with becoming a public company, offset by change in fair value of derivative instruments.</w:t>
      </w:r>
    </w:p>
    <w:p>
      <w:pPr>
        <w:spacing w:after="0" w:line="167"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Adjusted EBITDA</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for the three months ended December 31, 2022, was $20.2 million, reflecting an increase of 13%, compared to $17.8 million for the prior-year period. Adjusted EBITDA for the twelve months ended December 31, 2022, was $60.7 million compared to $40.6 million in the prior-year period.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Timing of Sales of RINs for Gas in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22"/>
          <w:szCs w:val="22"/>
          <w:color w:val="auto"/>
        </w:rPr>
        <w:t>Under generally accepted accounting principles (“GAAP”), the timing of revenue recognition for stand-alone RIN sales contracts is tied to the delivery of the RIN to our counterparties and not the production of the RIN. To better align timing of when costs are recognized for the production of RNG in a current period, in Adjusted EBITDA, we include the value of that RNG, and environmental credits held in inventory.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December 31, 2022, the Company had biogas in storage from fourth quarter production that was pending certification for generation of environmental credits for the Sunoma dairy RNG project and other third-party supply. Upon completion of certification, RINs and LCFS credits associated with this stored biogas will be monetized under a blend of forward and merchant sales contracts.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Adjusted EBITDA as of December 31, 2022, includes adjustments for $7.4 million of environmental credits that are anticipated to be generated from this stored RNG and other environmental credits held in inventory. Conversely, $7.5 million related to stored gas and environmental credits that was included in third quarter Adjusted EBITDA has been subtracted from fourth quarter Adjusted EBITDA for consistency of presentation.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Revenues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RNG Fuel</w:t>
      </w:r>
    </w:p>
    <w:p>
      <w:pPr>
        <w:spacing w:after="0" w:line="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Revenue from RNG Fuel was $43.6 million, an increase of $10.3 million, or 31%, for the three months ended December 31, 2022, compared to the three months ended December 31, 2021. This change was attributable primarily due to an increase in environmental credits and brown gas sales driven by additional volumes and higher prices.</w:t>
      </w:r>
    </w:p>
    <w:p>
      <w:pPr>
        <w:spacing w:after="0" w:line="19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For the twelve months ended December 31, 2022, revenue from RNG Fuel increased by $56.5 million, or 80%, compared to the year ended December 31, 2021. This increase was attributable primarily to the impact of a full year of Beacon revenue in 2022 versus only eight months in 2021, an increase from brown gas sales and the sale of environmental credits.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Fuel Station Services</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Revenue from Fuel Station Services was $13.7 million, a decrease of $1.2 million, or 8%, for the fourth quarter of 2022, compared to the three months ended December 31, 2021. Revenues from fuel station construction for third parties are recognized on a percentage of completion basis and can fluctuate based on equipment deliveries and the incurrence of the construction expenses.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For the year ended December 31, 2022, revenue from Fuel Station Services increased by $18.8 million, or 37%, compared to the year ended December 31, 2021. This was primarily attributable to an increase from fuel station construction projects which were completed into 2022, coupled with an increase in volumes at existing and new service sites and from the sale of portable fueling stations. We also signed $61 million in third-party fuel station construction contracts during 2022. Third-party construction revenue backlog was approximately $65.7 million at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Renewable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28" w:right="3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22"/>
          <w:szCs w:val="22"/>
          <w:color w:val="auto"/>
        </w:rPr>
        <w:t>Revenue from Renewable Power was $9.4 million, a decrease of $3.6 million, or 28%, for the quarter ended December 31, 2022, compared to the fourth quarter of 2021. This is primarily due to the shutdown of one of our electricity generation facilities as our gas rights agreement concluded.</w:t>
      </w:r>
    </w:p>
    <w:p>
      <w:pPr>
        <w:spacing w:after="0" w:line="212"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For the twelve months ended December 31, 2022, revenue from Renewable Power decreased by $5.9 million, or 13%, compared to the prior year. In addition to the shut down at the end of the third quarter of one of our electricity generation facilities as our gas rights agreement concluded, this change was attributable to a decrease from the conversion of one of our electricity generation facilities into an RNG facility.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23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As of December 31, 2022, our liquidity is $257.2 million consisting of cash and cash equivalents of $40.4 million, restricted cash of $36.8 million, plus an additional $65.0 million in short-term investments maturing within 90 days. Our liquidity includes aggregate availability of $105 million senior secured credit facilities after a drawdown of $10.0 million in March 2023.</w:t>
      </w:r>
    </w:p>
    <w:p>
      <w:pPr>
        <w:spacing w:after="0" w:line="160"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We believe that our available cash, anticipated cash flows from operations, available lines of credit under existing debt facilities, and access to expected sources of capital will be sufficient to meet our existing commitments and funding needs.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Expenditures</w:t>
      </w:r>
    </w:p>
    <w:p>
      <w:pPr>
        <w:spacing w:after="0" w:line="239" w:lineRule="exact"/>
        <w:rPr>
          <w:sz w:val="20"/>
          <w:szCs w:val="20"/>
          <w:color w:val="auto"/>
        </w:rPr>
      </w:pPr>
    </w:p>
    <w:p>
      <w:pPr>
        <w:jc w:val="both"/>
        <w:spacing w:after="0" w:line="227" w:lineRule="auto"/>
        <w:rPr>
          <w:sz w:val="20"/>
          <w:szCs w:val="20"/>
          <w:color w:val="auto"/>
        </w:rPr>
      </w:pPr>
      <w:r>
        <w:rPr>
          <w:rFonts w:ascii="Arial" w:cs="Arial" w:eastAsia="Arial" w:hAnsi="Arial"/>
          <w:sz w:val="22"/>
          <w:szCs w:val="22"/>
          <w:color w:val="auto"/>
        </w:rPr>
        <w:t>During the year ended 2022, OPAL Fuels invested $108.3 million</w:t>
      </w:r>
      <w:r>
        <w:rPr>
          <w:rFonts w:ascii="Arial" w:cs="Arial" w:eastAsia="Arial" w:hAnsi="Arial"/>
          <w:sz w:val="28"/>
          <w:szCs w:val="28"/>
          <w:color w:val="auto"/>
          <w:vertAlign w:val="superscript"/>
        </w:rPr>
        <w:t>10</w:t>
      </w:r>
      <w:r>
        <w:rPr>
          <w:rFonts w:ascii="Arial" w:cs="Arial" w:eastAsia="Arial" w:hAnsi="Arial"/>
          <w:sz w:val="22"/>
          <w:szCs w:val="22"/>
          <w:color w:val="auto"/>
        </w:rPr>
        <w:t xml:space="preserve"> across six RNG projects and 21 owned fueling stations in construction as compared to $30.2 million in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Call</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 webcast to review OPAL Fuels’ Fourth Quarter and Full Year 2022 results is being held tomorrow, March 28, 2023 at 11:00AM Eastern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Materials to be discussed in the webcast will be available before the call on the Company's website.</w:t>
      </w:r>
    </w:p>
    <w:p>
      <w:pPr>
        <w:spacing w:after="0" w:line="220"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 xml:space="preserve">Participants may access the call at https://edge.media-server.com/mmc/p/wi45x8o3, and a live webcast will also be available at </w:t>
      </w:r>
      <w:r>
        <w:rPr>
          <w:rFonts w:ascii="Arial" w:cs="Arial" w:eastAsia="Arial" w:hAnsi="Arial"/>
          <w:sz w:val="22"/>
          <w:szCs w:val="22"/>
          <w:u w:val="single" w:color="auto"/>
          <w:color w:val="0000FF"/>
        </w:rPr>
        <w:t>https://investors.opalfuels.com/news-events/events- presentations</w:t>
      </w:r>
      <w:r>
        <w:rPr>
          <w:rFonts w:ascii="Arial" w:cs="Arial" w:eastAsia="Arial" w:hAnsi="Arial"/>
          <w:sz w:val="22"/>
          <w:szCs w:val="22"/>
          <w:color w:val="000000"/>
        </w:rPr>
        <w:t>.</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w:t>
      </w:r>
    </w:p>
    <w:p>
      <w:pPr>
        <w:spacing w:after="0" w:line="272" w:lineRule="exact"/>
        <w:rPr>
          <w:sz w:val="20"/>
          <w:szCs w:val="20"/>
          <w:color w:val="auto"/>
        </w:rPr>
      </w:pPr>
    </w:p>
    <w:p>
      <w:pPr>
        <w:jc w:val="both"/>
        <w:ind w:firstLine="8"/>
        <w:spacing w:after="0" w:line="249" w:lineRule="auto"/>
        <w:tabs>
          <w:tab w:leader="none" w:pos="175"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Capital Expenditures reflect net investment in RNG projects net of proceeds received from our non-redeemable non-controlling interests. We received $23.1 million and $59.4 million from such parties for the year ended December 31, 2022 and 2021, respectively. These amounts have been excluded to reflect only capital expenditures attributable to OPAL Fuels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28"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Glossary of terms</w:t>
      </w:r>
    </w:p>
    <w:p>
      <w:pPr>
        <w:spacing w:after="0" w:line="212" w:lineRule="exact"/>
        <w:rPr>
          <w:sz w:val="20"/>
          <w:szCs w:val="20"/>
          <w:color w:val="auto"/>
        </w:rPr>
      </w:pPr>
    </w:p>
    <w:p>
      <w:pPr>
        <w:jc w:val="both"/>
        <w:spacing w:after="0" w:line="218" w:lineRule="auto"/>
        <w:rPr>
          <w:sz w:val="20"/>
          <w:szCs w:val="20"/>
          <w:color w:val="auto"/>
        </w:rPr>
      </w:pPr>
      <w:r>
        <w:rPr>
          <w:rFonts w:ascii="Arial" w:cs="Arial" w:eastAsia="Arial" w:hAnsi="Arial"/>
          <w:sz w:val="22"/>
          <w:szCs w:val="22"/>
          <w:i w:val="1"/>
          <w:iCs w:val="1"/>
          <w:color w:val="auto"/>
        </w:rPr>
        <w:t xml:space="preserve">“Environmental Attributes” </w:t>
      </w:r>
      <w:r>
        <w:rPr>
          <w:rFonts w:ascii="Arial" w:cs="Arial" w:eastAsia="Arial" w:hAnsi="Arial"/>
          <w:sz w:val="22"/>
          <w:szCs w:val="22"/>
          <w:color w:val="auto"/>
        </w:rPr>
        <w:t>refer to federal, state, and local government incentives in the United States, provided in the form of</w:t>
      </w:r>
      <w:r>
        <w:rPr>
          <w:rFonts w:ascii="Arial" w:cs="Arial" w:eastAsia="Arial" w:hAnsi="Arial"/>
          <w:sz w:val="22"/>
          <w:szCs w:val="22"/>
          <w:i w:val="1"/>
          <w:iCs w:val="1"/>
          <w:color w:val="auto"/>
        </w:rPr>
        <w:t xml:space="preserve"> </w:t>
      </w:r>
      <w:r>
        <w:rPr>
          <w:rFonts w:ascii="Arial" w:cs="Arial" w:eastAsia="Arial" w:hAnsi="Arial"/>
          <w:sz w:val="22"/>
          <w:szCs w:val="22"/>
          <w:color w:val="auto"/>
        </w:rPr>
        <w:t>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 xml:space="preserve">“GGE” </w:t>
      </w:r>
      <w:r>
        <w:rPr>
          <w:rFonts w:ascii="Arial" w:cs="Arial" w:eastAsia="Arial" w:hAnsi="Arial"/>
          <w:sz w:val="22"/>
          <w:szCs w:val="22"/>
          <w:color w:val="auto"/>
        </w:rPr>
        <w:t>refers to Gasoline gallon equivalent. It is used to measure the total volume of RNG production that OPAL Fuels expects</w:t>
      </w:r>
      <w:r>
        <w:rPr>
          <w:rFonts w:ascii="Arial" w:cs="Arial" w:eastAsia="Arial" w:hAnsi="Arial"/>
          <w:sz w:val="22"/>
          <w:szCs w:val="22"/>
          <w:i w:val="1"/>
          <w:iCs w:val="1"/>
          <w:color w:val="auto"/>
        </w:rPr>
        <w:t xml:space="preserve"> </w:t>
      </w:r>
      <w:r>
        <w:rPr>
          <w:rFonts w:ascii="Arial" w:cs="Arial" w:eastAsia="Arial" w:hAnsi="Arial"/>
          <w:sz w:val="22"/>
          <w:szCs w:val="22"/>
          <w:color w:val="auto"/>
        </w:rPr>
        <w:t>to dispense each year. The conversion ratio is 1MMBtu equal to 7.74 GGE.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“LFG” </w:t>
      </w:r>
      <w:r>
        <w:rPr>
          <w:rFonts w:ascii="Arial" w:cs="Arial" w:eastAsia="Arial" w:hAnsi="Arial"/>
          <w:sz w:val="22"/>
          <w:szCs w:val="22"/>
          <w:color w:val="auto"/>
        </w:rPr>
        <w:t>refers to landfill gas.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“MMBtu” </w:t>
      </w:r>
      <w:r>
        <w:rPr>
          <w:rFonts w:ascii="Arial" w:cs="Arial" w:eastAsia="Arial" w:hAnsi="Arial"/>
          <w:sz w:val="22"/>
          <w:szCs w:val="22"/>
          <w:color w:val="auto"/>
        </w:rPr>
        <w:t>refers to British thermal units.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“Renewable Power” </w:t>
      </w:r>
      <w:r>
        <w:rPr>
          <w:rFonts w:ascii="Arial" w:cs="Arial" w:eastAsia="Arial" w:hAnsi="Arial"/>
          <w:sz w:val="22"/>
          <w:szCs w:val="22"/>
          <w:color w:val="auto"/>
        </w:rPr>
        <w:t>refers to electricity generated from renewable sources.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“RNG” </w:t>
      </w:r>
      <w:r>
        <w:rPr>
          <w:rFonts w:ascii="Arial" w:cs="Arial" w:eastAsia="Arial" w:hAnsi="Arial"/>
          <w:sz w:val="22"/>
          <w:szCs w:val="22"/>
          <w:color w:val="auto"/>
        </w:rPr>
        <w:t>refers to renewable natural gas.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“D3” </w:t>
      </w:r>
      <w:r>
        <w:rPr>
          <w:rFonts w:ascii="Arial" w:cs="Arial" w:eastAsia="Arial" w:hAnsi="Arial"/>
          <w:sz w:val="22"/>
          <w:szCs w:val="22"/>
          <w:color w:val="auto"/>
        </w:rPr>
        <w:t>refers to cellulosic biofuel with a 60% GHG reduction requirement.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“RIN” </w:t>
      </w:r>
      <w:r>
        <w:rPr>
          <w:rFonts w:ascii="Arial" w:cs="Arial" w:eastAsia="Arial" w:hAnsi="Arial"/>
          <w:sz w:val="22"/>
          <w:szCs w:val="22"/>
          <w:color w:val="auto"/>
        </w:rPr>
        <w:t>refers to Renewal Identification Numbers.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“EPA” </w:t>
      </w:r>
      <w:r>
        <w:rPr>
          <w:rFonts w:ascii="Arial" w:cs="Arial" w:eastAsia="Arial" w:hAnsi="Arial"/>
          <w:sz w:val="22"/>
          <w:szCs w:val="22"/>
          <w:color w:val="auto"/>
        </w:rPr>
        <w:t>refers to Environmental Protection Agency.</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0563C1"/>
        </w:rPr>
        <w:t xml:space="preserve">OPAL Fuels Inc. (Nasdaq: OPAL) </w:t>
      </w:r>
      <w:r>
        <w:rPr>
          <w:rFonts w:ascii="Arial" w:cs="Arial" w:eastAsia="Arial" w:hAnsi="Arial"/>
          <w:sz w:val="19"/>
          <w:szCs w:val="19"/>
          <w:color w:val="000000"/>
        </w:rPr>
        <w:t>is a leading vertically integrated renewable fuels platform involved in the production and</w:t>
      </w:r>
      <w:r>
        <w:rPr>
          <w:rFonts w:ascii="Arial" w:cs="Arial" w:eastAsia="Arial" w:hAnsi="Arial"/>
          <w:sz w:val="19"/>
          <w:szCs w:val="19"/>
          <w:color w:val="0563C1"/>
        </w:rPr>
        <w:t xml:space="preserve"> </w:t>
      </w:r>
      <w:r>
        <w:rPr>
          <w:rFonts w:ascii="Arial" w:cs="Arial" w:eastAsia="Arial" w:hAnsi="Arial"/>
          <w:sz w:val="19"/>
          <w:szCs w:val="19"/>
          <w:color w:val="000000"/>
        </w:rPr>
        <w:t xml:space="preserve">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 To learn more about OPAL Fuels and how it is leading the effort to capture North America’s harmful methane emissions and decarbonize the transportation industry, please visit </w:t>
      </w:r>
      <w:r>
        <w:rPr>
          <w:rFonts w:ascii="Arial" w:cs="Arial" w:eastAsia="Arial" w:hAnsi="Arial"/>
          <w:sz w:val="19"/>
          <w:szCs w:val="19"/>
          <w:color w:val="0563C1"/>
        </w:rPr>
        <w:t>www.opalfuels.com</w:t>
      </w:r>
      <w:r>
        <w:rPr>
          <w:rFonts w:ascii="Arial" w:cs="Arial" w:eastAsia="Arial" w:hAnsi="Arial"/>
          <w:sz w:val="19"/>
          <w:szCs w:val="19"/>
          <w:color w:val="000000"/>
        </w:rPr>
        <w:t xml:space="preserve"> and follow the company on LinkedIn and Twitter at @OPALFuels.</w:t>
      </w:r>
    </w:p>
    <w:p>
      <w:pPr>
        <w:jc w:val="center"/>
        <w:spacing w:after="0" w:line="220" w:lineRule="auto"/>
        <w:rPr>
          <w:sz w:val="20"/>
          <w:szCs w:val="20"/>
          <w:color w:val="auto"/>
        </w:rPr>
      </w:pPr>
      <w:r>
        <w:rPr>
          <w:rFonts w:ascii="Arial" w:cs="Arial" w:eastAsia="Arial" w:hAnsi="Arial"/>
          <w:sz w:val="22"/>
          <w:szCs w:val="22"/>
          <w:color w:val="auto"/>
        </w:rPr>
        <w:t># # #</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3" w:lineRule="exact"/>
        <w:rPr>
          <w:sz w:val="20"/>
          <w:szCs w:val="20"/>
          <w:color w:val="auto"/>
        </w:rPr>
      </w:pPr>
    </w:p>
    <w:p>
      <w:pPr>
        <w:jc w:val="both"/>
        <w:ind w:right="20"/>
        <w:spacing w:after="0" w:line="247" w:lineRule="auto"/>
        <w:rPr>
          <w:sz w:val="20"/>
          <w:szCs w:val="20"/>
          <w:color w:val="auto"/>
        </w:rPr>
      </w:pPr>
      <w:r>
        <w:rPr>
          <w:rFonts w:ascii="Arial" w:cs="Arial" w:eastAsia="Arial" w:hAnsi="Arial"/>
          <w:sz w:val="22"/>
          <w:szCs w:val="22"/>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395" w:right="339" w:bottom="1440" w:gutter="0" w:footer="0" w:header="0"/>
        </w:sectPr>
      </w:pPr>
    </w:p>
    <w:bookmarkStart w:id="12" w:name="page13"/>
    <w:bookmarkEnd w:id="12"/>
    <w:p>
      <w:pPr>
        <w:jc w:val="both"/>
        <w:spacing w:after="0" w:line="288" w:lineRule="auto"/>
        <w:rPr>
          <w:sz w:val="20"/>
          <w:szCs w:val="20"/>
          <w:color w:val="auto"/>
        </w:rPr>
      </w:pPr>
      <w:r>
        <w:rPr>
          <w:rFonts w:ascii="Arial" w:cs="Arial" w:eastAsia="Arial" w:hAnsi="Arial"/>
          <w:sz w:val="19"/>
          <w:szCs w:val="19"/>
          <w:color w:val="auto"/>
        </w:rPr>
        <w:t>“could,”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 filed on November 14, 2022,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Jason Stewart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Senior Director Public Relations &amp; Marketing</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914-421-5336</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jstewart@opalfuels.com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OPALFuelsPR@icrinc.com</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Todd Firestone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&amp; Corporate Development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914-705-4001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8" w:right="339" w:bottom="1440" w:gutter="0" w:footer="0" w:header="0"/>
        </w:sectPr>
      </w:pPr>
    </w:p>
    <w:bookmarkStart w:id="13" w:name="page14"/>
    <w:bookmarkEnd w:id="13"/>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108"/>
        </w:trPr>
        <w:tc>
          <w:tcPr>
            <w:tcW w:w="8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restart"/>
          </w:tcPr>
          <w:p>
            <w:pPr>
              <w:jc w:val="right"/>
              <w:ind w:right="499"/>
              <w:spacing w:after="0" w:line="16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jc w:val="right"/>
              <w:ind w:right="600"/>
              <w:spacing w:after="0" w:line="108" w:lineRule="exact"/>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54"/>
        </w:trPr>
        <w:tc>
          <w:tcPr>
            <w:tcW w:w="8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16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w w:val="94"/>
              </w:rPr>
              <w:t>Cash and cash equivalents (includes $12,506 and $1,991 at December 31, 2022 and December 31, 2021, respectively,</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related to consolidated VIEs)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40,394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39,314</w:t>
            </w:r>
          </w:p>
        </w:tc>
        <w:tc>
          <w:tcPr>
            <w:tcW w:w="0" w:type="dxa"/>
            <w:vAlign w:val="bottom"/>
          </w:tcPr>
          <w:p>
            <w:pPr>
              <w:spacing w:after="0"/>
              <w:rPr>
                <w:sz w:val="1"/>
                <w:szCs w:val="1"/>
                <w:color w:val="auto"/>
              </w:rPr>
            </w:pPr>
          </w:p>
        </w:tc>
      </w:tr>
      <w:tr>
        <w:trPr>
          <w:trHeight w:val="179"/>
        </w:trPr>
        <w:tc>
          <w:tcPr>
            <w:tcW w:w="8160" w:type="dxa"/>
            <w:vAlign w:val="bottom"/>
          </w:tcPr>
          <w:p>
            <w:pPr>
              <w:ind w:left="160"/>
              <w:spacing w:after="0" w:line="179" w:lineRule="exact"/>
              <w:rPr>
                <w:sz w:val="20"/>
                <w:szCs w:val="20"/>
                <w:color w:val="auto"/>
              </w:rPr>
            </w:pPr>
            <w:r>
              <w:rPr>
                <w:rFonts w:ascii="Arial" w:cs="Arial" w:eastAsia="Arial" w:hAnsi="Arial"/>
                <w:sz w:val="16"/>
                <w:szCs w:val="16"/>
                <w:color w:val="auto"/>
                <w:w w:val="93"/>
              </w:rPr>
              <w:t>Accounts receivable, net (includes $966 and $40 at December 31, 2022 and December 31, 2021, respectively, related to</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consolidated VIEs)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31,083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25,391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related party</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160" w:type="dxa"/>
            <w:vAlign w:val="bottom"/>
          </w:tcPr>
          <w:p>
            <w:pPr>
              <w:ind w:left="160"/>
              <w:spacing w:after="0" w:line="179" w:lineRule="exact"/>
              <w:rPr>
                <w:sz w:val="20"/>
                <w:szCs w:val="20"/>
                <w:color w:val="auto"/>
              </w:rPr>
            </w:pPr>
            <w:r>
              <w:rPr>
                <w:rFonts w:ascii="Arial" w:cs="Arial" w:eastAsia="Arial" w:hAnsi="Arial"/>
                <w:sz w:val="16"/>
                <w:szCs w:val="16"/>
                <w:color w:val="auto"/>
                <w:w w:val="92"/>
              </w:rPr>
              <w:t>Restricted cash - current (includes $6,971 and $— at December 31, 2022 and December 31, 2021, respectively, related to</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consolidated VIEs)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32,402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 term investments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64,976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Fuel tax credits receivable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Contract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8,484</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Parts inventory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5,143</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Environmental credits held for sale</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179"/>
        </w:trPr>
        <w:tc>
          <w:tcPr>
            <w:tcW w:w="8160" w:type="dxa"/>
            <w:vAlign w:val="bottom"/>
          </w:tcPr>
          <w:p>
            <w:pPr>
              <w:ind w:left="160"/>
              <w:spacing w:after="0" w:line="179" w:lineRule="exact"/>
              <w:rPr>
                <w:sz w:val="20"/>
                <w:szCs w:val="20"/>
                <w:color w:val="auto"/>
              </w:rPr>
            </w:pPr>
            <w:r>
              <w:rPr>
                <w:rFonts w:ascii="Arial" w:cs="Arial" w:eastAsia="Arial" w:hAnsi="Arial"/>
                <w:sz w:val="16"/>
                <w:szCs w:val="16"/>
                <w:color w:val="auto"/>
                <w:w w:val="97"/>
              </w:rPr>
              <w:t>Prepaid expense and other current assets (includes $415 and $113 at December 31, 2022 and December 31, 2021,</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5,482</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financial assets,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3"/>
        </w:trPr>
        <w:tc>
          <w:tcPr>
            <w:tcW w:w="81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211,983</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86,975</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spares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179"/>
        </w:trPr>
        <w:tc>
          <w:tcPr>
            <w:tcW w:w="8160" w:type="dxa"/>
            <w:vAlign w:val="bottom"/>
          </w:tcPr>
          <w:p>
            <w:pPr>
              <w:ind w:left="160"/>
              <w:spacing w:after="0" w:line="179" w:lineRule="exact"/>
              <w:rPr>
                <w:sz w:val="20"/>
                <w:szCs w:val="20"/>
                <w:color w:val="auto"/>
              </w:rPr>
            </w:pPr>
            <w:r>
              <w:rPr>
                <w:rFonts w:ascii="Arial" w:cs="Arial" w:eastAsia="Arial" w:hAnsi="Arial"/>
                <w:sz w:val="16"/>
                <w:szCs w:val="16"/>
                <w:color w:val="auto"/>
                <w:w w:val="97"/>
              </w:rPr>
              <w:t>Property, plant, and equipment, net (includes $73,140 and $27,794 at December 31, 2022 and December 31, 2021,</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297,323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169,770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right-of use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Investment in other entities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51,765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47,150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Note receivable</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9,200</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Note receivable - variable fee component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financial assets, non-current portion</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Deferred financing costs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16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w w:val="93"/>
              </w:rPr>
              <w:t>Restricted cash - non-current (includes $2,923 and $1,163 at December 31, 2022 and December 31, 2021, respectively,</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related to consolidated VIEs)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54,608</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644,856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380,844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160" w:type="dxa"/>
            <w:vAlign w:val="bottom"/>
          </w:tcPr>
          <w:p>
            <w:pPr>
              <w:ind w:left="160"/>
              <w:spacing w:after="0" w:line="179" w:lineRule="exact"/>
              <w:rPr>
                <w:sz w:val="20"/>
                <w:szCs w:val="20"/>
                <w:color w:val="auto"/>
              </w:rPr>
            </w:pPr>
            <w:r>
              <w:rPr>
                <w:rFonts w:ascii="Arial" w:cs="Arial" w:eastAsia="Arial" w:hAnsi="Arial"/>
                <w:sz w:val="16"/>
                <w:szCs w:val="16"/>
                <w:color w:val="auto"/>
                <w:w w:val="96"/>
              </w:rPr>
              <w:t>Accounts payable (includes $4,896 and $544 at December 31, 2022 and December 31, 2021, respectively, related to</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consolidated VIEs)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22,679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12,581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 related party</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Fuel tax credits payable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payroll</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7,652</w:t>
            </w:r>
          </w:p>
        </w:tc>
        <w:tc>
          <w:tcPr>
            <w:tcW w:w="0" w:type="dxa"/>
            <w:vAlign w:val="bottom"/>
          </w:tcPr>
          <w:p>
            <w:pPr>
              <w:spacing w:after="0"/>
              <w:rPr>
                <w:sz w:val="1"/>
                <w:szCs w:val="1"/>
                <w:color w:val="auto"/>
              </w:rPr>
            </w:pPr>
          </w:p>
        </w:tc>
      </w:tr>
      <w:tr>
        <w:trPr>
          <w:trHeight w:val="179"/>
        </w:trPr>
        <w:tc>
          <w:tcPr>
            <w:tcW w:w="8160" w:type="dxa"/>
            <w:vAlign w:val="bottom"/>
          </w:tcPr>
          <w:p>
            <w:pPr>
              <w:ind w:left="160"/>
              <w:spacing w:after="0" w:line="179" w:lineRule="exact"/>
              <w:rPr>
                <w:sz w:val="20"/>
                <w:szCs w:val="20"/>
                <w:color w:val="auto"/>
              </w:rPr>
            </w:pPr>
            <w:r>
              <w:rPr>
                <w:rFonts w:ascii="Arial" w:cs="Arial" w:eastAsia="Arial" w:hAnsi="Arial"/>
                <w:sz w:val="16"/>
                <w:szCs w:val="16"/>
                <w:color w:val="auto"/>
                <w:w w:val="90"/>
              </w:rPr>
              <w:t>Accrued capital expenses (includes $7,821 and $1,722 at December 31, 2022 and December 31, 2021, respectively, related</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to consolidated VIEs)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5,517</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16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w w:val="95"/>
              </w:rPr>
              <w:t>Accrued expenses and other current liabilities (includes $646 and $— at December 31, 2022 and December 31, 2021,</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7,220</w:t>
            </w:r>
          </w:p>
        </w:tc>
        <w:tc>
          <w:tcPr>
            <w:tcW w:w="0" w:type="dxa"/>
            <w:vAlign w:val="bottom"/>
          </w:tcPr>
          <w:p>
            <w:pPr>
              <w:spacing w:after="0"/>
              <w:rPr>
                <w:sz w:val="1"/>
                <w:szCs w:val="1"/>
                <w:color w:val="auto"/>
              </w:rPr>
            </w:pPr>
          </w:p>
        </w:tc>
      </w:tr>
      <w:tr>
        <w:trPr>
          <w:trHeight w:val="33"/>
        </w:trPr>
        <w:tc>
          <w:tcPr>
            <w:tcW w:w="8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ind w:left="160"/>
              <w:spacing w:after="0"/>
              <w:rPr>
                <w:sz w:val="20"/>
                <w:szCs w:val="20"/>
                <w:color w:val="auto"/>
              </w:rPr>
            </w:pPr>
            <w:r>
              <w:rPr>
                <w:rFonts w:ascii="Arial" w:cs="Arial" w:eastAsia="Arial" w:hAnsi="Arial"/>
                <w:sz w:val="16"/>
                <w:szCs w:val="16"/>
                <w:color w:val="auto"/>
              </w:rPr>
              <w:t>Contract liabilities</w:t>
            </w:r>
          </w:p>
        </w:tc>
        <w:tc>
          <w:tcPr>
            <w:tcW w:w="7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8,013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Senior Secured Credit Facility - term loan, current portion, net of debt issuance costs</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15,250</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73,145</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OPAL Term Loan, current portion</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27,732</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13,425</w:t>
            </w: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1"/>
              </w:rPr>
              <w:t>Sunoma loan, current portion (includes $380 and $756 at December 31, 2022 and December 31, 2021, respectively, related</w:t>
            </w: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to consolidated VIEs)</w:t>
            </w: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Convertible Note Payable</w:t>
            </w: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28,528</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Municipality loan</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financial liability, current portion</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Operating lease liabilities - current portion</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Asset retirement obligation, current portion</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152,905</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142,116</w:t>
            </w:r>
          </w:p>
        </w:tc>
        <w:tc>
          <w:tcPr>
            <w:tcW w:w="0" w:type="dxa"/>
            <w:vAlign w:val="bottom"/>
          </w:tcPr>
          <w:p>
            <w:pPr>
              <w:spacing w:after="0"/>
              <w:rPr>
                <w:sz w:val="1"/>
                <w:szCs w:val="1"/>
                <w:color w:val="auto"/>
              </w:rPr>
            </w:pPr>
          </w:p>
        </w:tc>
      </w:tr>
      <w:tr>
        <w:trPr>
          <w:trHeight w:val="204"/>
        </w:trPr>
        <w:tc>
          <w:tcPr>
            <w:tcW w:w="8160" w:type="dxa"/>
            <w:vAlign w:val="bottom"/>
          </w:tcPr>
          <w:p>
            <w:pPr>
              <w:ind w:left="160"/>
              <w:spacing w:after="0"/>
              <w:rPr>
                <w:sz w:val="20"/>
                <w:szCs w:val="20"/>
                <w:color w:val="auto"/>
              </w:rPr>
            </w:pPr>
            <w:r>
              <w:rPr>
                <w:rFonts w:ascii="Arial" w:cs="Arial" w:eastAsia="Arial" w:hAnsi="Arial"/>
                <w:sz w:val="16"/>
                <w:szCs w:val="16"/>
                <w:color w:val="auto"/>
              </w:rPr>
              <w:t>Asset retirement obligation, non-current portion</w:t>
            </w: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4,960</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OPAL Term Loan</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66,600</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59,090</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Convertible Note Payable</w:t>
            </w:r>
          </w:p>
        </w:tc>
        <w:tc>
          <w:tcPr>
            <w:tcW w:w="7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58,710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Sunoma loan, net of debt issuance costs (includes $21,712 and $16,199 at December 31, 2022 and December 31, 2021,</w:t>
            </w:r>
          </w:p>
        </w:tc>
        <w:tc>
          <w:tcPr>
            <w:tcW w:w="7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21,712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16,199</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7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Municipality loan</w:t>
            </w:r>
          </w:p>
        </w:tc>
        <w:tc>
          <w:tcPr>
            <w:tcW w:w="7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 liabilities - non-current portion</w:t>
            </w:r>
          </w:p>
        </w:tc>
        <w:tc>
          <w:tcPr>
            <w:tcW w:w="7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11,245</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Earn out liabilities</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8,790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204"/>
        </w:trPr>
        <w:tc>
          <w:tcPr>
            <w:tcW w:w="81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267,037</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285,887</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7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160" w:type="dxa"/>
            <w:vAlign w:val="bottom"/>
          </w:tcPr>
          <w:p>
            <w:pPr>
              <w:ind w:left="20"/>
              <w:spacing w:after="0"/>
              <w:rPr>
                <w:sz w:val="20"/>
                <w:szCs w:val="20"/>
                <w:color w:val="auto"/>
              </w:rPr>
            </w:pPr>
            <w:r>
              <w:rPr>
                <w:rFonts w:ascii="Arial" w:cs="Arial" w:eastAsia="Arial" w:hAnsi="Arial"/>
                <w:sz w:val="16"/>
                <w:szCs w:val="16"/>
                <w:color w:val="auto"/>
              </w:rPr>
              <w:t>Redeemable preferred non-controlling interests</w:t>
            </w:r>
          </w:p>
        </w:tc>
        <w:tc>
          <w:tcPr>
            <w:tcW w:w="740" w:type="dxa"/>
            <w:vAlign w:val="bottom"/>
          </w:tcPr>
          <w:p>
            <w:pPr>
              <w:ind w:left="20"/>
              <w:spacing w:after="0"/>
              <w:rPr>
                <w:sz w:val="20"/>
                <w:szCs w:val="20"/>
                <w:color w:val="auto"/>
              </w:rPr>
            </w:pPr>
            <w:r>
              <w:rPr>
                <w:rFonts w:ascii="Arial" w:cs="Arial" w:eastAsia="Arial" w:hAnsi="Arial"/>
                <w:sz w:val="16"/>
                <w:szCs w:val="16"/>
                <w:color w:val="auto"/>
              </w:rPr>
              <w:t>138,142</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30,210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Redeemable non-controlling interests</w:t>
            </w: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1,013,833</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63,545</w:t>
            </w: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Stockholders' (deficit) equity</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Class A common stock, $0.0001 par value, 337,852,251 shares authorized as of December 31, 2022; 29,477,766 and 0</w:t>
            </w:r>
          </w:p>
        </w:tc>
        <w:tc>
          <w:tcPr>
            <w:tcW w:w="7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issued and outstanding at December 31, 2022 and December 31, 2021, respectively</w:t>
            </w:r>
          </w:p>
        </w:tc>
        <w:tc>
          <w:tcPr>
            <w:tcW w:w="7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4"/>
              </w:rPr>
              <w:t>Class B common stock, $0.0001 par value, 157,498,947 shares authorized as of December 31, 2022; None issued and</w:t>
            </w:r>
          </w:p>
        </w:tc>
        <w:tc>
          <w:tcPr>
            <w:tcW w:w="740" w:type="dxa"/>
            <w:vAlign w:val="bottom"/>
          </w:tcPr>
          <w:p>
            <w:pPr>
              <w:spacing w:after="0"/>
              <w:rPr>
                <w:sz w:val="16"/>
                <w:szCs w:val="16"/>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outstanding as of December 31, 2022 and December 31, 2021</w:t>
            </w:r>
          </w:p>
        </w:tc>
        <w:tc>
          <w:tcPr>
            <w:tcW w:w="7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Class C common stock, $0.0001 par value, 154,309,729 shares authorized as of December 31, 2022; None issued and</w:t>
            </w:r>
          </w:p>
        </w:tc>
        <w:tc>
          <w:tcPr>
            <w:tcW w:w="7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outstanding as of December 31, 2022 and December 31, 2021</w:t>
            </w:r>
          </w:p>
        </w:tc>
        <w:tc>
          <w:tcPr>
            <w:tcW w:w="7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Pr>
          <w:p>
            <w:pPr>
              <w:ind w:left="160"/>
              <w:spacing w:after="0"/>
              <w:rPr>
                <w:sz w:val="20"/>
                <w:szCs w:val="20"/>
                <w:color w:val="auto"/>
              </w:rPr>
            </w:pPr>
            <w:r>
              <w:rPr>
                <w:rFonts w:ascii="Arial" w:cs="Arial" w:eastAsia="Arial" w:hAnsi="Arial"/>
                <w:sz w:val="16"/>
                <w:szCs w:val="16"/>
                <w:color w:val="auto"/>
                <w:w w:val="92"/>
              </w:rPr>
              <w:t>Class D common stock, $0.0001 par value, 154,309,729 shares authorized as of December 31, 2022; 144,399,037 issued</w:t>
            </w:r>
          </w:p>
        </w:tc>
        <w:tc>
          <w:tcPr>
            <w:tcW w:w="7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8160" w:type="dxa"/>
            <w:vAlign w:val="bottom"/>
          </w:tcPr>
          <w:p>
            <w:pPr>
              <w:ind w:left="340"/>
              <w:spacing w:after="0"/>
              <w:rPr>
                <w:sz w:val="20"/>
                <w:szCs w:val="20"/>
                <w:color w:val="auto"/>
              </w:rPr>
            </w:pPr>
            <w:r>
              <w:rPr>
                <w:rFonts w:ascii="Arial" w:cs="Arial" w:eastAsia="Arial" w:hAnsi="Arial"/>
                <w:sz w:val="16"/>
                <w:szCs w:val="16"/>
                <w:color w:val="auto"/>
              </w:rPr>
              <w:t>and outstanding at December 31, 2022 and December 31, 2021</w:t>
            </w:r>
          </w:p>
        </w:tc>
        <w:tc>
          <w:tcPr>
            <w:tcW w:w="7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Additional paid-in capital</w:t>
            </w:r>
          </w:p>
        </w:tc>
        <w:tc>
          <w:tcPr>
            <w:tcW w:w="7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Accumulated deficit</w:t>
            </w:r>
          </w:p>
        </w:tc>
        <w:tc>
          <w:tcPr>
            <w:tcW w:w="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(800,813)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60" w:type="dxa"/>
            <w:vAlign w:val="bottom"/>
          </w:tcPr>
          <w:p>
            <w:pPr>
              <w:ind w:left="340"/>
              <w:spacing w:after="0"/>
              <w:rPr>
                <w:sz w:val="20"/>
                <w:szCs w:val="20"/>
                <w:color w:val="auto"/>
              </w:rPr>
            </w:pPr>
            <w:r>
              <w:rPr>
                <w:rFonts w:ascii="Arial" w:cs="Arial" w:eastAsia="Arial" w:hAnsi="Arial"/>
                <w:sz w:val="16"/>
                <w:szCs w:val="16"/>
                <w:color w:val="auto"/>
              </w:rPr>
              <w:t>Total Stockholders' (deficit) equity attributable to the Company</w:t>
            </w: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(800,601)</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Non-redeemable non-controlling interests</w:t>
            </w: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26,445</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04"/>
        </w:trPr>
        <w:tc>
          <w:tcPr>
            <w:tcW w:w="8160" w:type="dxa"/>
            <w:vAlign w:val="bottom"/>
          </w:tcPr>
          <w:p>
            <w:pPr>
              <w:ind w:left="340"/>
              <w:spacing w:after="0"/>
              <w:rPr>
                <w:sz w:val="20"/>
                <w:szCs w:val="20"/>
                <w:color w:val="auto"/>
              </w:rPr>
            </w:pPr>
            <w:r>
              <w:rPr>
                <w:rFonts w:ascii="Arial" w:cs="Arial" w:eastAsia="Arial" w:hAnsi="Arial"/>
                <w:sz w:val="16"/>
                <w:szCs w:val="16"/>
                <w:color w:val="auto"/>
              </w:rPr>
              <w:t>Total Stockholders' (deficit) equity</w:t>
            </w:r>
          </w:p>
        </w:tc>
        <w:tc>
          <w:tcPr>
            <w:tcW w:w="7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(774,156)</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Redeemable preferred, Redeemable non-controlling interests and Stockholders' (deficit) equity</w:t>
            </w: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644,856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380,844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26"/>
          <w:szCs w:val="26"/>
          <w:color w:val="auto"/>
          <w:vertAlign w:val="superscript"/>
        </w:rPr>
      </w:pPr>
      <w:r>
        <w:rPr>
          <w:rFonts w:ascii="Arial" w:cs="Arial" w:eastAsia="Arial" w:hAnsi="Arial"/>
          <w:sz w:val="20"/>
          <w:szCs w:val="20"/>
          <w:color w:val="auto"/>
        </w:rPr>
        <w:t>Retroactively restated for the reverse capitalization upon completion of Business Combination.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unit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w w:val="92"/>
              </w:rPr>
              <w:t>Twelve Months Ended</w:t>
            </w:r>
          </w:p>
        </w:tc>
      </w:tr>
      <w:tr>
        <w:trPr>
          <w:trHeight w:val="210"/>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center"/>
              <w:ind w:left="599"/>
              <w:spacing w:after="0"/>
              <w:rPr>
                <w:sz w:val="20"/>
                <w:szCs w:val="20"/>
                <w:color w:val="auto"/>
              </w:rPr>
            </w:pPr>
            <w:r>
              <w:rPr>
                <w:rFonts w:ascii="Arial" w:cs="Arial" w:eastAsia="Arial" w:hAnsi="Arial"/>
                <w:sz w:val="16"/>
                <w:szCs w:val="16"/>
                <w:b w:val="1"/>
                <w:bCs w:val="1"/>
                <w:color w:val="auto"/>
                <w:w w:val="92"/>
              </w:rPr>
              <w:t>December 31,</w:t>
            </w:r>
          </w:p>
        </w:tc>
        <w:tc>
          <w:tcPr>
            <w:tcW w:w="98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539"/>
              <w:spacing w:after="0"/>
              <w:rPr>
                <w:sz w:val="20"/>
                <w:szCs w:val="20"/>
                <w:color w:val="auto"/>
              </w:rPr>
            </w:pPr>
            <w:r>
              <w:rPr>
                <w:rFonts w:ascii="Arial" w:cs="Arial" w:eastAsia="Arial" w:hAnsi="Arial"/>
                <w:sz w:val="16"/>
                <w:szCs w:val="16"/>
                <w:b w:val="1"/>
                <w:bCs w:val="1"/>
                <w:color w:val="auto"/>
                <w:w w:val="95"/>
              </w:rPr>
              <w:t>2021</w:t>
            </w: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93"/>
        </w:trPr>
        <w:tc>
          <w:tcPr>
            <w:tcW w:w="8240" w:type="dxa"/>
            <w:vAlign w:val="bottom"/>
          </w:tcPr>
          <w:p>
            <w:pPr>
              <w:ind w:left="160"/>
              <w:spacing w:after="0"/>
              <w:rPr>
                <w:sz w:val="20"/>
                <w:szCs w:val="20"/>
                <w:color w:val="auto"/>
              </w:rPr>
            </w:pPr>
            <w:r>
              <w:rPr>
                <w:rFonts w:ascii="Arial" w:cs="Arial" w:eastAsia="Arial" w:hAnsi="Arial"/>
                <w:sz w:val="16"/>
                <w:szCs w:val="16"/>
                <w:color w:val="auto"/>
                <w:w w:val="97"/>
              </w:rPr>
              <w:t>RNG fuel (includes revenues from related party of $76,920 and $0 for the years ended December 31, 2022 and 2021,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126,830</w:t>
            </w:r>
          </w:p>
        </w:tc>
        <w:tc>
          <w:tcPr>
            <w:tcW w:w="100" w:type="dxa"/>
            <w:vAlign w:val="bottom"/>
          </w:tcPr>
          <w:p>
            <w:pPr>
              <w:spacing w:after="0"/>
              <w:rPr>
                <w:sz w:val="16"/>
                <w:szCs w:val="16"/>
                <w:color w:val="auto"/>
              </w:rPr>
            </w:pPr>
          </w:p>
        </w:tc>
        <w:tc>
          <w:tcPr>
            <w:tcW w:w="580" w:type="dxa"/>
            <w:vAlign w:val="bottom"/>
          </w:tcPr>
          <w:p>
            <w:pPr>
              <w:jc w:val="center"/>
              <w:ind w:right="3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70,360</w:t>
            </w:r>
          </w:p>
        </w:tc>
      </w:tr>
      <w:tr>
        <w:trPr>
          <w:trHeight w:val="216"/>
        </w:trPr>
        <w:tc>
          <w:tcPr>
            <w:tcW w:w="8240" w:type="dxa"/>
            <w:vAlign w:val="bottom"/>
          </w:tcPr>
          <w:p>
            <w:pPr>
              <w:ind w:left="34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Fuel station services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69,240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50,440</w:t>
            </w:r>
          </w:p>
        </w:tc>
      </w:tr>
      <w:tr>
        <w:trPr>
          <w:trHeight w:val="193"/>
        </w:trPr>
        <w:tc>
          <w:tcPr>
            <w:tcW w:w="8240" w:type="dxa"/>
            <w:vAlign w:val="bottom"/>
          </w:tcPr>
          <w:p>
            <w:pPr>
              <w:ind w:left="160"/>
              <w:spacing w:after="0"/>
              <w:rPr>
                <w:sz w:val="20"/>
                <w:szCs w:val="20"/>
                <w:color w:val="auto"/>
              </w:rPr>
            </w:pPr>
            <w:r>
              <w:rPr>
                <w:rFonts w:ascii="Arial" w:cs="Arial" w:eastAsia="Arial" w:hAnsi="Arial"/>
                <w:sz w:val="16"/>
                <w:szCs w:val="16"/>
                <w:color w:val="auto"/>
                <w:w w:val="92"/>
              </w:rPr>
              <w:t>Renewable Power (includes revenues from related party of $5,495 and $3,008 for the years ended December 31, 2022 and</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39,461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45,324</w:t>
            </w:r>
          </w:p>
        </w:tc>
      </w:tr>
      <w:tr>
        <w:trPr>
          <w:trHeight w:val="21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2021, respectively)</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4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166,124</w:t>
            </w:r>
          </w:p>
        </w:tc>
      </w:tr>
      <w:tr>
        <w:trPr>
          <w:trHeight w:val="19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Cost of sales - RNG fuel</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78,953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41,075</w:t>
            </w:r>
          </w:p>
        </w:tc>
      </w:tr>
      <w:tr>
        <w:trPr>
          <w:trHeight w:val="210"/>
        </w:trPr>
        <w:tc>
          <w:tcPr>
            <w:tcW w:w="8240" w:type="dxa"/>
            <w:vAlign w:val="bottom"/>
          </w:tcPr>
          <w:p>
            <w:pPr>
              <w:ind w:left="160"/>
              <w:spacing w:after="0"/>
              <w:rPr>
                <w:sz w:val="20"/>
                <w:szCs w:val="20"/>
                <w:color w:val="auto"/>
              </w:rPr>
            </w:pPr>
            <w:r>
              <w:rPr>
                <w:rFonts w:ascii="Arial" w:cs="Arial" w:eastAsia="Arial" w:hAnsi="Arial"/>
                <w:sz w:val="16"/>
                <w:szCs w:val="16"/>
                <w:color w:val="auto"/>
              </w:rPr>
              <w:t>Cost of sales - Fuel station services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61,514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42,838</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Cost of sales - Renewable Power</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31,580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31,152</w:t>
            </w:r>
          </w:p>
        </w:tc>
      </w:tr>
      <w:tr>
        <w:trPr>
          <w:trHeight w:val="210"/>
        </w:trPr>
        <w:tc>
          <w:tcPr>
            <w:tcW w:w="824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48,569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29,380</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10,653</w:t>
            </w:r>
          </w:p>
        </w:tc>
      </w:tr>
      <w:tr>
        <w:trPr>
          <w:trHeight w:val="203"/>
        </w:trPr>
        <w:tc>
          <w:tcPr>
            <w:tcW w:w="8240" w:type="dxa"/>
            <w:vAlign w:val="bottom"/>
          </w:tcPr>
          <w:p>
            <w:pPr>
              <w:ind w:left="340"/>
              <w:spacing w:after="0"/>
              <w:rPr>
                <w:sz w:val="20"/>
                <w:szCs w:val="20"/>
                <w:color w:val="auto"/>
              </w:rPr>
            </w:pPr>
            <w:r>
              <w:rPr>
                <w:rFonts w:ascii="Arial" w:cs="Arial" w:eastAsia="Arial" w:hAnsi="Arial"/>
                <w:sz w:val="16"/>
                <w:szCs w:val="16"/>
                <w:color w:val="auto"/>
              </w:rPr>
              <w:t>Total expenses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233,752</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155,098</w:t>
            </w: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11,026</w:t>
            </w:r>
          </w:p>
        </w:tc>
      </w:tr>
      <w:tr>
        <w:trPr>
          <w:trHeight w:val="250"/>
        </w:trPr>
        <w:tc>
          <w:tcPr>
            <w:tcW w:w="82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and financing expense, net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(7,467)</w:t>
            </w:r>
          </w:p>
        </w:tc>
      </w:tr>
      <w:tr>
        <w:trPr>
          <w:trHeight w:val="210"/>
        </w:trPr>
        <w:tc>
          <w:tcPr>
            <w:tcW w:w="8240" w:type="dxa"/>
            <w:vAlign w:val="bottom"/>
          </w:tcPr>
          <w:p>
            <w:pPr>
              <w:ind w:left="160"/>
              <w:spacing w:after="0"/>
              <w:rPr>
                <w:sz w:val="20"/>
                <w:szCs w:val="20"/>
                <w:color w:val="auto"/>
              </w:rPr>
            </w:pPr>
            <w:r>
              <w:rPr>
                <w:rFonts w:ascii="Arial" w:cs="Arial" w:eastAsia="Arial" w:hAnsi="Arial"/>
                <w:sz w:val="16"/>
                <w:szCs w:val="16"/>
                <w:color w:val="auto"/>
              </w:rPr>
              <w:t>Change in fair value of derivative instruments,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33,081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Pr>
          <w:p>
            <w:pPr>
              <w:ind w:left="160"/>
              <w:spacing w:after="0"/>
              <w:rPr>
                <w:sz w:val="20"/>
                <w:szCs w:val="20"/>
                <w:color w:val="auto"/>
              </w:rPr>
            </w:pPr>
            <w:r>
              <w:rPr>
                <w:rFonts w:ascii="Arial" w:cs="Arial" w:eastAsia="Arial" w:hAnsi="Arial"/>
                <w:sz w:val="16"/>
                <w:szCs w:val="16"/>
                <w:color w:val="auto"/>
              </w:rPr>
              <w:t>Loss on warrant exchange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Gain on acquisition of equity method investment</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19,818</w:t>
            </w:r>
          </w:p>
        </w:tc>
      </w:tr>
      <w:tr>
        <w:trPr>
          <w:trHeight w:val="210"/>
        </w:trPr>
        <w:tc>
          <w:tcPr>
            <w:tcW w:w="8240" w:type="dxa"/>
            <w:vAlign w:val="bottom"/>
          </w:tcPr>
          <w:p>
            <w:pPr>
              <w:ind w:left="160"/>
              <w:spacing w:after="0"/>
              <w:rPr>
                <w:sz w:val="20"/>
                <w:szCs w:val="20"/>
                <w:color w:val="auto"/>
              </w:rPr>
            </w:pPr>
            <w:r>
              <w:rPr>
                <w:rFonts w:ascii="Arial" w:cs="Arial" w:eastAsia="Arial" w:hAnsi="Arial"/>
                <w:sz w:val="16"/>
                <w:szCs w:val="16"/>
                <w:color w:val="auto"/>
              </w:rPr>
              <w:t>Gain on deconsolidation of VIEs</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15,025</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from equity method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r>
      <w:tr>
        <w:trPr>
          <w:trHeight w:val="203"/>
        </w:trPr>
        <w:tc>
          <w:tcPr>
            <w:tcW w:w="8240" w:type="dxa"/>
            <w:vAlign w:val="bottom"/>
          </w:tcPr>
          <w:p>
            <w:pPr>
              <w:ind w:left="240"/>
              <w:spacing w:after="0"/>
              <w:rPr>
                <w:sz w:val="20"/>
                <w:szCs w:val="20"/>
                <w:color w:val="auto"/>
              </w:rPr>
            </w:pPr>
            <w:r>
              <w:rPr>
                <w:rFonts w:ascii="Arial" w:cs="Arial" w:eastAsia="Arial" w:hAnsi="Arial"/>
                <w:sz w:val="16"/>
                <w:szCs w:val="16"/>
                <w:color w:val="auto"/>
              </w:rPr>
              <w:t>Income before provision for income taxes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32,579</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40,769</w:t>
            </w: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24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32,579</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40,769</w:t>
            </w:r>
          </w:p>
        </w:tc>
      </w:tr>
      <w:tr>
        <w:trPr>
          <w:trHeight w:val="33"/>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6"/>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attributable to redeemable non-controlling interests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22,409</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41,363</w:t>
            </w:r>
          </w:p>
        </w:tc>
      </w:tr>
      <w:tr>
        <w:trPr>
          <w:trHeight w:val="250"/>
        </w:trPr>
        <w:tc>
          <w:tcPr>
            <w:tcW w:w="8240" w:type="dxa"/>
            <w:vAlign w:val="bottom"/>
          </w:tcPr>
          <w:p>
            <w:pPr>
              <w:ind w:left="160"/>
              <w:spacing w:after="0"/>
              <w:rPr>
                <w:sz w:val="20"/>
                <w:szCs w:val="20"/>
                <w:color w:val="auto"/>
              </w:rPr>
            </w:pPr>
            <w:r>
              <w:rPr>
                <w:rFonts w:ascii="Arial" w:cs="Arial" w:eastAsia="Arial" w:hAnsi="Arial"/>
                <w:sz w:val="16"/>
                <w:szCs w:val="16"/>
                <w:color w:val="auto"/>
              </w:rPr>
              <w:t>Net loss attributable to non-redeemable non-controlling interests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50"/>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xml:space="preserve">Paid-in-kind preferred dividends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37"/>
        </w:trPr>
        <w:tc>
          <w:tcPr>
            <w:tcW w:w="8240" w:type="dxa"/>
            <w:vAlign w:val="bottom"/>
          </w:tcPr>
          <w:p>
            <w:pPr>
              <w:ind w:left="340"/>
              <w:spacing w:after="0" w:line="237" w:lineRule="exact"/>
              <w:rPr>
                <w:sz w:val="20"/>
                <w:szCs w:val="20"/>
                <w:color w:val="auto"/>
              </w:rPr>
            </w:pPr>
            <w:r>
              <w:rPr>
                <w:rFonts w:ascii="Arial" w:cs="Arial" w:eastAsia="Arial" w:hAnsi="Arial"/>
                <w:sz w:val="16"/>
                <w:szCs w:val="16"/>
                <w:color w:val="auto"/>
              </w:rPr>
              <w:t xml:space="preserve">Net income attributable to Class A common stockholders </w:t>
            </w:r>
            <w:r>
              <w:rPr>
                <w:rFonts w:ascii="Arial" w:cs="Arial" w:eastAsia="Arial" w:hAnsi="Arial"/>
                <w:sz w:val="21"/>
                <w:szCs w:val="21"/>
                <w:color w:val="auto"/>
                <w:vertAlign w:val="superscript"/>
              </w:rPr>
              <w:t>(2)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0"/>
        </w:trPr>
        <w:tc>
          <w:tcPr>
            <w:tcW w:w="8240" w:type="dxa"/>
            <w:vAlign w:val="bottom"/>
          </w:tcPr>
          <w:p>
            <w:pPr>
              <w:ind w:left="340"/>
              <w:spacing w:after="0"/>
              <w:rPr>
                <w:sz w:val="20"/>
                <w:szCs w:val="20"/>
                <w:color w:val="auto"/>
              </w:rPr>
            </w:pPr>
            <w:r>
              <w:rPr>
                <w:rFonts w:ascii="Arial" w:cs="Arial" w:eastAsia="Arial" w:hAnsi="Arial"/>
                <w:sz w:val="16"/>
                <w:szCs w:val="16"/>
                <w:color w:val="auto"/>
              </w:rPr>
              <w:t>Weighted average shares outstanding of Class A common stock :</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25,774,312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26,062,398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 share amounts: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1"/>
                <w:szCs w:val="21"/>
                <w:color w:val="auto"/>
              </w:rPr>
            </w:pPr>
          </w:p>
        </w:tc>
        <w:tc>
          <w:tcPr>
            <w:tcW w:w="580" w:type="dxa"/>
            <w:vAlign w:val="bottom"/>
          </w:tcPr>
          <w:p>
            <w:pPr>
              <w:jc w:val="center"/>
              <w:ind w:right="3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center"/>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60" w:lineRule="exact"/>
        <w:rPr>
          <w:sz w:val="20"/>
          <w:szCs w:val="20"/>
          <w:color w:val="auto"/>
        </w:rPr>
      </w:pPr>
    </w:p>
    <w:p>
      <w:pPr>
        <w:ind w:right="120" w:firstLine="8"/>
        <w:spacing w:after="0" w:line="223" w:lineRule="auto"/>
        <w:tabs>
          <w:tab w:leader="none" w:pos="198" w:val="left"/>
        </w:tabs>
        <w:numPr>
          <w:ilvl w:val="0"/>
          <w:numId w:val="18"/>
        </w:numPr>
        <w:rPr>
          <w:rFonts w:ascii="Arial" w:cs="Arial" w:eastAsia="Arial" w:hAnsi="Arial"/>
          <w:sz w:val="23"/>
          <w:szCs w:val="23"/>
          <w:color w:val="auto"/>
          <w:vertAlign w:val="superscript"/>
        </w:rPr>
      </w:pPr>
      <w:r>
        <w:rPr>
          <w:rFonts w:ascii="Arial" w:cs="Arial" w:eastAsia="Arial" w:hAnsi="Arial"/>
          <w:sz w:val="14"/>
          <w:szCs w:val="14"/>
          <w:color w:val="auto"/>
        </w:rPr>
        <w:t>Paid-in-kind preferred dividend is allocated between redeemable non-controlling interests and Class A common stockholders basis their weighted average percentage of ownership.</w:t>
      </w:r>
    </w:p>
    <w:p>
      <w:pPr>
        <w:spacing w:after="0" w:line="171" w:lineRule="exact"/>
        <w:rPr>
          <w:rFonts w:ascii="Arial" w:cs="Arial" w:eastAsia="Arial" w:hAnsi="Arial"/>
          <w:sz w:val="23"/>
          <w:szCs w:val="23"/>
          <w:color w:val="auto"/>
          <w:vertAlign w:val="superscript"/>
        </w:rPr>
      </w:pPr>
    </w:p>
    <w:p>
      <w:pPr>
        <w:ind w:firstLine="8"/>
        <w:spacing w:after="0" w:line="264" w:lineRule="auto"/>
        <w:tabs>
          <w:tab w:leader="none" w:pos="163"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Income per share information has not been presented for the year ended December 31, 2021 as it would not be meaningful to the users of these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75"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Twelve Months Ended</w:t>
      </w:r>
    </w:p>
    <w:p>
      <w:pPr>
        <w:jc w:val="center"/>
        <w:ind w:left="814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32"/>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40,769</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from equity method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Loss on exchange of Warrants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10,078</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Amortization of deferred financing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1,085</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operating lease right-of-use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Amortization of PPA liability</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Accretion expense related to asset retirement obligation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for bad debts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Paid-in-kind interest income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fair value of Convertible Note Payable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3,300</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Change in fair value of the earnout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(37,111)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Unrealized gain on derivative financial instruments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40"/>
        </w:trPr>
        <w:tc>
          <w:tcPr>
            <w:tcW w:w="8160" w:type="dxa"/>
            <w:vAlign w:val="bottom"/>
          </w:tcPr>
          <w:p>
            <w:pPr>
              <w:ind w:left="140"/>
              <w:spacing w:after="0"/>
              <w:rPr>
                <w:sz w:val="20"/>
                <w:szCs w:val="20"/>
                <w:color w:val="auto"/>
              </w:rPr>
            </w:pPr>
            <w:r>
              <w:rPr>
                <w:rFonts w:ascii="Arial" w:cs="Arial" w:eastAsia="Arial" w:hAnsi="Arial"/>
                <w:sz w:val="16"/>
                <w:szCs w:val="16"/>
                <w:color w:val="auto"/>
              </w:rPr>
              <w:t>Gain on repayment of Note receivable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acquisition of equity method investment</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(19,818)</w:t>
            </w:r>
          </w:p>
        </w:tc>
      </w:tr>
      <w:tr>
        <w:trPr>
          <w:trHeight w:val="240"/>
        </w:trPr>
        <w:tc>
          <w:tcPr>
            <w:tcW w:w="8160" w:type="dxa"/>
            <w:vAlign w:val="bottom"/>
          </w:tcPr>
          <w:p>
            <w:pPr>
              <w:ind w:left="140"/>
              <w:spacing w:after="0"/>
              <w:rPr>
                <w:sz w:val="20"/>
                <w:szCs w:val="20"/>
                <w:color w:val="auto"/>
              </w:rPr>
            </w:pPr>
            <w:r>
              <w:rPr>
                <w:rFonts w:ascii="Arial" w:cs="Arial" w:eastAsia="Arial" w:hAnsi="Arial"/>
                <w:sz w:val="16"/>
                <w:szCs w:val="16"/>
                <w:color w:val="auto"/>
              </w:rPr>
              <w:t>Gain on deconsolidation of VIEs</w:t>
            </w: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(15,025)</w:t>
            </w:r>
          </w:p>
        </w:tc>
      </w:tr>
      <w:tr>
        <w:trPr>
          <w:trHeight w:val="22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(2,944)</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related party</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Proceeds received on previously recorded paid-in-kind interest income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Fuel tax credits receivable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Capital spares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Parts inventory</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Environmental credits held for 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 and other current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(2,928)</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Contract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(2,960)</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2,559</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Accounts payable, related party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(1,413)</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Fuel tax credits payable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Accrued payroll</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4,864</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expenses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(1,483)</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Operating lease liabilities - current and non-current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and non-current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Contract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5,107</w:t>
            </w:r>
          </w:p>
        </w:tc>
      </w:tr>
      <w:tr>
        <w:trPr>
          <w:trHeight w:val="3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18,856</w:t>
            </w:r>
          </w:p>
        </w:tc>
      </w:tr>
      <w:tr>
        <w:trPr>
          <w:trHeight w:val="19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 of property, plant, and equipment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(131,410)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(89,646)</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Cash acquired on acquisition of equity method investment</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1,975</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Deconsolidation of VIEs, net of cash</w:t>
            </w: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(21,208)</w:t>
            </w: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Cash paid for short term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Capitalized interest attributable to equity method investments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r>
      <w:tr>
        <w:trPr>
          <w:trHeight w:val="33"/>
        </w:trPr>
        <w:tc>
          <w:tcPr>
            <w:tcW w:w="8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4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40" w:right="339" w:bottom="482" w:gutter="0" w:footer="0" w:header="0"/>
          <w:type w:val="continuous"/>
        </w:sectPr>
      </w:pPr>
    </w:p>
    <w:bookmarkStart w:id="17" w:name="page18"/>
    <w:bookmarkEnd w:id="17"/>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ind w:left="160"/>
              <w:spacing w:after="0"/>
              <w:rPr>
                <w:sz w:val="20"/>
                <w:szCs w:val="20"/>
                <w:color w:val="auto"/>
              </w:rPr>
            </w:pPr>
            <w:r>
              <w:rPr>
                <w:rFonts w:ascii="Arial" w:cs="Arial" w:eastAsia="Arial" w:hAnsi="Arial"/>
                <w:sz w:val="16"/>
                <w:szCs w:val="16"/>
                <w:color w:val="auto"/>
              </w:rPr>
              <w:t>Purchase of Note receivable</w:t>
            </w:r>
          </w:p>
        </w:tc>
        <w:tc>
          <w:tcPr>
            <w:tcW w:w="4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(10,450)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received from repayment of Note receivable</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Distributions received from equity method investment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(184,028)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(117,204)</w:t>
            </w:r>
          </w:p>
        </w:tc>
        <w:tc>
          <w:tcPr>
            <w:tcW w:w="0" w:type="dxa"/>
            <w:vAlign w:val="bottom"/>
          </w:tcPr>
          <w:p>
            <w:pPr>
              <w:spacing w:after="0"/>
              <w:rPr>
                <w:sz w:val="1"/>
                <w:szCs w:val="1"/>
                <w:color w:val="auto"/>
              </w:rPr>
            </w:pPr>
          </w:p>
        </w:tc>
      </w:tr>
      <w:tr>
        <w:trPr>
          <w:trHeight w:val="19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Sunoma loan</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15,679</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Proceeds from OPAL Term Loan</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received from Business Combination</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138,850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Financing costs paid to other third parties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(8,321)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(3,607)</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 of Senior Secured Credit Facility</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(58,603)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(4,901)</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Repayment of Senior Secured Credit Facility - working capital facility</w:t>
            </w:r>
          </w:p>
        </w:tc>
        <w:tc>
          <w:tcPr>
            <w:tcW w:w="4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 of OPAL Term Loan</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Repayment of Municipality loan</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 of Trustar Revolver Facility</w:t>
            </w:r>
          </w:p>
        </w:tc>
        <w:tc>
          <w:tcPr>
            <w:tcW w:w="4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0"/>
        </w:trPr>
        <w:tc>
          <w:tcPr>
            <w:tcW w:w="8160" w:type="dxa"/>
            <w:vAlign w:val="bottom"/>
          </w:tcPr>
          <w:p>
            <w:pPr>
              <w:ind w:left="160"/>
              <w:spacing w:after="0"/>
              <w:rPr>
                <w:sz w:val="20"/>
                <w:szCs w:val="20"/>
                <w:color w:val="auto"/>
              </w:rPr>
            </w:pPr>
            <w:r>
              <w:rPr>
                <w:rFonts w:ascii="Arial" w:cs="Arial" w:eastAsia="Arial" w:hAnsi="Arial"/>
                <w:sz w:val="16"/>
                <w:szCs w:val="16"/>
                <w:color w:val="auto"/>
              </w:rPr>
              <w:t>Proceeds from sale of non-redeemable non-controlling interest, related party</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38,218</w:t>
            </w:r>
          </w:p>
        </w:tc>
        <w:tc>
          <w:tcPr>
            <w:tcW w:w="0" w:type="dxa"/>
            <w:vAlign w:val="bottom"/>
          </w:tcPr>
          <w:p>
            <w:pPr>
              <w:spacing w:after="0"/>
              <w:rPr>
                <w:sz w:val="1"/>
                <w:szCs w:val="1"/>
                <w:color w:val="auto"/>
              </w:rPr>
            </w:pPr>
          </w:p>
        </w:tc>
      </w:tr>
      <w:tr>
        <w:trPr>
          <w:trHeight w:val="226"/>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Contributions from non-redeemable non-controlling interests, related party</w:t>
            </w:r>
          </w:p>
        </w:tc>
        <w:tc>
          <w:tcPr>
            <w:tcW w:w="4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21,165</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Acquisition of non-controlling interest</w:t>
            </w:r>
          </w:p>
        </w:tc>
        <w:tc>
          <w:tcPr>
            <w:tcW w:w="4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issuance of redeemable preferred non-controlling interests, related party</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160"/>
              <w:spacing w:after="0"/>
              <w:rPr>
                <w:sz w:val="20"/>
                <w:szCs w:val="20"/>
                <w:color w:val="auto"/>
              </w:rPr>
            </w:pPr>
            <w:r>
              <w:rPr>
                <w:rFonts w:ascii="Arial" w:cs="Arial" w:eastAsia="Arial" w:hAnsi="Arial"/>
                <w:sz w:val="16"/>
                <w:szCs w:val="16"/>
                <w:color w:val="auto"/>
              </w:rPr>
              <w:t>Contributions from members</w:t>
            </w:r>
          </w:p>
        </w:tc>
        <w:tc>
          <w:tcPr>
            <w:tcW w:w="4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7,531</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Distributions to members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220,550</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125,014</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restricted cash, and cash equivalents</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35,167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26,666</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color w:val="auto"/>
              </w:rPr>
              <w:t>Cash, restricted cash, and cash equivalents, beginning of period</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42,054</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15,388</w:t>
            </w:r>
          </w:p>
        </w:tc>
        <w:tc>
          <w:tcPr>
            <w:tcW w:w="0" w:type="dxa"/>
            <w:vAlign w:val="bottom"/>
          </w:tcPr>
          <w:p>
            <w:pPr>
              <w:spacing w:after="0"/>
              <w:rPr>
                <w:sz w:val="1"/>
                <w:szCs w:val="1"/>
                <w:color w:val="auto"/>
              </w:rPr>
            </w:pPr>
          </w:p>
        </w:tc>
      </w:tr>
      <w:tr>
        <w:trPr>
          <w:trHeight w:val="33"/>
        </w:trPr>
        <w:tc>
          <w:tcPr>
            <w:tcW w:w="8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restricted cash, and cash equivalents, end of period</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77,221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42,054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 net of $3,678 and $861 capitalized, respectively</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Convertible Note Payable related to business acquisition, excluding paid-in-kind interest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55,410</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Fair value of Class A common stock issued for redemption of Convertible Note Payable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30,595</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Class A common stock issued for redemption of Public and Private warrants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Fair value of Derivative warrant liabilities assumed related to Business Combination</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13,524</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Earnout liabilities related to Business Combination</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Fair value of put option on a forward purchase agreement related to Business Combination</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4,600</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contingent consideration to redeem the non-controlling interest included in other long-term liabilities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Paid-in-kind dividend on redeemable preferred non-controlling interests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7,932</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Right-of-use assets for finance leases as of January 1, 2022 included in Property, Plant and equipment, net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Lease liabilities for finance leases as of January 1, 2022 included in Accrued expenses and other current liabilities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liabilities for finance leases as of January 1, 2022 included in Other long-term liabilities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w w:val="99"/>
              </w:rPr>
              <w:t>Accrual for purchase of Property, plant and equipment included in Accounts payable and Accrued capital expenses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11,922</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6,205</w:t>
            </w:r>
          </w:p>
        </w:tc>
        <w:tc>
          <w:tcPr>
            <w:tcW w:w="0" w:type="dxa"/>
            <w:vAlign w:val="bottom"/>
          </w:tcPr>
          <w:p>
            <w:pPr>
              <w:spacing w:after="0"/>
              <w:rPr>
                <w:sz w:val="1"/>
                <w:szCs w:val="1"/>
                <w:color w:val="auto"/>
              </w:rPr>
            </w:pPr>
          </w:p>
        </w:tc>
      </w:tr>
      <w:tr>
        <w:trPr>
          <w:trHeight w:val="33"/>
        </w:trPr>
        <w:tc>
          <w:tcPr>
            <w:tcW w:w="8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for deferred financing costs included in Accrued expenses and other current liabilities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33"/>
        </w:trPr>
        <w:tc>
          <w:tcPr>
            <w:tcW w:w="8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 (Unaudited)</w:t>
      </w:r>
    </w:p>
    <w:p>
      <w:pPr>
        <w:spacing w:after="0" w:line="1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To supplement the Company’s unaudited condensed consolidated financial statements presented in accordance with accounting principles generally accepted in the United States of America (“GAAP”), the Company uses a non-GAAP financial measure that it calls adjusted EBITDA (“Adjusted EBITDA”). This non-GAAP Measure adjusts net income for realized and unrealized gain on interest rate swaps, net loss attributable to non-redeemable non-controlling interests, transaction costs and one time non recurring charges, non-cash charges, major maintenance for renewable power, unrealized loss (gain) for derivative instruments, loss on warrant exchange, non cash gain on reversal of a liability to non redeemable non-controlling interests, gain on redemption of Note receivable, environmental credits associated with renewable biogas that has been produced and is in storage pending completion of certification of the relevant environmental attribute pathway(s), such credits to be monetized under a blend of forward and merchant sales contracts, and gain on acquisition of equity method investment.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reconciliation of our Net income to Adjusted EBITDA: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gridSpan w:val="8"/>
          </w:tcPr>
          <w:p>
            <w:pPr>
              <w:jc w:val="center"/>
              <w:ind w:left="2870"/>
              <w:spacing w:after="0"/>
              <w:rPr>
                <w:sz w:val="20"/>
                <w:szCs w:val="20"/>
                <w:color w:val="auto"/>
              </w:rPr>
            </w:pPr>
            <w:r>
              <w:rPr>
                <w:rFonts w:ascii="Arial" w:cs="Arial" w:eastAsia="Arial" w:hAnsi="Arial"/>
                <w:sz w:val="18"/>
                <w:szCs w:val="18"/>
                <w:b w:val="1"/>
                <w:bCs w:val="1"/>
                <w:color w:val="auto"/>
                <w:w w:val="92"/>
              </w:rPr>
              <w:t>Reconciliation of GAAP Net income to Adjusted EBITDA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3"/>
        </w:trPr>
        <w:tc>
          <w:tcPr>
            <w:tcW w:w="8280" w:type="dxa"/>
            <w:vAlign w:val="bottom"/>
            <w:gridSpan w:val="8"/>
          </w:tcPr>
          <w:p>
            <w:pPr>
              <w:jc w:val="center"/>
              <w:ind w:left="2890"/>
              <w:spacing w:after="0"/>
              <w:rPr>
                <w:sz w:val="20"/>
                <w:szCs w:val="20"/>
                <w:color w:val="auto"/>
              </w:rPr>
            </w:pPr>
            <w:r>
              <w:rPr>
                <w:rFonts w:ascii="Arial" w:cs="Arial" w:eastAsia="Arial" w:hAnsi="Arial"/>
                <w:sz w:val="18"/>
                <w:szCs w:val="18"/>
                <w:b w:val="1"/>
                <w:bCs w:val="1"/>
                <w:color w:val="auto"/>
                <w:w w:val="90"/>
              </w:rPr>
              <w:t>For the Three and Nine Months Ended December 31, 2022 and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4680" w:type="dxa"/>
            <w:vAlign w:val="bottom"/>
          </w:tcPr>
          <w:p>
            <w:pPr>
              <w:spacing w:after="0"/>
              <w:rPr>
                <w:sz w:val="23"/>
                <w:szCs w:val="23"/>
                <w:color w:val="auto"/>
              </w:rPr>
            </w:pPr>
          </w:p>
        </w:tc>
        <w:tc>
          <w:tcPr>
            <w:tcW w:w="20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(In thousands of dollars)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68"/>
        </w:trPr>
        <w:tc>
          <w:tcPr>
            <w:tcW w:w="4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560" w:type="dxa"/>
            <w:vAlign w:val="bottom"/>
            <w:gridSpan w:val="3"/>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2"/>
          </w:tcPr>
          <w:p>
            <w:pPr>
              <w:spacing w:after="0"/>
              <w:rPr>
                <w:sz w:val="5"/>
                <w:szCs w:val="5"/>
                <w:color w:val="auto"/>
              </w:rPr>
            </w:pPr>
          </w:p>
        </w:tc>
        <w:tc>
          <w:tcPr>
            <w:tcW w:w="1480" w:type="dxa"/>
            <w:vAlign w:val="bottom"/>
            <w:gridSpan w:val="3"/>
          </w:tcPr>
          <w:p>
            <w:pPr>
              <w:spacing w:after="0"/>
              <w:rPr>
                <w:sz w:val="5"/>
                <w:szCs w:val="5"/>
                <w:color w:val="auto"/>
              </w:rPr>
            </w:pPr>
          </w:p>
        </w:tc>
      </w:tr>
      <w:tr>
        <w:trPr>
          <w:trHeight w:val="229"/>
        </w:trPr>
        <w:tc>
          <w:tcPr>
            <w:tcW w:w="4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w w:val="98"/>
              </w:rPr>
              <w:t>Three Months Ended December 31,</w:t>
            </w:r>
          </w:p>
        </w:tc>
        <w:tc>
          <w:tcPr>
            <w:tcW w:w="29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Twelve Months Ended December 31,</w:t>
            </w:r>
          </w:p>
        </w:tc>
      </w:tr>
      <w:tr>
        <w:trPr>
          <w:trHeight w:val="223"/>
        </w:trPr>
        <w:tc>
          <w:tcPr>
            <w:tcW w:w="46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40,769</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Adjusted EBITDA</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financing expense, net</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w w:val="90"/>
              </w:rPr>
              <w:t>Net loss attributable to non-redeemable non-controlling interests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Depreciation, amortization and accretion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w:t>
            </w: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Unrealized loss on derivative instruments </w:t>
            </w:r>
            <w:r>
              <w:rPr>
                <w:rFonts w:ascii="Arial" w:cs="Arial" w:eastAsia="Arial" w:hAnsi="Arial"/>
                <w:sz w:val="23"/>
                <w:szCs w:val="23"/>
                <w:color w:val="auto"/>
                <w:vertAlign w:val="superscript"/>
              </w:rPr>
              <w:t>(2)</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2,923</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warrant exchange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Non-cash charges </w:t>
            </w:r>
            <w:r>
              <w:rPr>
                <w:rFonts w:ascii="Arial" w:cs="Arial" w:eastAsia="Arial" w:hAnsi="Arial"/>
                <w:sz w:val="23"/>
                <w:szCs w:val="23"/>
                <w:color w:val="auto"/>
                <w:vertAlign w:val="superscript"/>
              </w:rPr>
              <w:t>(3)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Transaction costs and one time non-recurring charges </w:t>
            </w:r>
            <w:r>
              <w:rPr>
                <w:rFonts w:ascii="Arial" w:cs="Arial" w:eastAsia="Arial" w:hAnsi="Arial"/>
                <w:sz w:val="23"/>
                <w:szCs w:val="23"/>
                <w:color w:val="auto"/>
                <w:vertAlign w:val="superscript"/>
              </w:rPr>
              <w:t>(4)</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Major maintenance for Renewable Power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5,946</w:t>
            </w: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repayment of Note receivable </w:t>
            </w:r>
            <w:r>
              <w:rPr>
                <w:rFonts w:ascii="Arial" w:cs="Arial" w:eastAsia="Arial" w:hAnsi="Arial"/>
                <w:sz w:val="23"/>
                <w:szCs w:val="23"/>
                <w:color w:val="auto"/>
                <w:vertAlign w:val="superscript"/>
              </w:rPr>
              <w:t>(5)</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Gas in storage </w:t>
            </w:r>
            <w:r>
              <w:rPr>
                <w:rFonts w:ascii="Arial" w:cs="Arial" w:eastAsia="Arial" w:hAnsi="Arial"/>
                <w:sz w:val="23"/>
                <w:szCs w:val="23"/>
                <w:color w:val="auto"/>
                <w:vertAlign w:val="superscript"/>
              </w:rPr>
              <w:t>(6)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deconsolidation of entities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Gain on acquisition of equity method investments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(19,818)</w:t>
            </w: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depreciation, amortization and accretion on equity method investments.</w:t>
      </w:r>
    </w:p>
    <w:p>
      <w:pPr>
        <w:spacing w:after="0" w:line="201" w:lineRule="exact"/>
        <w:rPr>
          <w:rFonts w:ascii="Arial" w:cs="Arial" w:eastAsia="Arial" w:hAnsi="Arial"/>
          <w:sz w:val="21"/>
          <w:szCs w:val="21"/>
          <w:color w:val="auto"/>
          <w:vertAlign w:val="superscript"/>
        </w:rPr>
      </w:pPr>
    </w:p>
    <w:p>
      <w:pPr>
        <w:ind w:right="240" w:firstLine="8"/>
        <w:spacing w:after="0" w:line="228" w:lineRule="auto"/>
        <w:tabs>
          <w:tab w:leader="none" w:pos="181"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Unrealized loss on derivative instruments includes change in fair value of interest rate swaps, commodity swaps, earnout liabilities, warrant liabilities, contingent liability to non-controlling interest and put option on a forward purchase agreement.</w:t>
      </w:r>
    </w:p>
    <w:p>
      <w:pPr>
        <w:spacing w:after="0" w:line="189" w:lineRule="exact"/>
        <w:rPr>
          <w:rFonts w:ascii="Arial" w:cs="Arial" w:eastAsia="Arial" w:hAnsi="Arial"/>
          <w:sz w:val="21"/>
          <w:szCs w:val="21"/>
          <w:color w:val="auto"/>
          <w:vertAlign w:val="superscript"/>
        </w:rPr>
      </w:pPr>
    </w:p>
    <w:p>
      <w:pPr>
        <w:ind w:right="440" w:firstLine="8"/>
        <w:spacing w:after="0" w:line="230" w:lineRule="auto"/>
        <w:tabs>
          <w:tab w:leader="none" w:pos="198"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Non-cash charges includes stock based compensation expense, certain expenses included in selling, general and administrative expenses relating to employee benefit accruals, inventory write down charges included in cost of sales - RNG fuel and loss on disposal of assets.</w:t>
      </w:r>
    </w:p>
    <w:p>
      <w:pPr>
        <w:spacing w:after="0" w:line="188" w:lineRule="exact"/>
        <w:rPr>
          <w:rFonts w:ascii="Arial" w:cs="Arial" w:eastAsia="Arial" w:hAnsi="Arial"/>
          <w:sz w:val="23"/>
          <w:szCs w:val="23"/>
          <w:color w:val="auto"/>
          <w:vertAlign w:val="superscript"/>
        </w:rPr>
      </w:pPr>
    </w:p>
    <w:p>
      <w:pPr>
        <w:jc w:val="both"/>
        <w:ind w:firstLine="8"/>
        <w:spacing w:after="0" w:line="217" w:lineRule="auto"/>
        <w:tabs>
          <w:tab w:leader="none" w:pos="21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Transaction costs relate to consulting and professional fees incurred in connection with the Business Combination that could not be capitalized per GAAP. One time non-recurring charges include certain expenses related to development expenses on our RNG facilities such as lease expenses incurred during construction phase that could not be capitalized per GAAP and shutdown costs on two of our Renewable Power facilities.</w:t>
      </w:r>
    </w:p>
    <w:p>
      <w:pPr>
        <w:spacing w:after="0" w:line="117"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Gain on repayment of Note receivable excludes $0.5 million of prepayment penalty received in cash.</w:t>
      </w:r>
    </w:p>
    <w:p>
      <w:pPr>
        <w:ind w:right="20" w:firstLine="8"/>
        <w:spacing w:after="0" w:line="212" w:lineRule="auto"/>
        <w:tabs>
          <w:tab w:leader="none" w:pos="21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Represents stored biogas anticipated to generate RINs and LCFSs upon completion of certification. These RINs will be monetized under a blend of forward and merchant sales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4"/>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5"/>
      <w:numFmt w:val="bullet"/>
      <w:start w:val="1"/>
    </w:lvl>
  </w:abstractNum>
  <w:abstractNum w:abstractNumId="12">
    <w:nsid w:val="6B68079A"/>
    <w:multiLevelType w:val="hybridMultilevel"/>
    <w:lvl w:ilvl="0">
      <w:lvlJc w:val="left"/>
      <w:lvlText w:val="6"/>
      <w:numFmt w:val="bullet"/>
      <w:start w:val="1"/>
    </w:lvl>
  </w:abstractNum>
  <w:abstractNum w:abstractNumId="13">
    <w:nsid w:val="4E6AFB66"/>
    <w:multiLevelType w:val="hybridMultilevel"/>
    <w:lvl w:ilvl="0">
      <w:lvlJc w:val="left"/>
      <w:lvlText w:val="8"/>
      <w:numFmt w:val="bullet"/>
      <w:start w:val="1"/>
    </w:lvl>
  </w:abstractNum>
  <w:abstractNum w:abstractNumId="14">
    <w:nsid w:val="25E45D32"/>
    <w:multiLevelType w:val="hybridMultilevel"/>
    <w:lvl w:ilvl="0">
      <w:lvlJc w:val="left"/>
      <w:lvlText w:val="9"/>
      <w:numFmt w:val="bullet"/>
      <w:start w:val="1"/>
    </w:lvl>
  </w:abstractNum>
  <w:abstractNum w:abstractNumId="15">
    <w:nsid w:val="519B500D"/>
    <w:multiLevelType w:val="hybridMultilevel"/>
    <w:lvl w:ilvl="0">
      <w:lvlJc w:val="left"/>
      <w:lvlText w:val="%1"/>
      <w:numFmt w:val="decimal"/>
      <w:start w:val="10"/>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2023-03-27T16:44:26Z</dcterms:created>
  <dcterms:modified xsi:type="dcterms:W3CDTF">2023-03-27T16:44:26Z</dcterms:modified>
</cp:coreProperties>
</file>