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7, 2024</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30"/>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594"/>
        <w:spacing w:after="0" w:line="282" w:lineRule="auto"/>
        <w:rPr>
          <w:sz w:val="20"/>
          <w:szCs w:val="20"/>
          <w:color w:val="auto"/>
        </w:rPr>
      </w:pPr>
      <w:r>
        <w:rPr>
          <w:rFonts w:ascii="Times New Roman" w:cs="Times New Roman" w:eastAsia="Times New Roman" w:hAnsi="Times New Roman"/>
          <w:sz w:val="18"/>
          <w:szCs w:val="18"/>
          <w:color w:val="auto"/>
        </w:rPr>
        <w:t>On August 7, 2024, OPAL Fuels Inc. (the "Company") issued a press release regarding its financial results for the three months ended June 30, 2024. A copy of the press release is furnished as Exhibit 99.1 hereto.</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supplement the Company’s financial statements presented in accordance with accounting principles generally accepted in the United States of America ("GAAP") in Exhibit 99.1, the Company uses a non-GAAP financial measure that it calls adjusted EBITDA ("Adjusted EBITDA"). This non-GAAP measure adjusts net income for interest and financing expense, net, net (income) loss attributable to non-controlling interests, depreciation, amortization and accretion expense, adjustments to reflect Adjusted EBITDA from equity method investments, loss on warrant exchange, unrealized (gain) loss on derivative instruments, non-cash charges, one-time non-recurring expenses and major maintenance on renewable power.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above(and/or other items that may arise in the future as the Company’s management deems appropriate), and the Company expects to continue to incur expenses, charges or gains like the non-GAAP adjustments described above.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20" w:type="dxa"/>
            <w:vAlign w:val="bottom"/>
            <w:tcBorders>
              <w:top w:val="single" w:sz="8" w:color="auto"/>
            </w:tcBorders>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OPAL Fuels Inc., dated August 7, 2024.</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20" w:type="dxa"/>
            <w:vAlign w:val="bottom"/>
            <w:tcBorders>
              <w:top w:val="single" w:sz="8" w:color="0000FF"/>
            </w:tcBorders>
            <w:shd w:val="clear" w:color="auto" w:fill="CCEEFF"/>
          </w:tcPr>
          <w:p>
            <w:pPr>
              <w:spacing w:after="0"/>
              <w:rPr>
                <w:sz w:val="5"/>
                <w:szCs w:val="5"/>
                <w:color w:val="auto"/>
              </w:rPr>
            </w:pPr>
          </w:p>
        </w:tc>
        <w:tc>
          <w:tcPr>
            <w:tcW w:w="396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81"/>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August 7, 2024</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Scott Contino</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Scott Contino</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Reports Second Quarter 2024 Results</w:t>
      </w:r>
    </w:p>
    <w:p>
      <w:pPr>
        <w:spacing w:after="0" w:line="271"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22"/>
          <w:szCs w:val="22"/>
          <w:color w:val="auto"/>
        </w:rPr>
        <w:t>WHITE PLAINS, N.Y. – (August 7, 2024) – OPAL Fuels Inc. (“OPAL Fuels” or the “Company”) (Nasdaq: OPAL), a vertically integrated leader in the capture and conversion of biogas into low carbon intensity RNG and Renewable Power, today announced results for the three and six months ended June 30, 2024.</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“Second quarter results were solid and we remain on target to achieve our 2024 financial objectives,” said Adam Comora, Co-Chief Executive Officer. “We achieved Adjusted EBITDA of $18.9 million, driven by growing RNG production supportive RIN prices and improved margins in our Fuel Stations Services segment. A substantial majority of our expected RIN sales for this year are now contracted at favorable pricing and we remain on schedule for completing construction of our RNG projects coming online this year," continued Comora.</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2"/>
          <w:szCs w:val="22"/>
          <w:color w:val="auto"/>
        </w:rPr>
        <w:t>“We are executing on our growth initiatives and are pleased to announce the addition of the Burlington RNG facility to our in-construction portfolio, bringing the combined number of RNG projects in construction and operation to 16. This is the second project with our joint venture partner South Jersey Industries,” said co-CEO Jonathan Maurer. “OPAL's share of Burlington represents an additional 0.46 million MMBtu of annual design capacity bringing our total operating and in-construction RNG portfolio annual design capacity to 10.8 million MMBtu. Burlington and our previously announced Cottonwood project together total 1.1 million MMBtu of new annual RNG production design capacity placed in construction against our 2.0 million MMBtu target for 2024.”</w:t>
      </w:r>
    </w:p>
    <w:p>
      <w:pPr>
        <w:spacing w:after="0" w:line="202"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2"/>
          <w:szCs w:val="22"/>
          <w:color w:val="auto"/>
        </w:rPr>
        <w:t>“Market fundamentals continue to be strong for the capture and productive use of biogenic methane emissions” continued Comora. We believe our team and our vertically integrated business model position us well to capitalize on these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Financial Highlights</w:t>
      </w:r>
    </w:p>
    <w:p>
      <w:pPr>
        <w:spacing w:after="0" w:line="224" w:lineRule="exact"/>
        <w:rPr>
          <w:sz w:val="20"/>
          <w:szCs w:val="20"/>
          <w:color w:val="auto"/>
        </w:rPr>
      </w:pPr>
    </w:p>
    <w:p>
      <w:pPr>
        <w:ind w:left="660" w:hanging="328"/>
        <w:spacing w:after="0" w:line="25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for the three and six months ended June 30, 2024, was $71.0 million and $135.9 million, an increase of $15.9 million or 29% and $37.9 million or 39%, compared to the same periods last year.</w:t>
      </w:r>
    </w:p>
    <w:p>
      <w:pPr>
        <w:spacing w:after="0" w:line="185"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295"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share of revenues from equity method investments, not included above for three and six months ended June 30, 2024, were $11.2 million and $22.0 million, compared to $2.1 million and $5.8 million, in the same periods prior year.</w:t>
      </w:r>
    </w:p>
    <w:p>
      <w:pPr>
        <w:spacing w:after="0" w:line="186" w:lineRule="exact"/>
        <w:rPr>
          <w:rFonts w:ascii="Times New Roman" w:cs="Times New Roman" w:eastAsia="Times New Roman" w:hAnsi="Times New Roman"/>
          <w:sz w:val="22"/>
          <w:szCs w:val="22"/>
          <w:color w:val="auto"/>
        </w:rPr>
      </w:pPr>
    </w:p>
    <w:p>
      <w:pPr>
        <w:ind w:left="660" w:hanging="328"/>
        <w:spacing w:after="0" w:line="243"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Net income for the three and six months ended June 30, 2024, was $1.9 million and $2.6 million, compared to $114.1 million and $106.7 million in the same periods last year.</w:t>
      </w:r>
      <w:r>
        <w:rPr>
          <w:rFonts w:ascii="Times New Roman" w:cs="Times New Roman" w:eastAsia="Times New Roman" w:hAnsi="Times New Roman"/>
          <w:sz w:val="28"/>
          <w:szCs w:val="28"/>
          <w:color w:val="auto"/>
          <w:vertAlign w:val="superscript"/>
        </w:rPr>
        <w:t>1</w:t>
      </w:r>
    </w:p>
    <w:p>
      <w:pPr>
        <w:spacing w:after="0" w:line="91" w:lineRule="exact"/>
        <w:rPr>
          <w:rFonts w:ascii="Arial" w:cs="Arial" w:eastAsia="Arial" w:hAnsi="Arial"/>
          <w:sz w:val="22"/>
          <w:szCs w:val="22"/>
          <w:color w:val="auto"/>
        </w:rPr>
      </w:pPr>
    </w:p>
    <w:p>
      <w:pPr>
        <w:jc w:val="both"/>
        <w:ind w:left="660" w:hanging="328"/>
        <w:spacing w:after="0" w:line="225"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Basic net loss per share attributable to Class A common shareholders for the three and six months ended June 30, 2024 was $(0.01) and $(0.02), compared to basic net income per share of $0.66 and $0.60, for the three and six months ended June 30, 2023</w:t>
      </w:r>
    </w:p>
    <w:p>
      <w:pPr>
        <w:spacing w:after="0" w:line="187" w:lineRule="exact"/>
        <w:rPr>
          <w:rFonts w:ascii="Times New Roman" w:cs="Times New Roman" w:eastAsia="Times New Roman" w:hAnsi="Times New Roman"/>
          <w:sz w:val="22"/>
          <w:szCs w:val="22"/>
          <w:color w:val="auto"/>
        </w:rPr>
      </w:pPr>
    </w:p>
    <w:p>
      <w:pPr>
        <w:ind w:left="660" w:right="20" w:hanging="328"/>
        <w:spacing w:after="0" w:line="216"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for the three and six months ended June 30, 2024, was $18.9 million and $34.1 million, an increase of $13.8 million and $30.6 million compared to the same periods last year.</w:t>
      </w:r>
    </w:p>
    <w:p>
      <w:pPr>
        <w:spacing w:after="0" w:line="20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June 30, 2024, RNG Pending Monetization totaled $20.7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Operational Highlights</w:t>
      </w:r>
    </w:p>
    <w:p>
      <w:pPr>
        <w:spacing w:after="0" w:line="224" w:lineRule="exact"/>
        <w:rPr>
          <w:sz w:val="20"/>
          <w:szCs w:val="20"/>
          <w:color w:val="auto"/>
        </w:rPr>
      </w:pPr>
    </w:p>
    <w:p>
      <w:pPr>
        <w:ind w:left="660" w:hanging="328"/>
        <w:spacing w:after="0" w:line="235"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RNG produced was 0.9 million and 1.7 million MMBtu for the three and six months ended June 30, 2024, an increase of 50% and 42%, compared to the prior-year periods.</w:t>
      </w:r>
    </w:p>
    <w:p>
      <w:pPr>
        <w:spacing w:after="0" w:line="178" w:lineRule="exact"/>
        <w:rPr>
          <w:rFonts w:ascii="Arial" w:cs="Arial" w:eastAsia="Arial" w:hAnsi="Arial"/>
          <w:sz w:val="22"/>
          <w:szCs w:val="22"/>
          <w:color w:val="auto"/>
        </w:rPr>
      </w:pPr>
    </w:p>
    <w:p>
      <w:pPr>
        <w:ind w:left="660" w:hanging="328"/>
        <w:spacing w:after="0" w:line="235"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RNG sold as transportation fuel was 18.7 million and 35.1 million GGEs for the three and six months ended June 30, 2024, an increase of 70% and 82% compared to the prior-year periods.</w:t>
      </w:r>
    </w:p>
    <w:p>
      <w:pPr>
        <w:spacing w:after="0" w:line="205" w:lineRule="exact"/>
        <w:rPr>
          <w:rFonts w:ascii="Arial" w:cs="Arial" w:eastAsia="Arial" w:hAnsi="Arial"/>
          <w:sz w:val="22"/>
          <w:szCs w:val="22"/>
          <w:color w:val="auto"/>
        </w:rPr>
      </w:pPr>
    </w:p>
    <w:p>
      <w:pPr>
        <w:jc w:val="both"/>
        <w:ind w:left="660" w:hanging="328"/>
        <w:spacing w:after="0" w:line="26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Fuel Station Services segment sold, dispensed, and serviced an aggregate of 36.6 million and 71.6 million GGEs of transportation fuel for the three and six months ended June 30, 2024, an increase of 3% and 5% compared to the prior year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Guidance</w:t>
      </w:r>
    </w:p>
    <w:p>
      <w:pPr>
        <w:spacing w:after="0" w:line="25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Maintaining 2024 Adjusted EBITDA between $90 million and $100 million.</w:t>
      </w:r>
    </w:p>
    <w:p>
      <w:pPr>
        <w:spacing w:after="0" w:line="245" w:lineRule="exact"/>
        <w:rPr>
          <w:rFonts w:ascii="Arial" w:cs="Arial" w:eastAsia="Arial" w:hAnsi="Arial"/>
          <w:sz w:val="22"/>
          <w:szCs w:val="22"/>
          <w:color w:val="auto"/>
        </w:rPr>
      </w:pPr>
    </w:p>
    <w:p>
      <w:pPr>
        <w:ind w:left="660" w:right="160" w:hanging="328"/>
        <w:spacing w:after="0" w:line="258"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RNG production is expected to range between 4.0 and 4.4 million MMBtu, compared with our previous guidance of 4.4-4.8 million MMBtu, primarily driven by slower than anticipated ramp up of our most recent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8" w:lineRule="exact"/>
        <w:rPr>
          <w:sz w:val="20"/>
          <w:szCs w:val="20"/>
          <w:color w:val="auto"/>
        </w:rPr>
      </w:pPr>
    </w:p>
    <w:p>
      <w:pPr>
        <w:ind w:left="20" w:right="380" w:hanging="6"/>
        <w:spacing w:after="0" w:line="192" w:lineRule="auto"/>
        <w:tabs>
          <w:tab w:leader="none" w:pos="144"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Net income for the three and six months ended June 30, 2023 included a $122.9 million non-cash gain on deconsolidation of variable interest entities ("VIEs").</w:t>
      </w:r>
    </w:p>
    <w:p>
      <w:pPr>
        <w:spacing w:after="0" w:line="200" w:lineRule="exact"/>
        <w:rPr>
          <w:sz w:val="20"/>
          <w:szCs w:val="20"/>
          <w:color w:val="auto"/>
        </w:rPr>
      </w:pPr>
    </w:p>
    <w:p>
      <w:pPr>
        <w:spacing w:after="0" w:line="254" w:lineRule="exact"/>
        <w:rPr>
          <w:sz w:val="20"/>
          <w:szCs w:val="20"/>
          <w:color w:val="auto"/>
        </w:rPr>
      </w:pPr>
    </w:p>
    <w:p>
      <w:pPr>
        <w:ind w:left="20" w:right="440" w:hanging="6"/>
        <w:spacing w:after="0" w:line="195" w:lineRule="auto"/>
        <w:tabs>
          <w:tab w:leader="none" w:pos="144"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This is a non-GAAP financial measure. A reconciliation of this non-GAAP financial measure to a comparable GAAP financial measure has been provided in the financial tables included in this press release. An explanation of this measure and how it is calculated is also included below under the heading “Non-GAAP Financial Measures.”</w:t>
      </w: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1" w:right="339" w:bottom="1440" w:gutter="0" w:footer="0" w:header="0"/>
          <w:type w:val="continuous"/>
        </w:sectPr>
      </w:pPr>
    </w:p>
    <w:bookmarkStart w:id="6" w:name="page7"/>
    <w:bookmarkEnd w:id="6"/>
    <w:p>
      <w:pPr>
        <w:spacing w:after="0" w:line="21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1"/>
          <w:szCs w:val="21"/>
          <w:color w:val="auto"/>
        </w:rPr>
      </w:pPr>
      <w:r>
        <w:rPr>
          <w:rFonts w:ascii="Times New Roman" w:cs="Times New Roman" w:eastAsia="Times New Roman" w:hAnsi="Times New Roman"/>
          <w:sz w:val="21"/>
          <w:szCs w:val="21"/>
          <w:color w:val="auto"/>
        </w:rPr>
        <w:t>RNG projects placed into construction in 2024 is maintained to be at least 2.0 million MMBtu of annual design capacity</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w:t>
      </w:r>
    </w:p>
    <w:p>
      <w:pPr>
        <w:spacing w:after="0" w:line="181" w:lineRule="exact"/>
        <w:rPr>
          <w:rFonts w:ascii="Arial" w:cs="Arial" w:eastAsia="Arial" w:hAnsi="Arial"/>
          <w:sz w:val="21"/>
          <w:szCs w:val="21"/>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Capex is maintained at $230.0 million for 2024.</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Growth in Fuel Station Services Adjusted EBITDA is maintained between 75-90% in 2024</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Construction Update</w:t>
      </w:r>
    </w:p>
    <w:p>
      <w:pPr>
        <w:spacing w:after="0" w:line="251" w:lineRule="exact"/>
        <w:rPr>
          <w:sz w:val="20"/>
          <w:szCs w:val="20"/>
          <w:color w:val="auto"/>
        </w:rPr>
      </w:pPr>
    </w:p>
    <w:p>
      <w:pPr>
        <w:jc w:val="both"/>
        <w:ind w:left="660" w:hanging="328"/>
        <w:spacing w:after="0" w:line="256"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The Sapphire RNG project is mechanically complete. Commissioning has begun and Commercial operations are expected to begin in the third quarter. This project represents approximately 0.8 million MMBtu for OPAL Fuels’ 50% ownership share of annual design capacity.</w:t>
      </w:r>
    </w:p>
    <w:p>
      <w:pPr>
        <w:spacing w:after="0" w:line="201" w:lineRule="exact"/>
        <w:rPr>
          <w:rFonts w:ascii="Arial" w:cs="Arial" w:eastAsia="Arial" w:hAnsi="Arial"/>
          <w:sz w:val="22"/>
          <w:szCs w:val="22"/>
          <w:color w:val="auto"/>
        </w:rPr>
      </w:pPr>
    </w:p>
    <w:p>
      <w:pPr>
        <w:jc w:val="both"/>
        <w:ind w:left="660" w:hanging="328"/>
        <w:spacing w:after="0" w:line="263"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The Polk County (Florida) RNG project continues to be on track to commence commercial operations in the fourth quarter of 2024. This project, owned 100% by OPAL Fuels, represents approximately 1.1 million MMBtu of annual design capacity.</w:t>
      </w:r>
    </w:p>
    <w:p>
      <w:pPr>
        <w:spacing w:after="0" w:line="193" w:lineRule="exact"/>
        <w:rPr>
          <w:rFonts w:ascii="Arial" w:cs="Arial" w:eastAsia="Arial" w:hAnsi="Arial"/>
          <w:sz w:val="22"/>
          <w:szCs w:val="22"/>
          <w:color w:val="auto"/>
        </w:rPr>
      </w:pPr>
    </w:p>
    <w:p>
      <w:pPr>
        <w:jc w:val="both"/>
        <w:ind w:left="660" w:hanging="328"/>
        <w:spacing w:after="0" w:line="256"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The Atlantic RNG project is on schedule and is expected to commence commercial operations in the third quarter of 2025. This project represents approximately 0.3 million MMBtu for OPAL Fuels’ 50% ownership share of annual design capacity.</w:t>
      </w:r>
    </w:p>
    <w:p>
      <w:pPr>
        <w:spacing w:after="0" w:line="215" w:lineRule="exact"/>
        <w:rPr>
          <w:rFonts w:ascii="Arial" w:cs="Arial" w:eastAsia="Arial" w:hAnsi="Arial"/>
          <w:sz w:val="22"/>
          <w:szCs w:val="22"/>
          <w:color w:val="auto"/>
        </w:rPr>
      </w:pPr>
    </w:p>
    <w:p>
      <w:pPr>
        <w:ind w:left="660" w:hanging="328"/>
        <w:spacing w:after="0" w:line="270"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The Cottonwood RNG project entered construction in May. This project, owned 100% by OPAL Fuels, represents approximately 0.7 million MMBtu of annual design capacity.</w:t>
      </w:r>
    </w:p>
    <w:p>
      <w:pPr>
        <w:spacing w:after="0" w:line="185" w:lineRule="exact"/>
        <w:rPr>
          <w:rFonts w:ascii="Arial" w:cs="Arial" w:eastAsia="Arial" w:hAnsi="Arial"/>
          <w:sz w:val="22"/>
          <w:szCs w:val="22"/>
          <w:color w:val="auto"/>
        </w:rPr>
      </w:pPr>
    </w:p>
    <w:p>
      <w:pPr>
        <w:jc w:val="both"/>
        <w:ind w:left="660" w:hanging="328"/>
        <w:spacing w:after="0" w:line="256"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The Burlington RNG project has begun construction. This project, 50% owned by OPAL is the second RNG project with joint venture partner South Jersey Industries, represents approximately 0.46 million MMBtu for OPAL Fuels’ share of annual design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2108835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0" w:hanging="132"/>
        <w:spacing w:after="0"/>
        <w:tabs>
          <w:tab w:leader="none" w:pos="140"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Reflects OPAL Fuels’ proportional share with respect to RNG projects owned with joint venture partners.</w:t>
      </w:r>
    </w:p>
    <w:p>
      <w:pPr>
        <w:spacing w:after="0" w:line="200" w:lineRule="exact"/>
        <w:rPr>
          <w:rFonts w:ascii="Times New Roman" w:cs="Times New Roman" w:eastAsia="Times New Roman" w:hAnsi="Times New Roman"/>
          <w:sz w:val="28"/>
          <w:szCs w:val="28"/>
          <w:color w:val="auto"/>
          <w:vertAlign w:val="superscript"/>
        </w:rPr>
      </w:pPr>
    </w:p>
    <w:p>
      <w:pPr>
        <w:spacing w:after="0" w:line="200" w:lineRule="exact"/>
        <w:rPr>
          <w:rFonts w:ascii="Times New Roman" w:cs="Times New Roman" w:eastAsia="Times New Roman" w:hAnsi="Times New Roman"/>
          <w:sz w:val="28"/>
          <w:szCs w:val="28"/>
          <w:color w:val="auto"/>
          <w:vertAlign w:val="superscript"/>
        </w:rPr>
      </w:pPr>
    </w:p>
    <w:p>
      <w:pPr>
        <w:spacing w:after="0" w:line="200" w:lineRule="exact"/>
        <w:rPr>
          <w:rFonts w:ascii="Times New Roman" w:cs="Times New Roman" w:eastAsia="Times New Roman" w:hAnsi="Times New Roman"/>
          <w:sz w:val="28"/>
          <w:szCs w:val="28"/>
          <w:color w:val="auto"/>
          <w:vertAlign w:val="superscript"/>
        </w:rPr>
      </w:pPr>
    </w:p>
    <w:p>
      <w:pPr>
        <w:spacing w:after="0" w:line="389" w:lineRule="exact"/>
        <w:rPr>
          <w:rFonts w:ascii="Times New Roman" w:cs="Times New Roman" w:eastAsia="Times New Roman" w:hAnsi="Times New Roman"/>
          <w:sz w:val="28"/>
          <w:szCs w:val="28"/>
          <w:color w:val="auto"/>
          <w:vertAlign w:val="superscript"/>
        </w:rPr>
      </w:pPr>
    </w:p>
    <w:p>
      <w:pPr>
        <w:ind w:left="5580"/>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00" w:lineRule="exact"/>
        <w:rPr>
          <w:sz w:val="20"/>
          <w:szCs w:val="20"/>
          <w:color w:val="auto"/>
        </w:rPr>
      </w:pPr>
    </w:p>
    <w:p>
      <w:pPr>
        <w:spacing w:after="0" w:line="301"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 of dollars, except RNG Fuel data)</w:t>
            </w:r>
          </w:p>
        </w:tc>
        <w:tc>
          <w:tcPr>
            <w:tcW w:w="2360" w:type="dxa"/>
            <w:vAlign w:val="bottom"/>
            <w:tcBorders>
              <w:top w:val="single" w:sz="8" w:color="auto"/>
              <w:bottom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2280" w:type="dxa"/>
            <w:vAlign w:val="bottom"/>
            <w:tcBorders>
              <w:top w:val="single" w:sz="8" w:color="auto"/>
              <w:bottom w:val="single" w:sz="8" w:color="auto"/>
            </w:tcBorders>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23"/>
        </w:trPr>
        <w:tc>
          <w:tcPr>
            <w:tcW w:w="4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w:t>
            </w:r>
          </w:p>
        </w:tc>
      </w:tr>
      <w:tr>
        <w:trPr>
          <w:trHeight w:val="32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50,784</w:t>
            </w:r>
          </w:p>
        </w:tc>
      </w:tr>
      <w:tr>
        <w:trPr>
          <w:trHeight w:val="229"/>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29,835</w:t>
            </w:r>
          </w:p>
        </w:tc>
      </w:tr>
      <w:tr>
        <w:trPr>
          <w:trHeight w:val="248"/>
        </w:trPr>
        <w:tc>
          <w:tcPr>
            <w:tcW w:w="45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106,704</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r>
      <w:tr>
        <w:trPr>
          <w:trHeight w:val="229"/>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r>
      <w:tr>
        <w:trPr>
          <w:trHeight w:val="230"/>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w:t>
            </w:r>
          </w:p>
        </w:tc>
      </w:tr>
      <w:tr>
        <w:trPr>
          <w:trHeight w:val="229"/>
        </w:trPr>
        <w:tc>
          <w:tcPr>
            <w:tcW w:w="4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(23,215)</w:t>
            </w:r>
          </w:p>
        </w:tc>
      </w:tr>
      <w:tr>
        <w:trPr>
          <w:trHeight w:val="248"/>
        </w:trPr>
        <w:tc>
          <w:tcPr>
            <w:tcW w:w="45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Consolidated Adjusted EBITDA</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volume produced (Million MMBtus)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RNG Fuel volume sold (Million GGEs)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RNG Fuel volume delivered (Million GGEs)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bl>
    <w:p>
      <w:pPr>
        <w:spacing w:after="0" w:line="316" w:lineRule="exact"/>
        <w:rPr>
          <w:sz w:val="20"/>
          <w:szCs w:val="20"/>
          <w:color w:val="auto"/>
        </w:rPr>
      </w:pPr>
    </w:p>
    <w:p>
      <w:pPr>
        <w:ind w:left="200" w:hanging="192"/>
        <w:spacing w:after="0"/>
        <w:tabs>
          <w:tab w:leader="none" w:pos="2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revenues from equity method investments.</w:t>
      </w:r>
    </w:p>
    <w:p>
      <w:pPr>
        <w:spacing w:after="0" w:line="211" w:lineRule="exact"/>
        <w:rPr>
          <w:rFonts w:ascii="Times New Roman" w:cs="Times New Roman" w:eastAsia="Times New Roman" w:hAnsi="Times New Roman"/>
          <w:sz w:val="23"/>
          <w:szCs w:val="23"/>
          <w:color w:val="auto"/>
          <w:vertAlign w:val="superscript"/>
        </w:rPr>
      </w:pPr>
    </w:p>
    <w:p>
      <w:pPr>
        <w:jc w:val="both"/>
        <w:ind w:left="260" w:hanging="252"/>
        <w:spacing w:after="0" w:line="221" w:lineRule="auto"/>
        <w:tabs>
          <w:tab w:leader="none" w:pos="22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is a non-GAAP financial measure. A reconciliation of this non-GAAP financial measure to a comparable GAAP financial measure has been provided in the financial tables included in this press release. An explanation of this measure and how it is calculated is also included below under the heading “Non-GAAP Financial Measures.”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 from equity method investments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23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25"/>
        </w:trPr>
        <w:tc>
          <w:tcPr>
            <w:tcW w:w="5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9"/>
                <w:szCs w:val="19"/>
                <w:color w:val="auto"/>
              </w:rPr>
            </w:pPr>
          </w:p>
        </w:tc>
      </w:tr>
      <w:tr>
        <w:trPr>
          <w:trHeight w:val="227"/>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 of dollars)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9"/>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14,464</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9,876</w:t>
            </w:r>
          </w:p>
        </w:tc>
      </w:tr>
      <w:tr>
        <w:trPr>
          <w:trHeight w:val="33"/>
        </w:trPr>
        <w:tc>
          <w:tcPr>
            <w:tcW w:w="5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w:t>
            </w:r>
          </w:p>
        </w:tc>
      </w:tr>
      <w:tr>
        <w:trPr>
          <w:trHeight w:val="276"/>
        </w:trPr>
        <w:tc>
          <w:tcPr>
            <w:tcW w:w="5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OPAL’s share of revenues from equity method investments</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w:t>
            </w:r>
          </w:p>
        </w:tc>
      </w:tr>
      <w:tr>
        <w:trPr>
          <w:trHeight w:val="240"/>
        </w:trPr>
        <w:tc>
          <w:tcPr>
            <w:tcW w:w="5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OPAL’s share of gross profit from equity method investments</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w:t>
            </w:r>
          </w:p>
        </w:tc>
      </w:tr>
      <w:tr>
        <w:trPr>
          <w:trHeight w:val="246"/>
        </w:trPr>
        <w:tc>
          <w:tcPr>
            <w:tcW w:w="5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OPAL’s share of net income (loss) from equity method investments </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6"/>
        </w:trPr>
        <w:tc>
          <w:tcPr>
            <w:tcW w:w="5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OPAL’s share of Adjusted EBITDA from equity method investments</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jc w:val="both"/>
        <w:ind w:firstLine="8"/>
        <w:spacing w:after="0" w:line="535" w:lineRule="auto"/>
        <w:tabs>
          <w:tab w:leader="none" w:pos="165"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Net income from equity method investments represents our portion of the net income from equity method investments including $1,427 and $2,858 of amortization expense related to basis differences for the three and six months ended June 30, 2024 and $1,057 for the three and six months ended June 30, 2023</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Landfill RNG Facility Capacity and Utilization Summary</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shd w:val="clear" w:color="auto" w:fill="CCEEFF"/>
          </w:tcPr>
          <w:p>
            <w:pPr>
              <w:spacing w:after="0"/>
              <w:rPr>
                <w:sz w:val="17"/>
                <w:szCs w:val="17"/>
                <w:color w:val="auto"/>
              </w:rPr>
            </w:pPr>
          </w:p>
        </w:tc>
        <w:tc>
          <w:tcPr>
            <w:tcW w:w="2320" w:type="dxa"/>
            <w:vAlign w:val="bottom"/>
            <w:gridSpan w:val="4"/>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3"/>
        </w:trPr>
        <w:tc>
          <w:tcPr>
            <w:tcW w:w="556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tcBorders>
              <w:bottom w:val="single" w:sz="8" w:color="auto"/>
            </w:tcBorders>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shd w:val="clear" w:color="auto" w:fill="CCEEFF"/>
          </w:tcPr>
          <w:p>
            <w:pPr>
              <w:spacing w:after="0"/>
              <w:rPr>
                <w:sz w:val="21"/>
                <w:szCs w:val="21"/>
                <w:color w:val="auto"/>
              </w:rPr>
            </w:pPr>
          </w:p>
        </w:tc>
      </w:tr>
      <w:tr>
        <w:trPr>
          <w:trHeight w:val="223"/>
        </w:trPr>
        <w:tc>
          <w:tcPr>
            <w:tcW w:w="5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5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Landfill RNG Facility Capacity and Utilization</w:t>
            </w:r>
            <w:r>
              <w:rPr>
                <w:rFonts w:ascii="Times New Roman" w:cs="Times New Roman" w:eastAsia="Times New Roman" w:hAnsi="Times New Roman"/>
                <w:sz w:val="23"/>
                <w:szCs w:val="23"/>
                <w:b w:val="1"/>
                <w:bCs w:val="1"/>
                <w:color w:val="auto"/>
                <w:vertAlign w:val="superscript"/>
              </w:rPr>
              <w:t>(1)(2)(3)(4)</w:t>
            </w: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 Capacity (Million MMBtus)</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of Inlet Gas (Million MMBtus)</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Inlet Design Capacity Utilization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volume produced (Million MMBtus)</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Utilization of Inlet Gas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bl>
    <w:p>
      <w:pPr>
        <w:spacing w:after="0" w:line="314" w:lineRule="exact"/>
        <w:rPr>
          <w:sz w:val="20"/>
          <w:szCs w:val="20"/>
          <w:color w:val="auto"/>
        </w:rPr>
      </w:pPr>
    </w:p>
    <w:p>
      <w:pPr>
        <w:jc w:val="both"/>
        <w:ind w:firstLine="8"/>
        <w:spacing w:after="0" w:line="239" w:lineRule="auto"/>
        <w:tabs>
          <w:tab w:leader="none" w:pos="196"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225" w:lineRule="exact"/>
        <w:rPr>
          <w:rFonts w:ascii="Times New Roman" w:cs="Times New Roman" w:eastAsia="Times New Roman" w:hAnsi="Times New Roman"/>
          <w:sz w:val="23"/>
          <w:szCs w:val="23"/>
          <w:color w:val="auto"/>
          <w:vertAlign w:val="superscript"/>
        </w:rPr>
      </w:pPr>
    </w:p>
    <w:p>
      <w:pPr>
        <w:jc w:val="both"/>
        <w:ind w:firstLine="8"/>
        <w:spacing w:after="0" w:line="334" w:lineRule="auto"/>
        <w:tabs>
          <w:tab w:leader="none" w:pos="165"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LFG collection system used to recover the LFG. The Design Capacity for each facility will typically be correlated to the amount of LFG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spacing w:after="0" w:line="154" w:lineRule="exact"/>
        <w:rPr>
          <w:rFonts w:ascii="Times New Roman" w:cs="Times New Roman" w:eastAsia="Times New Roman" w:hAnsi="Times New Roman"/>
          <w:sz w:val="20"/>
          <w:szCs w:val="20"/>
          <w:color w:val="auto"/>
          <w:vertAlign w:val="superscript"/>
        </w:rPr>
      </w:pPr>
    </w:p>
    <w:p>
      <w:pPr>
        <w:jc w:val="both"/>
        <w:ind w:firstLine="8"/>
        <w:spacing w:after="0" w:line="272" w:lineRule="auto"/>
        <w:tabs>
          <w:tab w:leader="none" w:pos="179"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Utilization of Inlet Gas is measured as RNG Fuel Volume Produced divided by the Volume of Inlet Gas. Utilization of Inlet Gas varies over time depending on availability and efficiency of the facility and the quality of LFG (i.e., concentrations of methane, oxygen, nitrogen, and other gases) including the ramp up period for new projects. The Company generally expects Utilization of Inlet Gas to be in the range of 80% to 90%.</w:t>
      </w:r>
    </w:p>
    <w:p>
      <w:pPr>
        <w:spacing w:after="0" w:line="204" w:lineRule="exact"/>
        <w:rPr>
          <w:rFonts w:ascii="Times New Roman" w:cs="Times New Roman" w:eastAsia="Times New Roman" w:hAnsi="Times New Roman"/>
          <w:sz w:val="21"/>
          <w:szCs w:val="21"/>
          <w:color w:val="auto"/>
          <w:vertAlign w:val="superscript"/>
        </w:rPr>
      </w:pPr>
    </w:p>
    <w:p>
      <w:pPr>
        <w:ind w:left="180" w:hanging="166"/>
        <w:spacing w:after="0"/>
        <w:tabs>
          <w:tab w:leader="none" w:pos="18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Data not available for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s dairy projects, i.e., Sunoma and Biotown.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4" w:right="339" w:bottom="1440" w:gutter="0" w:footer="0" w:header="0"/>
        </w:sectPr>
      </w:pPr>
    </w:p>
    <w:bookmarkStart w:id="9" w:name="page10"/>
    <w:bookmarkEnd w:id="9"/>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RNG Pending Monetization Summary</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gridSpan w:val="6"/>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Average realized sales price)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Fuel Station</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3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8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Stored Gas Metrics (MMBtus)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stored RNG as of March 31, 2024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RNG production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period RNG volumes dispensed</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Balance stored RNG as of June 30, 2024</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50"/>
        </w:trPr>
        <w:tc>
          <w:tcPr>
            <w:tcW w:w="78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ending balance stored RNG using quarter end price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12,364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17,276</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RIN Metrics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March 31, 2024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RIN credit balance (Available for sale) as of June 30, 2024</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D3 price per RIN at quarter end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RINs using quarter end price </w:t>
            </w:r>
            <w:r>
              <w:rPr>
                <w:rFonts w:ascii="Times New Roman" w:cs="Times New Roman" w:eastAsia="Times New Roman" w:hAnsi="Times New Roman"/>
                <w:sz w:val="23"/>
                <w:szCs w:val="23"/>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50"/>
        </w:trPr>
        <w:tc>
          <w:tcPr>
            <w:tcW w:w="7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LCFS Metrics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(net share) as of March 31, 2024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LCFS credit balance (Available for sale) as of June 30, 2024</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LCFS credit price at quarter end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LCFSs using quarter end price </w:t>
            </w:r>
            <w:r>
              <w:rPr>
                <w:rFonts w:ascii="Times New Roman" w:cs="Times New Roman" w:eastAsia="Times New Roman" w:hAnsi="Times New Roman"/>
                <w:sz w:val="23"/>
                <w:szCs w:val="23"/>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3,252</w:t>
            </w:r>
          </w:p>
        </w:tc>
        <w:tc>
          <w:tcPr>
            <w:tcW w:w="0" w:type="dxa"/>
            <w:vAlign w:val="bottom"/>
          </w:tcPr>
          <w:p>
            <w:pPr>
              <w:spacing w:after="0"/>
              <w:rPr>
                <w:sz w:val="1"/>
                <w:szCs w:val="1"/>
                <w:color w:val="auto"/>
              </w:rPr>
            </w:pPr>
          </w:p>
        </w:tc>
      </w:tr>
      <w:tr>
        <w:trPr>
          <w:trHeight w:val="250"/>
        </w:trPr>
        <w:tc>
          <w:tcPr>
            <w:tcW w:w="78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RECs using quarter end price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 RIN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 LCFS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Value of RNG Pending Monetization at quarter end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20,711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OPAL’s ownership share of stored RNG (i.e., net of joint venture partners’ ownership) including equity method investments.</w:t>
      </w:r>
    </w:p>
    <w:p>
      <w:pPr>
        <w:spacing w:after="0" w:line="197" w:lineRule="exact"/>
        <w:rPr>
          <w:rFonts w:ascii="Times New Roman" w:cs="Times New Roman" w:eastAsia="Times New Roman" w:hAnsi="Times New Roman"/>
          <w:sz w:val="22"/>
          <w:szCs w:val="22"/>
          <w:color w:val="auto"/>
          <w:vertAlign w:val="superscript"/>
        </w:rPr>
      </w:pPr>
    </w:p>
    <w:p>
      <w:pPr>
        <w:ind w:firstLine="8"/>
        <w:spacing w:after="0" w:line="254" w:lineRule="auto"/>
        <w:tabs>
          <w:tab w:leader="none" w:pos="17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w:t>
      </w:r>
    </w:p>
    <w:p>
      <w:pPr>
        <w:spacing w:after="0" w:line="23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As of June 30, 2024, we have drawn approximately $211.6 million, and utilized $13.7 million of our revolver availability for letters of credit, under the $500 million senior secured credit facility we entered into in September 2023.</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As of June 30, 2024, our liquidity was $302.3 million, consisting of $274.7 million of availability under the above referenced credit facility, and $27.6 million of cash, cash equivalents, and short-term investments.</w:t>
      </w:r>
    </w:p>
    <w:p>
      <w:pPr>
        <w:spacing w:after="0" w:line="171" w:lineRule="exact"/>
        <w:rPr>
          <w:sz w:val="20"/>
          <w:szCs w:val="20"/>
          <w:color w:val="auto"/>
        </w:rPr>
      </w:pPr>
    </w:p>
    <w:p>
      <w:pPr>
        <w:ind w:right="1100"/>
        <w:spacing w:after="0" w:line="454" w:lineRule="auto"/>
        <w:rPr>
          <w:sz w:val="20"/>
          <w:szCs w:val="20"/>
          <w:color w:val="auto"/>
        </w:rPr>
      </w:pPr>
      <w:r>
        <w:rPr>
          <w:rFonts w:ascii="Times New Roman" w:cs="Times New Roman" w:eastAsia="Times New Roman" w:hAnsi="Times New Roman"/>
          <w:sz w:val="22"/>
          <w:szCs w:val="22"/>
          <w:color w:val="auto"/>
        </w:rPr>
        <w:t xml:space="preserve">We believe our liquidity and anticipated cash flows from operations are sufficient to meet our existing funding needs. </w:t>
      </w:r>
      <w:r>
        <w:rPr>
          <w:rFonts w:ascii="Times New Roman" w:cs="Times New Roman" w:eastAsia="Times New Roman" w:hAnsi="Times New Roman"/>
          <w:sz w:val="22"/>
          <w:szCs w:val="22"/>
          <w:b w:val="1"/>
          <w:bCs w:val="1"/>
          <w:color w:val="auto"/>
        </w:rPr>
        <w:t>Capital Expenditures</w:t>
      </w:r>
    </w:p>
    <w:p>
      <w:pPr>
        <w:spacing w:after="0" w:line="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During the first six months of 2024, OPAL Fuels invested $49.7 million across RNG projects in construction and OPAL Fuels proprietary fueling stations in construction as compared to $72.0 million in the prior year.</w:t>
      </w:r>
    </w:p>
    <w:p>
      <w:pPr>
        <w:spacing w:after="0" w:line="185"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22"/>
          <w:szCs w:val="22"/>
          <w:color w:val="auto"/>
        </w:rPr>
        <w:t>In addition, for the six months ended June 30, 2024, our portion of capital expenditures in unconsolidated entities was $16.5 million. This represents our share of capital expenditures incurred for the Atlantic and Sapphire projects.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Call</w:t>
      </w:r>
    </w:p>
    <w:p>
      <w:pPr>
        <w:spacing w:after="0" w:line="2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webcast to review OPAL Fuels’ Second Quarter 2024 results will be held tomorrow, August 8, 2024 at 11:00 AM Eastern Daylight Time.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Materials to be discussed in the webcast will be available before the call on the Company’s website.</w:t>
      </w:r>
    </w:p>
    <w:p>
      <w:pPr>
        <w:spacing w:after="0" w:line="2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 xml:space="preserve">Participants may access the call at </w:t>
      </w:r>
      <w:r>
        <w:rPr>
          <w:rFonts w:ascii="Times New Roman" w:cs="Times New Roman" w:eastAsia="Times New Roman" w:hAnsi="Times New Roman"/>
          <w:sz w:val="22"/>
          <w:szCs w:val="22"/>
          <w:u w:val="single" w:color="auto"/>
          <w:color w:val="0563C1"/>
        </w:rPr>
        <w:t>https://edge.media-server.com/mmc/p/haz262ph</w:t>
      </w:r>
      <w:r>
        <w:rPr>
          <w:rFonts w:ascii="Times New Roman" w:cs="Times New Roman" w:eastAsia="Times New Roman" w:hAnsi="Times New Roman"/>
          <w:sz w:val="22"/>
          <w:szCs w:val="22"/>
          <w:color w:val="auto"/>
        </w:rPr>
        <w:t>. Investors can also listen to a webcast of the presentation on the Company’s Investor Relations website at https://investors.opalfuels.com/news-events/events-presentations.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Glossary of terms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“D3” </w:t>
      </w:r>
      <w:r>
        <w:rPr>
          <w:rFonts w:ascii="Times New Roman" w:cs="Times New Roman" w:eastAsia="Times New Roman" w:hAnsi="Times New Roman"/>
          <w:sz w:val="22"/>
          <w:szCs w:val="22"/>
          <w:color w:val="auto"/>
        </w:rPr>
        <w:t>refers to cellulosic biofuel with a 60% greenhouse gas reduction requirement.</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“GGE” </w:t>
      </w:r>
      <w:r>
        <w:rPr>
          <w:rFonts w:ascii="Times New Roman" w:cs="Times New Roman" w:eastAsia="Times New Roman" w:hAnsi="Times New Roman"/>
          <w:sz w:val="22"/>
          <w:szCs w:val="22"/>
          <w:color w:val="auto"/>
        </w:rPr>
        <w:t>refers to gasoline gallon equivalent. It is used to measure the total volume of RNG production that OPAL Fuels expects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dispense each year. The conversion ratio is 1MMBtu equal to 7.74 GGE.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“LCFS” refers to Low Carbon Fuel Standard or similar types of federal and state programs.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“LFG” </w:t>
      </w:r>
      <w:r>
        <w:rPr>
          <w:rFonts w:ascii="Times New Roman" w:cs="Times New Roman" w:eastAsia="Times New Roman" w:hAnsi="Times New Roman"/>
          <w:sz w:val="22"/>
          <w:szCs w:val="22"/>
          <w:color w:val="auto"/>
        </w:rPr>
        <w:t>refers to landfill gas.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“MMBtu” </w:t>
      </w:r>
      <w:r>
        <w:rPr>
          <w:rFonts w:ascii="Times New Roman" w:cs="Times New Roman" w:eastAsia="Times New Roman" w:hAnsi="Times New Roman"/>
          <w:sz w:val="22"/>
          <w:szCs w:val="22"/>
          <w:color w:val="auto"/>
        </w:rPr>
        <w:t>refers to million British thermal units.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“RECs” refers to renewable energy credits.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“Renewable Power” </w:t>
      </w:r>
      <w:r>
        <w:rPr>
          <w:rFonts w:ascii="Times New Roman" w:cs="Times New Roman" w:eastAsia="Times New Roman" w:hAnsi="Times New Roman"/>
          <w:sz w:val="22"/>
          <w:szCs w:val="22"/>
          <w:color w:val="auto"/>
        </w:rPr>
        <w:t>refers to electricity generated from renewable sources.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“RIN” </w:t>
      </w:r>
      <w:r>
        <w:rPr>
          <w:rFonts w:ascii="Times New Roman" w:cs="Times New Roman" w:eastAsia="Times New Roman" w:hAnsi="Times New Roman"/>
          <w:sz w:val="22"/>
          <w:szCs w:val="22"/>
          <w:color w:val="auto"/>
        </w:rPr>
        <w:t>refers to Renewable Identification Numbers.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“RNG” </w:t>
      </w:r>
      <w:r>
        <w:rPr>
          <w:rFonts w:ascii="Times New Roman" w:cs="Times New Roman" w:eastAsia="Times New Roman" w:hAnsi="Times New Roman"/>
          <w:sz w:val="22"/>
          <w:szCs w:val="22"/>
          <w:color w:val="auto"/>
        </w:rPr>
        <w:t>refers to renewable natural gas.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“VIEs” </w:t>
      </w:r>
      <w:r>
        <w:rPr>
          <w:rFonts w:ascii="Times New Roman" w:cs="Times New Roman" w:eastAsia="Times New Roman" w:hAnsi="Times New Roman"/>
          <w:sz w:val="22"/>
          <w:szCs w:val="22"/>
          <w:color w:val="auto"/>
        </w:rPr>
        <w:t>refers to variable interest entities.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OPAL Fuels Inc. (Nasdaq: OPAL) is a leader in the capture and conversion of biogas into low carbon intensity RNG and 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harmful methane emissions and decarbonize the economy, p</w:t>
      </w:r>
      <w:r>
        <w:rPr>
          <w:rFonts w:ascii="Times New Roman" w:cs="Times New Roman" w:eastAsia="Times New Roman" w:hAnsi="Times New Roman"/>
          <w:sz w:val="21"/>
          <w:szCs w:val="21"/>
          <w:color w:val="212121"/>
        </w:rPr>
        <w:t>lease visit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78D4"/>
        </w:rPr>
        <w:t>www.opalfuels.com.</w:t>
      </w:r>
    </w:p>
    <w:p>
      <w:pPr>
        <w:spacing w:after="0" w:line="17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ind w:left="20"/>
        <w:spacing w:after="0" w:line="246"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1" w:right="339" w:bottom="1440" w:gutter="0" w:footer="0" w:header="0"/>
        </w:sectPr>
      </w:pPr>
    </w:p>
    <w:bookmarkStart w:id="12" w:name="page13"/>
    <w:bookmarkEnd w:id="12"/>
    <w:p>
      <w:pPr>
        <w:jc w:val="both"/>
        <w:ind w:left="20"/>
        <w:spacing w:after="0" w:line="247" w:lineRule="auto"/>
        <w:rPr>
          <w:sz w:val="20"/>
          <w:szCs w:val="20"/>
          <w:color w:val="auto"/>
        </w:rPr>
      </w:pPr>
      <w:r>
        <w:rPr>
          <w:rFonts w:ascii="Times New Roman" w:cs="Times New Roman" w:eastAsia="Times New Roman" w:hAnsi="Times New Roman"/>
          <w:sz w:val="22"/>
          <w:szCs w:val="22"/>
          <w:color w:val="auto"/>
        </w:rPr>
        <w:t>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filed on March 15, 2024,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spacing w:after="0" w:line="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&amp; Corporate Development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914-705-4001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investors@opalfuels.com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Michelle Stein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Corporate Communications</w:t>
      </w:r>
    </w:p>
    <w:p>
      <w:pPr>
        <w:spacing w:after="0" w:line="29" w:lineRule="exact"/>
        <w:rPr>
          <w:sz w:val="20"/>
          <w:szCs w:val="20"/>
          <w:color w:val="auto"/>
        </w:rPr>
      </w:pPr>
    </w:p>
    <w:p>
      <w:pPr>
        <w:ind w:right="9240" w:firstLine="8"/>
        <w:spacing w:after="0" w:line="269" w:lineRule="auto"/>
        <w:tabs>
          <w:tab w:leader="none" w:pos="522"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421-5314 </w:t>
      </w:r>
      <w:r>
        <w:rPr>
          <w:rFonts w:ascii="Times New Roman" w:cs="Times New Roman" w:eastAsia="Times New Roman" w:hAnsi="Times New Roman"/>
          <w:sz w:val="21"/>
          <w:szCs w:val="21"/>
          <w:u w:val="single" w:color="auto"/>
          <w:color w:val="0000FF"/>
        </w:rPr>
        <w:t>mstein@opalfuels.com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13" w:name="page14"/>
    <w:bookmarkEnd w:id="13"/>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7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(includes $533 and $166 at June 30, 2024 and December 31, 2023, respectively, related to</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19,016</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38,348</w:t>
            </w:r>
          </w:p>
        </w:tc>
        <w:tc>
          <w:tcPr>
            <w:tcW w:w="0" w:type="dxa"/>
            <w:vAlign w:val="bottom"/>
          </w:tcPr>
          <w:p>
            <w:pPr>
              <w:spacing w:after="0"/>
              <w:rPr>
                <w:sz w:val="1"/>
                <w:szCs w:val="1"/>
                <w:color w:val="auto"/>
              </w:rPr>
            </w:pPr>
          </w:p>
        </w:tc>
      </w:tr>
      <w:tr>
        <w:trPr>
          <w:trHeight w:val="220"/>
        </w:trPr>
        <w:tc>
          <w:tcPr>
            <w:tcW w:w="7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consolidated VIEs)</w:t>
            </w:r>
          </w:p>
        </w:tc>
        <w:tc>
          <w:tcPr>
            <w:tcW w:w="2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(includes $388 and $33 at June 30, 2024 and December 31, 2023, respectively, related to</w:t>
            </w:r>
          </w:p>
        </w:tc>
        <w:tc>
          <w:tcPr>
            <w:tcW w:w="2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27,623</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consolidated VIEs)</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related party</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18,696</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 current (includes $940 and $4,395 at June 30, 2024 and December 31, 2023, respectively, related to</w:t>
            </w: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consolidated VIEs)</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 term investments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9,875</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Parts inventory (includes $29 and $29 at June 30, 2024 and December 31, 2023, respectively, related to consolidated</w:t>
            </w: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10,191</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VIEs)</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 (includes $68 and $107 at June 30, 2024 and December 31, 2023,</w:t>
            </w: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financial assets, current portion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128,073</w:t>
            </w:r>
          </w:p>
        </w:tc>
        <w:tc>
          <w:tcPr>
            <w:tcW w:w="0" w:type="dxa"/>
            <w:vAlign w:val="bottom"/>
          </w:tcPr>
          <w:p>
            <w:pPr>
              <w:spacing w:after="0"/>
              <w:rPr>
                <w:sz w:val="1"/>
                <w:szCs w:val="1"/>
                <w:color w:val="auto"/>
              </w:rPr>
            </w:pPr>
          </w:p>
        </w:tc>
      </w:tr>
      <w:tr>
        <w:trPr>
          <w:trHeight w:val="204"/>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spares</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 (includes $25,884 and $26,626 at June 30, 2024 and December 31, 2023,</w:t>
            </w: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339,493</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12,301</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 other entities</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207,099</w:t>
            </w: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 receivable - variable fee component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 non-current (includes $2,063 and $1,850 at June 30, 2024 and December 31, 2023, respectively,</w:t>
            </w: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782,312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754,609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(includes $50 and $744 at June 30, 2024 and December 31, 2023, respectively, related to</w:t>
            </w:r>
          </w:p>
        </w:tc>
        <w:tc>
          <w:tcPr>
            <w:tcW w:w="2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13,901</w:t>
            </w:r>
          </w:p>
        </w:tc>
        <w:tc>
          <w:tcPr>
            <w:tcW w:w="0" w:type="dxa"/>
            <w:vAlign w:val="bottom"/>
          </w:tcPr>
          <w:p>
            <w:pPr>
              <w:spacing w:after="0"/>
              <w:rPr>
                <w:sz w:val="1"/>
                <w:szCs w:val="1"/>
                <w:color w:val="auto"/>
              </w:rPr>
            </w:pPr>
          </w:p>
        </w:tc>
      </w:tr>
      <w:tr>
        <w:trPr>
          <w:trHeight w:val="220"/>
        </w:trPr>
        <w:tc>
          <w:tcPr>
            <w:tcW w:w="7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consolidated VIEs)</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related party (includes $669 and $1,046 at June 30, 2024 and December 31, 2023, respectively,</w:t>
            </w:r>
          </w:p>
        </w:tc>
        <w:tc>
          <w:tcPr>
            <w:tcW w:w="2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7,024</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Fuel tax credits payable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(includes $38 and $— at June 30, 2024 and December 31, 2023, respectively, related to consolidated</w:t>
            </w: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VIEs)</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capital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15,128</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 (includes $812 and $647 at June 30, 2024 and December 31, 2022,</w:t>
            </w: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14,245</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OPAL Term Loan, current portion</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Sunoma Loan, current portion (includes $1,689 and $1,608 at June 30, 2024 and December 31, 2023, respectively,</w:t>
            </w:r>
          </w:p>
        </w:tc>
        <w:tc>
          <w:tcPr>
            <w:tcW w:w="2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0" w:type="dxa"/>
            <w:vAlign w:val="bottom"/>
          </w:tcPr>
          <w:p>
            <w:pPr>
              <w:spacing w:after="0"/>
              <w:rPr>
                <w:sz w:val="1"/>
                <w:szCs w:val="1"/>
                <w:color w:val="auto"/>
              </w:rPr>
            </w:pPr>
          </w:p>
        </w:tc>
      </w:tr>
      <w:tr>
        <w:trPr>
          <w:trHeight w:val="210"/>
        </w:trPr>
        <w:tc>
          <w:tcPr>
            <w:tcW w:w="7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580" w:top="1440" w:right="57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740"/>
          </w:cols>
          <w:pgMar w:left="580" w:top="1440" w:right="57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43"/>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 current portion</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 (includes $97 and $92 at June 30, 2024 and December 31, 2023, respectively, related to</w:t>
            </w:r>
          </w:p>
        </w:tc>
        <w:tc>
          <w:tcPr>
            <w:tcW w:w="4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20"/>
        </w:trPr>
        <w:tc>
          <w:tcPr>
            <w:tcW w:w="7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consolidated VIEs)</w:t>
            </w: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 current portion</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0" w:type="dxa"/>
            <w:vAlign w:val="bottom"/>
          </w:tcPr>
          <w:p>
            <w:pPr>
              <w:spacing w:after="0"/>
              <w:rPr>
                <w:sz w:val="1"/>
                <w:szCs w:val="1"/>
                <w:color w:val="auto"/>
              </w:rPr>
            </w:pPr>
          </w:p>
        </w:tc>
      </w:tr>
      <w:tr>
        <w:trPr>
          <w:trHeight w:val="204"/>
        </w:trPr>
        <w:tc>
          <w:tcPr>
            <w:tcW w:w="7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81,086</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74,343</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 non-current portion</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OPAL Term Loan</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176,532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Sunoma Loan, net of debt issuance costs (includes $19,193 and $20,010 at June 30, 2024 and December 31, 2023,</w:t>
            </w:r>
          </w:p>
        </w:tc>
        <w:tc>
          <w:tcPr>
            <w:tcW w:w="4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20,010</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4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 non-current portion</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 out liabilities</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 (includes $2,683 and $211 at June 30, 2024 and December 31, 2023, respectively, related</w:t>
            </w:r>
          </w:p>
        </w:tc>
        <w:tc>
          <w:tcPr>
            <w:tcW w:w="4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7,599</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 consolidated VIEs)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297,124</w:t>
            </w:r>
          </w:p>
        </w:tc>
        <w:tc>
          <w:tcPr>
            <w:tcW w:w="0" w:type="dxa"/>
            <w:vAlign w:val="bottom"/>
          </w:tcPr>
          <w:p>
            <w:pPr>
              <w:spacing w:after="0"/>
              <w:rPr>
                <w:sz w:val="1"/>
                <w:szCs w:val="1"/>
                <w:color w:val="auto"/>
              </w:rPr>
            </w:pPr>
          </w:p>
        </w:tc>
      </w:tr>
      <w:tr>
        <w:trPr>
          <w:trHeight w:val="19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preferred non-controlling interests</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132,617</w:t>
            </w:r>
          </w:p>
        </w:tc>
        <w:tc>
          <w:tcPr>
            <w:tcW w:w="0" w:type="dxa"/>
            <w:vAlign w:val="bottom"/>
          </w:tcPr>
          <w:p>
            <w:pPr>
              <w:spacing w:after="0"/>
              <w:rPr>
                <w:sz w:val="1"/>
                <w:szCs w:val="1"/>
                <w:color w:val="auto"/>
              </w:rPr>
            </w:pPr>
          </w:p>
        </w:tc>
      </w:tr>
      <w:tr>
        <w:trPr>
          <w:trHeight w:val="24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802,720</w:t>
            </w:r>
          </w:p>
        </w:tc>
        <w:tc>
          <w:tcPr>
            <w:tcW w:w="0" w:type="dxa"/>
            <w:vAlign w:val="bottom"/>
          </w:tcPr>
          <w:p>
            <w:pPr>
              <w:spacing w:after="0"/>
              <w:rPr>
                <w:sz w:val="1"/>
                <w:szCs w:val="1"/>
                <w:color w:val="auto"/>
              </w:rPr>
            </w:pPr>
          </w:p>
        </w:tc>
      </w:tr>
      <w:tr>
        <w:trPr>
          <w:trHeight w:val="22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A common stock, $0.0001 par value, 340,000,000 shares authorized as of June 30, 2024; 30,058,569 and</w:t>
            </w:r>
          </w:p>
        </w:tc>
        <w:tc>
          <w:tcPr>
            <w:tcW w:w="4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0"/>
        </w:trPr>
        <w:tc>
          <w:tcPr>
            <w:tcW w:w="7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29,701,146 shares, issued and outstanding at June 30, 2024 and December 31, 2023, respectively</w:t>
            </w: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B common stock, $0.0001 par value, 160,000,000 shares authorized as of June 30, 2024; 71,500,000 and none</w:t>
            </w:r>
          </w:p>
        </w:tc>
        <w:tc>
          <w:tcPr>
            <w:tcW w:w="4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issued and outstanding as of June 30, 2024 and December 31, 2023, respectively</w:t>
            </w:r>
          </w:p>
        </w:tc>
        <w:tc>
          <w:tcPr>
            <w:tcW w:w="4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C common stock, $0.0001 par value, 160,000,000 shares authorized as of June 30, 2024; none issued and</w:t>
            </w:r>
          </w:p>
        </w:tc>
        <w:tc>
          <w:tcPr>
            <w:tcW w:w="440" w:type="dxa"/>
            <w:vAlign w:val="bottom"/>
          </w:tcPr>
          <w:p>
            <w:pPr>
              <w:spacing w:after="0"/>
              <w:rPr>
                <w:sz w:val="16"/>
                <w:szCs w:val="16"/>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outstanding as of June 30, 2024 and December 31, 2023</w:t>
            </w:r>
          </w:p>
        </w:tc>
        <w:tc>
          <w:tcPr>
            <w:tcW w:w="4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D common stock, $0.0001 par value, 160,000,000 shares authorized as of June 30, 2024; 72,899,037 and</w:t>
            </w:r>
          </w:p>
        </w:tc>
        <w:tc>
          <w:tcPr>
            <w:tcW w:w="4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144,399,037 shares issued and outstanding at June 30, 2024 and December 31, 2023</w:t>
            </w:r>
          </w:p>
        </w:tc>
        <w:tc>
          <w:tcPr>
            <w:tcW w:w="4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(261,503)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(467,195)</w:t>
            </w:r>
          </w:p>
        </w:tc>
        <w:tc>
          <w:tcPr>
            <w:tcW w:w="0" w:type="dxa"/>
            <w:vAlign w:val="bottom"/>
          </w:tcPr>
          <w:p>
            <w:pPr>
              <w:spacing w:after="0"/>
              <w:rPr>
                <w:sz w:val="1"/>
                <w:szCs w:val="1"/>
                <w:color w:val="auto"/>
              </w:rPr>
            </w:pPr>
          </w:p>
        </w:tc>
      </w:tr>
      <w:tr>
        <w:trPr>
          <w:trHeight w:val="210"/>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A common stock in treasury, at cost; 1,635,783 and 1,635,783 shares at June 30, 2024 and December 31, 2023,</w:t>
            </w:r>
          </w:p>
        </w:tc>
        <w:tc>
          <w:tcPr>
            <w:tcW w:w="4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respectively</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Stockholders' deficit attributable to the Company</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(478,807)</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04"/>
        </w:trPr>
        <w:tc>
          <w:tcPr>
            <w:tcW w:w="7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(272,513)</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(477,852)</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760" w:type="dxa"/>
            <w:vAlign w:val="bottom"/>
            <w:shd w:val="clear" w:color="auto" w:fill="CCEEFF"/>
          </w:tcPr>
          <w:p>
            <w:pPr>
              <w:ind w:left="320"/>
              <w:spacing w:after="0" w:line="169" w:lineRule="exact"/>
              <w:rPr>
                <w:sz w:val="20"/>
                <w:szCs w:val="20"/>
                <w:color w:val="auto"/>
              </w:rPr>
            </w:pPr>
            <w:r>
              <w:rPr>
                <w:rFonts w:ascii="Times New Roman" w:cs="Times New Roman" w:eastAsia="Times New Roman" w:hAnsi="Times New Roman"/>
                <w:sz w:val="16"/>
                <w:szCs w:val="16"/>
                <w:color w:val="auto"/>
              </w:rPr>
              <w:t>Total liabilities, Redeemable preferred non-controlling interests, Redeemable non-controlling interests and</w:t>
            </w: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782,312</w:t>
            </w: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754,609</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Stockholders' deficit</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740"/>
          </w:cols>
          <w:pgMar w:left="580" w:top="1139" w:right="579" w:bottom="1440" w:gutter="0" w:footer="0" w:header="0"/>
        </w:sectPr>
      </w:pPr>
    </w:p>
    <w:bookmarkStart w:id="15" w:name="page16"/>
    <w:bookmarkEnd w:id="15"/>
    <w:p>
      <w:pPr>
        <w:jc w:val="center"/>
        <w:ind w:left="262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98" w:lineRule="exact"/>
        <w:rPr>
          <w:sz w:val="20"/>
          <w:szCs w:val="20"/>
          <w:color w:val="auto"/>
        </w:rPr>
      </w:pPr>
    </w:p>
    <w:p>
      <w:pPr>
        <w:jc w:val="center"/>
        <w:ind w:left="2640" w:right="40"/>
        <w:spacing w:after="0" w:line="26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thousands of U.S. dollars, except share and per share data) (Unaudited)</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Three Months Ended June 30,</w:t>
      </w:r>
    </w:p>
    <w:p>
      <w:pPr>
        <w:spacing w:after="0" w:line="46" w:lineRule="exact"/>
        <w:rPr>
          <w:sz w:val="20"/>
          <w:szCs w:val="20"/>
          <w:color w:val="auto"/>
        </w:rPr>
      </w:pPr>
    </w:p>
    <w:p>
      <w:pPr>
        <w:ind w:left="6400"/>
        <w:spacing w:after="0"/>
        <w:tabs>
          <w:tab w:leader="none" w:pos="752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68148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48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26035</wp:posOffset>
            </wp:positionV>
            <wp:extent cx="1568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96" w:lineRule="exact"/>
        <w:rPr>
          <w:sz w:val="20"/>
          <w:szCs w:val="20"/>
          <w:color w:val="auto"/>
        </w:rPr>
      </w:pPr>
    </w:p>
    <w:p>
      <w:pPr>
        <w:sectPr>
          <w:pgSz w:w="11900" w:h="16838" w:orient="portrait"/>
          <w:cols w:equalWidth="0" w:num="2">
            <w:col w:w="8100" w:space="600"/>
            <w:col w:w="2040"/>
          </w:cols>
          <w:pgMar w:left="580" w:top="1265" w:right="579" w:bottom="1440" w:gutter="0" w:footer="0" w:header="0"/>
        </w:sectPr>
      </w:pPr>
    </w:p>
    <w:tbl>
      <w:tblPr>
        <w:tblLayout w:type="fixed"/>
        <w:tblInd w:w="0" w:type="dxa"/>
        <w:tblCellMar>
          <w:top w:w="0" w:type="dxa"/>
          <w:left w:w="0" w:type="dxa"/>
          <w:bottom w:w="0" w:type="dxa"/>
          <w:right w:w="0" w:type="dxa"/>
        </w:tblCellMar>
      </w:tblPr>
      <w:tr>
        <w:trPr>
          <w:trHeight w:val="18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RNG fuel (includes revenues from related party of $15,881 and $9,412 for the three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10,631</w:t>
            </w:r>
          </w:p>
        </w:tc>
        <w:tc>
          <w:tcPr>
            <w:tcW w:w="8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37,172</w:t>
            </w:r>
          </w:p>
        </w:tc>
        <w:tc>
          <w:tcPr>
            <w:tcW w:w="120" w:type="dxa"/>
            <w:vAlign w:val="bottom"/>
          </w:tcPr>
          <w:p>
            <w:pPr>
              <w:spacing w:after="0"/>
              <w:rPr>
                <w:sz w:val="16"/>
                <w:szCs w:val="16"/>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17,380</w:t>
            </w:r>
          </w:p>
        </w:tc>
      </w:tr>
      <w:tr>
        <w:trPr>
          <w:trHeight w:val="189"/>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months ended June 30, 2024 and 2023, respectively; $31,376 and $14,127 for the six</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months ended June 30, 2024 and 2023, respectively)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5"/>
        </w:trPr>
        <w:tc>
          <w:tcPr>
            <w:tcW w:w="598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Fuel station services (includes revenues from related party of $9,528 and $2,440 for the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39,257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29,956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76,399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50,784</w:t>
            </w:r>
          </w:p>
        </w:tc>
      </w:tr>
      <w:tr>
        <w:trPr>
          <w:trHeight w:val="189"/>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three months ended June 30, 2024 and 2023, respectively; $17,269 and $3,933 for</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3"/>
        </w:trPr>
        <w:tc>
          <w:tcPr>
            <w:tcW w:w="5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the six months ended June 30, 2024 and 2023,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175"/>
        </w:trPr>
        <w:tc>
          <w:tcPr>
            <w:tcW w:w="598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Renewable Power (includes revenues from related party of $1,804 and $1,747 for the</w:t>
            </w:r>
          </w:p>
        </w:tc>
        <w:tc>
          <w:tcPr>
            <w:tcW w:w="2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12,248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14,455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22,331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29,835</w:t>
            </w:r>
          </w:p>
        </w:tc>
      </w:tr>
      <w:tr>
        <w:trPr>
          <w:trHeight w:val="189"/>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three months ended June 30, 2024 and 2023, respectively; $3,330 and $3,274, for the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six months ended June 30, 2024 and 2023, respectively)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5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97,999</w:t>
            </w: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31"/>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 - RNG fuel</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14,153</w:t>
            </w:r>
          </w:p>
        </w:tc>
      </w:tr>
      <w:tr>
        <w:trPr>
          <w:trHeight w:val="210"/>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 Fuel station services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47,768</w:t>
            </w:r>
          </w:p>
        </w:tc>
      </w:tr>
      <w:tr>
        <w:trPr>
          <w:trHeight w:val="3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17,139</w:t>
            </w:r>
          </w:p>
        </w:tc>
      </w:tr>
      <w:tr>
        <w:trPr>
          <w:trHeight w:val="250"/>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 development and start up costs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3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26,391</w:t>
            </w:r>
          </w:p>
        </w:tc>
      </w:tr>
      <w:tr>
        <w:trPr>
          <w:trHeight w:val="210"/>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7,195</w:t>
            </w:r>
          </w:p>
        </w:tc>
      </w:tr>
      <w:tr>
        <w:trPr>
          <w:trHeight w:val="3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loss from equity method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04"/>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65,261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62,410</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126,643</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115,937</w:t>
            </w:r>
          </w:p>
        </w:tc>
      </w:tr>
      <w:tr>
        <w:trPr>
          <w:trHeight w:val="33"/>
        </w:trPr>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(17,938)</w:t>
            </w: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31"/>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r>
      <w:tr>
        <w:trPr>
          <w:trHeight w:val="210"/>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w:t>
            </w:r>
          </w:p>
        </w:tc>
      </w:tr>
      <w:tr>
        <w:trPr>
          <w:trHeight w:val="3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instruments, net</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w:t>
            </w:r>
          </w:p>
        </w:tc>
      </w:tr>
      <w:tr>
        <w:trPr>
          <w:trHeight w:val="210"/>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123,041</w:t>
            </w:r>
          </w:p>
        </w:tc>
      </w:tr>
      <w:tr>
        <w:trPr>
          <w:trHeight w:val="33"/>
        </w:trPr>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114,050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106,704</w:t>
            </w:r>
          </w:p>
        </w:tc>
      </w:tr>
      <w:tr>
        <w:trPr>
          <w:trHeight w:val="20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114,050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106,704</w:t>
            </w:r>
          </w:p>
        </w:tc>
      </w:tr>
      <w:tr>
        <w:trPr>
          <w:trHeight w:val="20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 attributable to redeemable non-controlling interests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93,460</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85,227</w:t>
            </w:r>
          </w:p>
        </w:tc>
      </w:tr>
      <w:tr>
        <w:trPr>
          <w:trHeight w:val="3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non-redeemable non-controlling interests</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50"/>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Dividends on redeemable preferred non-controlling interests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w:t>
            </w:r>
          </w:p>
        </w:tc>
      </w:tr>
      <w:tr>
        <w:trPr>
          <w:trHeight w:val="268"/>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income attributable to Class A common stockholders</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3"/>
        </w:trPr>
        <w:tc>
          <w:tcPr>
            <w:tcW w:w="5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Weighted average shares outstanding of Class A common stock:</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1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27,674,567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26,977,682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27,523,150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27,179,488</w:t>
            </w:r>
          </w:p>
        </w:tc>
      </w:tr>
      <w:tr>
        <w:trPr>
          <w:trHeight w:val="3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5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27,674,567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27,248,639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27,523,150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27,556,700</w:t>
            </w:r>
          </w:p>
        </w:tc>
      </w:tr>
      <w:tr>
        <w:trPr>
          <w:trHeight w:val="21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 share amounts: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5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r>
      <w:tr>
        <w:trPr>
          <w:trHeight w:val="21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r>
    </w:tbl>
    <w:p>
      <w:pPr>
        <w:spacing w:after="0" w:line="200" w:lineRule="exact"/>
        <w:rPr>
          <w:sz w:val="20"/>
          <w:szCs w:val="20"/>
          <w:color w:val="auto"/>
        </w:rPr>
      </w:pPr>
    </w:p>
    <w:p>
      <w:pPr>
        <w:sectPr>
          <w:pgSz w:w="11900" w:h="16838" w:orient="portrait"/>
          <w:cols w:equalWidth="0" w:num="1">
            <w:col w:w="10740"/>
          </w:cols>
          <w:pgMar w:left="580" w:top="1265"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740"/>
          </w:cols>
          <w:pgMar w:left="580" w:top="1265" w:right="579" w:bottom="1440" w:gutter="0" w:footer="0" w:header="0"/>
          <w:type w:val="continuous"/>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vMerge w:val="continue"/>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106,704</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from equity method investments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8,669</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8,669</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bad debts</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operating right-of-use assets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7,706</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warrant exchange</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deconsolidation of VIEs</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(122,873)</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(122,873)</w:t>
            </w: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Accretion expense related to asset retirement obligation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Paid-in-kind interest income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Convertible Note Payable</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 on derivative financial instruments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6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0" w:type="dxa"/>
            <w:vAlign w:val="bottom"/>
          </w:tcPr>
          <w:p>
            <w:pPr>
              <w:spacing w:after="0"/>
              <w:rPr>
                <w:sz w:val="1"/>
                <w:szCs w:val="1"/>
                <w:color w:val="auto"/>
              </w:rPr>
            </w:pPr>
          </w:p>
        </w:tc>
      </w:tr>
      <w:tr>
        <w:trPr>
          <w:trHeight w:val="25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14,251</w:t>
            </w:r>
          </w:p>
        </w:tc>
        <w:tc>
          <w:tcPr>
            <w:tcW w:w="66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(49,742)</w:t>
            </w:r>
          </w:p>
        </w:tc>
        <w:tc>
          <w:tcPr>
            <w:tcW w:w="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(72,009)</w:t>
            </w: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short term investments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48,021</w:t>
            </w: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Deconsolidation of VIEs, net of cash</w:t>
            </w: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received from equity method investment</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investment in other entities</w:t>
            </w:r>
          </w:p>
        </w:tc>
        <w:tc>
          <w:tcPr>
            <w:tcW w:w="13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66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(54,080)</w:t>
            </w: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(28,180)</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OPAL Term Loan</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purchase of shares upon exercise of put option</w:t>
            </w: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taxes related to net share settlement of equity awards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costs paid to other third parties</w:t>
            </w: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debt facilities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(36,692)</w:t>
            </w: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preferred dividends</w:t>
            </w: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4"/>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non-redeemable non-controlling interest</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12,778</w:t>
            </w:r>
          </w:p>
        </w:tc>
        <w:tc>
          <w:tcPr>
            <w:tcW w:w="0" w:type="dxa"/>
            <w:vAlign w:val="bottom"/>
          </w:tcPr>
          <w:p>
            <w:pPr>
              <w:spacing w:after="0"/>
              <w:rPr>
                <w:sz w:val="1"/>
                <w:szCs w:val="1"/>
                <w:color w:val="auto"/>
              </w:rPr>
            </w:pPr>
          </w:p>
        </w:tc>
      </w:tr>
      <w:tr>
        <w:trPr>
          <w:trHeight w:val="25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 to non-redeemable non-controlling interest</w:t>
            </w: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6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(29,701)</w:t>
            </w:r>
          </w:p>
        </w:tc>
        <w:tc>
          <w:tcPr>
            <w:tcW w:w="0" w:type="dxa"/>
            <w:vAlign w:val="bottom"/>
          </w:tcPr>
          <w:p>
            <w:pPr>
              <w:spacing w:after="0"/>
              <w:rPr>
                <w:sz w:val="1"/>
                <w:szCs w:val="1"/>
                <w:color w:val="auto"/>
              </w:rPr>
            </w:pPr>
          </w:p>
        </w:tc>
      </w:tr>
      <w:tr>
        <w:trPr>
          <w:trHeight w:val="25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restricted cash, and cash equivalents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(50,095)</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beginning of period</w:t>
            </w:r>
          </w:p>
        </w:tc>
        <w:tc>
          <w:tcPr>
            <w:tcW w:w="13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47,242</w:t>
            </w:r>
          </w:p>
        </w:tc>
        <w:tc>
          <w:tcPr>
            <w:tcW w:w="66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77,221</w:t>
            </w:r>
          </w:p>
        </w:tc>
        <w:tc>
          <w:tcPr>
            <w:tcW w:w="0" w:type="dxa"/>
            <w:vAlign w:val="bottom"/>
          </w:tcPr>
          <w:p>
            <w:pPr>
              <w:spacing w:after="0"/>
              <w:rPr>
                <w:sz w:val="1"/>
                <w:szCs w:val="1"/>
                <w:color w:val="auto"/>
              </w:rPr>
            </w:pPr>
          </w:p>
        </w:tc>
      </w:tr>
      <w:tr>
        <w:trPr>
          <w:trHeight w:val="25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end of period</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22,449</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27,126</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580" w:top="1265" w:right="57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740"/>
          </w:cols>
          <w:pgMar w:left="580" w:top="1265" w:right="579" w:bottom="1440" w:gutter="0" w:footer="0" w:header="0"/>
          <w:type w:val="continuous"/>
        </w:sectPr>
      </w:pPr>
    </w:p>
    <w:bookmarkStart w:id="17" w:name="page18"/>
    <w:bookmarkEnd w:id="17"/>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Non-GAAP Financial Measures (Unaudited)</w:t>
      </w:r>
    </w:p>
    <w:p>
      <w:pPr>
        <w:spacing w:after="0" w:line="264"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21"/>
          <w:szCs w:val="21"/>
          <w:color w:val="auto"/>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spacing w:after="0" w:line="20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21"/>
          <w:szCs w:val="21"/>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Adjusted EBITDA</w:t>
      </w:r>
    </w:p>
    <w:p>
      <w:pPr>
        <w:spacing w:after="0" w:line="251"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21"/>
          <w:szCs w:val="21"/>
          <w:color w:val="auto"/>
        </w:rPr>
        <w:t>To supplement the Company’s unaudited condensed consolidated financial statements presented in accordance with GAAP, the Company uses a non-GAAP financial measure that it calls adjusted EBITDA (“Adjusted EBITDA”). This non-GAAP financial measure adjusts net income for interest and financing expense, net, loss on debt extinguishment, net (income) loss attributable to non-redeemable non-controlling interests, depreciation, amortization and accretion expense, adjustments to reflect Adjusted EBITDA from equity method investments, loss on warrant exchange, unrealized (gain) loss on derivative instruments, non-cash charges, one-time non-recurring expenses, major maintenance on Renewable Power and gain on deconsolidation of VIEs.</w:t>
      </w:r>
    </w:p>
    <w:p>
      <w:pPr>
        <w:spacing w:after="0" w:line="196"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21"/>
          <w:szCs w:val="21"/>
          <w:color w:val="auto"/>
        </w:rPr>
        <w:t>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57" w:lineRule="auto"/>
        <w:rPr>
          <w:sz w:val="20"/>
          <w:szCs w:val="20"/>
          <w:color w:val="auto"/>
        </w:rPr>
      </w:pPr>
      <w:r>
        <w:rPr>
          <w:rFonts w:ascii="Times New Roman" w:cs="Times New Roman" w:eastAsia="Times New Roman" w:hAnsi="Times New Roman"/>
          <w:sz w:val="22"/>
          <w:szCs w:val="22"/>
          <w:color w:val="auto"/>
        </w:rPr>
        <w:t>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20"/>
          </w:cols>
          <w:pgMar w:left="340" w:top="109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The following table presents the reconciliation of our Net loss to Adjusted EBITDA: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Adjusted EBITDA</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 and 2023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960" w:type="dxa"/>
            <w:vAlign w:val="bottom"/>
            <w:tcBorders>
              <w:top w:val="single" w:sz="8" w:color="auto"/>
              <w:bottom w:val="single" w:sz="8" w:color="auto"/>
            </w:tcBorders>
            <w:gridSpan w:val="9"/>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740" w:type="dxa"/>
            <w:vAlign w:val="bottom"/>
            <w:tcBorders>
              <w:top w:val="single" w:sz="8" w:color="auto"/>
              <w:bottom w:val="single" w:sz="8" w:color="auto"/>
            </w:tcBorders>
            <w:gridSpan w:val="9"/>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Fuel Station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Fuel</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98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Station</w:t>
            </w:r>
          </w:p>
        </w:tc>
        <w:tc>
          <w:tcPr>
            <w:tcW w:w="900" w:type="dxa"/>
            <w:vAlign w:val="bottom"/>
            <w:gridSpan w:val="3"/>
            <w:vMerge w:val="continue"/>
          </w:tcPr>
          <w:p>
            <w:pPr>
              <w:spacing w:after="0"/>
              <w:rPr>
                <w:sz w:val="14"/>
                <w:szCs w:val="14"/>
                <w:color w:val="auto"/>
              </w:rPr>
            </w:pPr>
          </w:p>
        </w:tc>
        <w:tc>
          <w:tcPr>
            <w:tcW w:w="9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4"/>
                <w:szCs w:val="14"/>
                <w:color w:val="auto"/>
              </w:rPr>
            </w:pP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8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9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9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reconcile net income</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(loss) to Adjusted</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financing</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attributable to non-</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redeemable non-</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and</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reflect</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from equity method</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(gain) loss</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 derivative</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instruments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charges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One-time non-</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recurring charges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Major maintenance</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Renewable Power</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2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31,589</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1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3"/>
        </w:trPr>
        <w:tc>
          <w:tcPr>
            <w:tcW w:w="18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940" w:type="dxa"/>
            <w:vAlign w:val="bottom"/>
            <w:tcBorders>
              <w:top w:val="single" w:sz="8" w:color="auto"/>
              <w:bottom w:val="single" w:sz="8" w:color="auto"/>
            </w:tcBorders>
            <w:gridSpan w:val="9"/>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2023</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720" w:type="dxa"/>
            <w:vAlign w:val="bottom"/>
            <w:tcBorders>
              <w:top w:val="single" w:sz="8" w:color="auto"/>
              <w:bottom w:val="single" w:sz="8" w:color="auto"/>
            </w:tcBorders>
            <w:gridSpan w:val="9"/>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Fuel Station</w:t>
            </w: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Fuel</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98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Station</w:t>
            </w:r>
          </w:p>
        </w:tc>
        <w:tc>
          <w:tcPr>
            <w:tcW w:w="900" w:type="dxa"/>
            <w:vAlign w:val="bottom"/>
            <w:gridSpan w:val="3"/>
            <w:vMerge w:val="continue"/>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4"/>
                <w:szCs w:val="14"/>
                <w:color w:val="auto"/>
              </w:rPr>
            </w:pPr>
          </w:p>
        </w:tc>
        <w:tc>
          <w:tcPr>
            <w:tcW w:w="76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80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6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9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9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800" w:type="dxa"/>
            <w:vAlign w:val="bottom"/>
            <w:tcBorders>
              <w:top w:val="single" w:sz="8" w:color="CCEEFF"/>
            </w:tcBorders>
            <w:shd w:val="clear" w:color="auto" w:fill="CCEEFF"/>
          </w:tcPr>
          <w:p>
            <w:pPr>
              <w:ind w:left="20"/>
              <w:spacing w:after="0" w:line="252" w:lineRule="exact"/>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106,640</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98,274</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106,704</w:t>
            </w: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reconcile net income</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(loss) to Adjusted</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financing</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176"/>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debt</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extinguishment</w:t>
            </w: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deconsolidation of</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VIEs</w:t>
            </w:r>
          </w:p>
        </w:tc>
        <w:tc>
          <w:tcPr>
            <w:tcW w:w="2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(122,873)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(122,873)</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attributable to</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non-redeemable non-</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amortization and</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0" w:type="dxa"/>
            <w:vAlign w:val="bottom"/>
          </w:tcPr>
          <w:p>
            <w:pPr>
              <w:spacing w:after="0"/>
              <w:rPr>
                <w:sz w:val="1"/>
                <w:szCs w:val="1"/>
                <w:color w:val="auto"/>
              </w:rPr>
            </w:pPr>
          </w:p>
        </w:tc>
      </w:tr>
      <w:tr>
        <w:trPr>
          <w:trHeight w:val="176"/>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reflect</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from equity method</w:t>
            </w:r>
          </w:p>
        </w:tc>
        <w:tc>
          <w:tcPr>
            <w:tcW w:w="2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warrant</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w:t>
            </w:r>
          </w:p>
        </w:tc>
        <w:tc>
          <w:tcPr>
            <w:tcW w:w="26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(gain) loss</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on derivative</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8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instruments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charges </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One-time non-</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recurring charges </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Major maintenance for</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26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48"/>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firstLine="8"/>
        <w:spacing w:after="0" w:line="233"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income (loss) by segment is included in our quarterly report on Form 10-Q. Net loss for RNG Fuel includes our portion of net income on our equity method investments.</w:t>
      </w:r>
    </w:p>
    <w:p>
      <w:pPr>
        <w:spacing w:after="0" w:line="193"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development costs, interest, depreciation, amortization and accretion on equity method investments.</w:t>
      </w:r>
    </w:p>
    <w:p>
      <w:pPr>
        <w:spacing w:after="0" w:line="197" w:lineRule="exact"/>
        <w:rPr>
          <w:rFonts w:ascii="Times New Roman" w:cs="Times New Roman" w:eastAsia="Times New Roman" w:hAnsi="Times New Roman"/>
          <w:sz w:val="22"/>
          <w:szCs w:val="22"/>
          <w:color w:val="auto"/>
          <w:vertAlign w:val="superscript"/>
        </w:rPr>
      </w:pPr>
    </w:p>
    <w:p>
      <w:pPr>
        <w:ind w:right="540" w:firstLine="8"/>
        <w:spacing w:after="0" w:line="233"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Unrealized (gain) loss on derivative instruments includes change in fair value of commodity swaps, earnout liabilities and put option on a forward purchase agreement.</w:t>
      </w:r>
    </w:p>
    <w:p>
      <w:pPr>
        <w:spacing w:after="0" w:line="212" w:lineRule="exact"/>
        <w:rPr>
          <w:rFonts w:ascii="Times New Roman" w:cs="Times New Roman" w:eastAsia="Times New Roman" w:hAnsi="Times New Roman"/>
          <w:sz w:val="22"/>
          <w:szCs w:val="22"/>
          <w:color w:val="auto"/>
          <w:vertAlign w:val="superscript"/>
        </w:rPr>
      </w:pPr>
    </w:p>
    <w:p>
      <w:pPr>
        <w:ind w:right="520" w:firstLine="8"/>
        <w:spacing w:after="0" w:line="269" w:lineRule="auto"/>
        <w:tabs>
          <w:tab w:leader="none" w:pos="165"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Non-cash charges include stock-based compensation expense, certain expenses included in selling, general and administrative expenses relating to employee benefit accruals, inventory write down charges included in cost of sales - RNG fuel and loss on disposal of assets.</w:t>
      </w:r>
    </w:p>
    <w:p>
      <w:pPr>
        <w:spacing w:after="0" w:line="184" w:lineRule="exact"/>
        <w:rPr>
          <w:rFonts w:ascii="Times New Roman" w:cs="Times New Roman" w:eastAsia="Times New Roman" w:hAnsi="Times New Roman"/>
          <w:sz w:val="20"/>
          <w:szCs w:val="20"/>
          <w:color w:val="auto"/>
          <w:vertAlign w:val="superscript"/>
        </w:rPr>
      </w:pPr>
    </w:p>
    <w:p>
      <w:pPr>
        <w:ind w:firstLine="8"/>
        <w:spacing w:after="0" w:line="269" w:lineRule="auto"/>
        <w:tabs>
          <w:tab w:leader="none" w:pos="165"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One-time non-recurring charges include (i) certain expenses related to development of our RNG facilities such as lease expenses and legal costs incurred during construction phase that could not be capitalized per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sectPr>
      <w:pgSz w:w="11900" w:h="16838" w:orient="portrait"/>
      <w:cols w:equalWidth="0" w:num="1">
        <w:col w:w="11240"/>
      </w:cols>
      <w:pgMar w:left="320" w:top="1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lvl w:ilvl="1">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914"/>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2024-08-08T05:57:01Z</dcterms:created>
  <dcterms:modified xsi:type="dcterms:W3CDTF">2024-08-08T05:57:01Z</dcterms:modified>
</cp:coreProperties>
</file>