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Fogarty Kevin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OPAL Fuels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20" w:type="dxa"/>
            <w:vAlign w:val="bottom"/>
            <w:gridSpan w:val="3"/>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15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7"/>
            <w:vMerge w:val="continue"/>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5"/>
                <w:szCs w:val="15"/>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ONE NORTH LEXINGTON AVE, 14TH FLOOR</w:t>
            </w: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08/25/2022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gridSpan w:val="3"/>
          </w:tcPr>
          <w:p>
            <w:pPr>
              <w:spacing w:after="0"/>
              <w:rPr>
                <w:sz w:val="12"/>
                <w:szCs w:val="12"/>
                <w:color w:val="auto"/>
              </w:rPr>
            </w:pPr>
          </w:p>
        </w:tc>
        <w:tc>
          <w:tcPr>
            <w:tcW w:w="60" w:type="dxa"/>
            <w:vAlign w:val="bottom"/>
            <w:tcBorders>
              <w:bottom w:val="single" w:sz="8" w:color="2C2C2C"/>
            </w:tcBorders>
            <w:gridSpan w:val="2"/>
          </w:tcPr>
          <w:p>
            <w:pPr>
              <w:spacing w:after="0"/>
              <w:rPr>
                <w:sz w:val="12"/>
                <w:szCs w:val="12"/>
                <w:color w:val="auto"/>
              </w:rPr>
            </w:pPr>
          </w:p>
        </w:tc>
        <w:tc>
          <w:tcPr>
            <w:tcW w:w="1980" w:type="dxa"/>
            <w:vAlign w:val="bottom"/>
            <w:tcBorders>
              <w:bottom w:val="single" w:sz="8" w:color="2C2C2C"/>
            </w:tcBorders>
            <w:gridSpan w:val="3"/>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gridSpan w:val="2"/>
          </w:tcPr>
          <w:p>
            <w:pPr>
              <w:spacing w:after="0"/>
              <w:rPr>
                <w:sz w:val="12"/>
                <w:szCs w:val="12"/>
                <w:color w:val="auto"/>
              </w:rPr>
            </w:pPr>
          </w:p>
        </w:tc>
        <w:tc>
          <w:tcPr>
            <w:tcW w:w="298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10601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8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280"/>
              <w:spacing w:after="0" w:line="146" w:lineRule="exact"/>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23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9"/>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5"/>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GBBH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5"/>
            <w:vMerge w:val="restart"/>
          </w:tcPr>
          <w:p>
            <w:pPr>
              <w:ind w:left="780"/>
              <w:spacing w:after="0"/>
              <w:rPr>
                <w:sz w:val="20"/>
                <w:szCs w:val="20"/>
                <w:color w:val="auto"/>
              </w:rPr>
            </w:pPr>
            <w:r>
              <w:rPr>
                <w:rFonts w:ascii="Times New Roman" w:cs="Times New Roman" w:eastAsia="Times New Roman" w:hAnsi="Times New Roman"/>
                <w:sz w:val="17"/>
                <w:szCs w:val="17"/>
                <w:color w:val="0000FF"/>
              </w:rPr>
              <w:t>08/25/2022</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9.79</w:t>
            </w:r>
          </w:p>
        </w:tc>
        <w:tc>
          <w:tcPr>
            <w:tcW w:w="80" w:type="dxa"/>
            <w:vAlign w:val="bottom"/>
          </w:tcPr>
          <w:p>
            <w:pPr>
              <w:spacing w:after="0"/>
              <w:rPr>
                <w:sz w:val="18"/>
                <w:szCs w:val="18"/>
                <w:color w:val="auto"/>
              </w:rPr>
            </w:pPr>
          </w:p>
        </w:tc>
        <w:tc>
          <w:tcPr>
            <w:tcW w:w="12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2,626</w:t>
            </w:r>
          </w:p>
        </w:tc>
        <w:tc>
          <w:tcPr>
            <w:tcW w:w="36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GBBH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5"/>
            <w:vMerge w:val="restart"/>
          </w:tcPr>
          <w:p>
            <w:pPr>
              <w:ind w:left="780"/>
              <w:spacing w:after="0"/>
              <w:rPr>
                <w:sz w:val="20"/>
                <w:szCs w:val="20"/>
                <w:color w:val="auto"/>
              </w:rPr>
            </w:pPr>
            <w:r>
              <w:rPr>
                <w:rFonts w:ascii="Times New Roman" w:cs="Times New Roman" w:eastAsia="Times New Roman" w:hAnsi="Times New Roman"/>
                <w:sz w:val="17"/>
                <w:szCs w:val="17"/>
                <w:color w:val="0000FF"/>
              </w:rPr>
              <w:t>08/26/2022</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937</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w:t>
            </w:r>
            <w:r>
              <w:rPr>
                <w:rFonts w:ascii="Times New Roman" w:cs="Times New Roman" w:eastAsia="Times New Roman" w:hAnsi="Times New Roman"/>
                <w:sz w:val="22"/>
                <w:szCs w:val="22"/>
                <w:color w:val="008000"/>
                <w:vertAlign w:val="superscript"/>
              </w:rPr>
              <w:t>(1)</w:t>
            </w:r>
          </w:p>
        </w:tc>
        <w:tc>
          <w:tcPr>
            <w:tcW w:w="12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3,563</w:t>
            </w:r>
          </w:p>
        </w:tc>
        <w:tc>
          <w:tcPr>
            <w:tcW w:w="36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4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tranches at prices ranging between $9.74 and $9.92. The reporting person undertakes to the Issuer or the Staff of the Securities and Exchange Commission, upon request, to provide full information regarding the number of shares purchased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s/s John Coghlin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8560"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2022-08-29T16:31:49Z</dcterms:created>
  <dcterms:modified xsi:type="dcterms:W3CDTF">2022-08-29T16:31:49Z</dcterms:modified>
</cp:coreProperties>
</file>