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838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8388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Edelbach Scott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520" w:type="dxa"/>
            <w:vAlign w:val="bottom"/>
            <w:gridSpan w:val="4"/>
            <w:vMerge w:val="restart"/>
          </w:tcPr>
          <w:p>
            <w:pPr>
              <w:ind w:left="160"/>
              <w:spacing w:after="0" w:line="171" w:lineRule="exact"/>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756"/>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4" w:lineRule="exact"/>
        <w:rPr>
          <w:sz w:val="20"/>
          <w:szCs w:val="20"/>
          <w:color w:val="auto"/>
        </w:rPr>
      </w:pPr>
    </w:p>
    <w:p>
      <w:pPr>
        <w:sectPr>
          <w:pgSz w:w="11900" w:h="16838" w:orient="portrait"/>
          <w:cols w:equalWidth="0" w:num="2">
            <w:col w:w="7680" w:space="64"/>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720" w:type="dxa"/>
            <w:vAlign w:val="bottom"/>
            <w:gridSpan w:val="6"/>
            <w:vMerge w:val="restart"/>
          </w:tcPr>
          <w:p>
            <w:pPr>
              <w:jc w:val="center"/>
              <w:ind w:right="116"/>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20" w:type="dxa"/>
            <w:vAlign w:val="bottom"/>
            <w:gridSpan w:val="6"/>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jc w:val="center"/>
              <w:ind w:left="15"/>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0000FF"/>
                <w:w w:val="93"/>
              </w:rPr>
              <w:t>4,185</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74"/>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14,695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7"/>
                <w:szCs w:val="17"/>
                <w:color w:val="0000FF"/>
                <w:w w:val="93"/>
              </w:rPr>
              <w:t>1,019</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13,676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0000FF"/>
                <w:w w:val="94"/>
              </w:rPr>
              <w:t>11,089</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74"/>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24,765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7"/>
                <w:szCs w:val="17"/>
                <w:color w:val="0000FF"/>
                <w:w w:val="93"/>
              </w:rPr>
              <w:t>2,700</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22,065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4,185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16"/>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jc w:val="right"/>
              <w:ind w:right="78"/>
              <w:spacing w:after="0" w:line="140" w:lineRule="exact"/>
              <w:rPr>
                <w:sz w:val="20"/>
                <w:szCs w:val="20"/>
                <w:color w:val="auto"/>
              </w:rPr>
            </w:pPr>
            <w:r>
              <w:rPr>
                <w:rFonts w:ascii="Times New Roman" w:cs="Times New Roman" w:eastAsia="Times New Roman" w:hAnsi="Times New Roman"/>
                <w:sz w:val="13"/>
                <w:szCs w:val="13"/>
                <w:color w:val="0000FF"/>
              </w:rPr>
              <w:t>4,185</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line="140" w:lineRule="exact"/>
              <w:rPr>
                <w:sz w:val="20"/>
                <w:szCs w:val="20"/>
                <w:color w:val="auto"/>
              </w:rPr>
            </w:pPr>
            <w:r>
              <w:rPr>
                <w:rFonts w:ascii="Times New Roman" w:cs="Times New Roman" w:eastAsia="Times New Roman" w:hAnsi="Times New Roman"/>
                <w:sz w:val="13"/>
                <w:szCs w:val="13"/>
                <w:color w:val="0000FF"/>
                <w:w w:val="95"/>
              </w:rPr>
              <w:t>4,184</w:t>
            </w:r>
          </w:p>
        </w:tc>
        <w:tc>
          <w:tcPr>
            <w:tcW w:w="28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11,089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16"/>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jc w:val="right"/>
              <w:ind w:right="58"/>
              <w:spacing w:after="0" w:line="140" w:lineRule="exact"/>
              <w:rPr>
                <w:sz w:val="20"/>
                <w:szCs w:val="20"/>
                <w:color w:val="auto"/>
              </w:rPr>
            </w:pPr>
            <w:r>
              <w:rPr>
                <w:rFonts w:ascii="Times New Roman" w:cs="Times New Roman" w:eastAsia="Times New Roman" w:hAnsi="Times New Roman"/>
                <w:sz w:val="13"/>
                <w:szCs w:val="13"/>
                <w:color w:val="0000FF"/>
              </w:rPr>
              <w:t>11,089</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line="140" w:lineRule="exact"/>
              <w:rPr>
                <w:sz w:val="20"/>
                <w:szCs w:val="20"/>
                <w:color w:val="auto"/>
              </w:rPr>
            </w:pPr>
            <w:r>
              <w:rPr>
                <w:rFonts w:ascii="Times New Roman" w:cs="Times New Roman" w:eastAsia="Times New Roman" w:hAnsi="Times New Roman"/>
                <w:sz w:val="13"/>
                <w:szCs w:val="13"/>
                <w:color w:val="0000FF"/>
              </w:rPr>
              <w:t>22,178</w:t>
            </w:r>
          </w:p>
        </w:tc>
        <w:tc>
          <w:tcPr>
            <w:tcW w:w="28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85,650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03/31/2025</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6"/>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85,650</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line="140" w:lineRule="exact"/>
              <w:rPr>
                <w:sz w:val="20"/>
                <w:szCs w:val="20"/>
                <w:color w:val="auto"/>
              </w:rPr>
            </w:pPr>
            <w:r>
              <w:rPr>
                <w:rFonts w:ascii="Times New Roman" w:cs="Times New Roman" w:eastAsia="Times New Roman" w:hAnsi="Times New Roman"/>
                <w:sz w:val="13"/>
                <w:szCs w:val="13"/>
                <w:color w:val="0000FF"/>
              </w:rPr>
              <w:t>85,650</w:t>
            </w:r>
          </w:p>
        </w:tc>
        <w:tc>
          <w:tcPr>
            <w:tcW w:w="28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4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41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$1.84 per share, the closing price of Class A common stock on March 31, 2025.</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12,554 restricted stock units ("RSUs") pursuant to the terms of the Issuer's 2022 Omnibus Equity Incentive Plan (the "Plan"). A total of 4,185 RSUs vested on March 31, 2024, a total of 4,185 RSUs vested on March 31, 2025, and a total of 4,184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2024, the Reporting Person was granted 33,267 RSUs pursuant to the Plan. A total of 11,089 RSUs vested on March 31, 2025, a total of 11,089 RSUs are scheduled to vest on March 31, 2026, and a total of 11,089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26"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85,650 RSUs pursuant to the Plan. A total of 28,550 RSUs are scheduled to vest on March 31, 2026, a total of 28,550 RSUs are scheduled to vest on March 31, 2027, and a total of 28,550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0676"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2025-04-02T19:41:49Z</dcterms:created>
  <dcterms:modified xsi:type="dcterms:W3CDTF">2025-04-02T19:41:49Z</dcterms:modified>
</cp:coreProperties>
</file>